
<file path=[Content_Types].xml><?xml version="1.0" encoding="utf-8"?>
<Types xmlns="http://schemas.openxmlformats.org/package/2006/content-types">
  <Override PartName="/word/footnotes.xml" ContentType="application/vnd.openxmlformats-officedocument.wordprocessingml.footnotes+xml"/>
  <Override PartName="/word/charts/chart10.xml" ContentType="application/vnd.openxmlformats-officedocument.drawingml.chart+xml"/>
  <Override PartName="/customXml/itemProps1.xml" ContentType="application/vnd.openxmlformats-officedocument.customXmlProperties+xml"/>
  <Override PartName="/word/footer9.xml" ContentType="application/vnd.openxmlformats-officedocument.wordprocessingml.footer+xml"/>
  <Override PartName="/word/footer7.xml" ContentType="application/vnd.openxmlformats-officedocument.wordprocessingml.footer+xml"/>
  <Default Extension="wmf" ContentType="image/x-wmf"/>
  <Override PartName="/word/footer19.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charts/chart8.xml" ContentType="application/vnd.openxmlformats-officedocument.drawingml.chart+xml"/>
  <Override PartName="/word/charts/chart9.xml" ContentType="application/vnd.openxmlformats-officedocument.drawingml.chart+xml"/>
  <Override PartName="/word/footer16.xml" ContentType="application/vnd.openxmlformats-officedocument.wordprocessingml.footer+xml"/>
  <Override PartName="/word/footer17.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drawings/drawing1.xml" ContentType="application/vnd.openxmlformats-officedocument.drawingml.chartshapes+xml"/>
  <Override PartName="/word/charts/chart6.xml" ContentType="application/vnd.openxmlformats-officedocument.drawingml.chart+xml"/>
  <Override PartName="/word/charts/chart7.xml" ContentType="application/vnd.openxmlformats-officedocument.drawingml.chart+xml"/>
  <Override PartName="/word/footer15.xml" ContentType="application/vnd.openxmlformats-officedocument.wordprocessingml.footer+xml"/>
  <Override PartName="/word/charts/chart17.xml" ContentType="application/vnd.openxmlformats-officedocument.drawingml.chart+xml"/>
  <Override PartName="/word/footer23.xml" ContentType="application/vnd.openxmlformats-officedocument.wordprocessingml.footer+xml"/>
  <Override PartName="/word/footer1.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footer21.xml" ContentType="application/vnd.openxmlformats-officedocument.wordprocessingml.footer+xml"/>
  <Override PartName="/word/footer22.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oter10.xml" ContentType="application/vnd.openxmlformats-officedocument.wordprocessingml.footer+xml"/>
  <Override PartName="/word/charts/chart2.xml" ContentType="application/vnd.openxmlformats-officedocument.drawingml.chart+xml"/>
  <Override PartName="/word/charts/chart3.xml" ContentType="application/vnd.openxmlformats-officedocument.drawingml.chart+xml"/>
  <Default Extension="xlsx" ContentType="application/vnd.openxmlformats-officedocument.spreadsheetml.sheet"/>
  <Override PartName="/word/charts/chart13.xml" ContentType="application/vnd.openxmlformats-officedocument.drawingml.chart+xml"/>
  <Override PartName="/word/charts/chart14.xml" ContentType="application/vnd.openxmlformats-officedocument.drawingml.chart+xml"/>
  <Override PartName="/word/footer2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docProps/core.xml" ContentType="application/vnd.openxmlformats-package.core-properties+xml"/>
  <Default Extension="png" ContentType="image/png"/>
  <Override PartName="/word/footer8.xml" ContentType="application/vnd.openxmlformats-officedocument.wordprocessingml.footer+xml"/>
  <Default Extension="jpeg" ContentType="image/jpeg"/>
  <Default Extension="emf" ContentType="image/x-emf"/>
  <Override PartName="/word/footer6.xml" ContentType="application/vnd.openxmlformats-officedocument.wordprocessingml.footer+xml"/>
  <Override PartName="/word/footer18.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022DA" w:rsidRDefault="009022DA" w:rsidP="009022DA">
      <w:bookmarkStart w:id="0" w:name="_Toc358033577"/>
      <w:r>
        <w:rPr>
          <w:noProof/>
          <w:lang w:val="it-IT" w:eastAsia="it-IT"/>
        </w:rPr>
        <w:drawing>
          <wp:anchor distT="0" distB="0" distL="114300" distR="114300" simplePos="0" relativeHeight="251747328" behindDoc="1" locked="0" layoutInCell="1" allowOverlap="1">
            <wp:simplePos x="0" y="0"/>
            <wp:positionH relativeFrom="margin">
              <wp:posOffset>-729615</wp:posOffset>
            </wp:positionH>
            <wp:positionV relativeFrom="margin">
              <wp:posOffset>5128260</wp:posOffset>
            </wp:positionV>
            <wp:extent cx="3571875" cy="4781550"/>
            <wp:effectExtent l="19050" t="0" r="0" b="0"/>
            <wp:wrapNone/>
            <wp:docPr id="85" name="Picture 20" descr="Griffes Ble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Griffes Bleu"/>
                    <pic:cNvPicPr>
                      <a:picLocks noChangeAspect="1" noChangeArrowheads="1"/>
                    </pic:cNvPicPr>
                  </pic:nvPicPr>
                  <pic:blipFill>
                    <a:blip r:embed="rId8" cstate="print"/>
                    <a:srcRect/>
                    <a:stretch>
                      <a:fillRect/>
                    </a:stretch>
                  </pic:blipFill>
                  <pic:spPr bwMode="auto">
                    <a:xfrm>
                      <a:off x="0" y="0"/>
                      <a:ext cx="3571875" cy="4781550"/>
                    </a:xfrm>
                    <a:prstGeom prst="rect">
                      <a:avLst/>
                    </a:prstGeom>
                    <a:noFill/>
                    <a:ln w="9525">
                      <a:noFill/>
                      <a:miter lim="800000"/>
                      <a:headEnd/>
                      <a:tailEnd/>
                    </a:ln>
                  </pic:spPr>
                </pic:pic>
              </a:graphicData>
            </a:graphic>
          </wp:anchor>
        </w:drawing>
      </w:r>
      <w:r>
        <w:rPr>
          <w:noProof/>
          <w:lang w:val="it-IT" w:eastAsia="it-IT"/>
        </w:rPr>
        <w:drawing>
          <wp:anchor distT="0" distB="0" distL="114300" distR="114300" simplePos="0" relativeHeight="251750400" behindDoc="1" locked="0" layoutInCell="1" allowOverlap="1">
            <wp:simplePos x="0" y="0"/>
            <wp:positionH relativeFrom="column">
              <wp:posOffset>-416560</wp:posOffset>
            </wp:positionH>
            <wp:positionV relativeFrom="paragraph">
              <wp:posOffset>73025</wp:posOffset>
            </wp:positionV>
            <wp:extent cx="7034530" cy="4714240"/>
            <wp:effectExtent l="19050" t="0" r="0" b="0"/>
            <wp:wrapTight wrapText="bothSides">
              <wp:wrapPolygon edited="0">
                <wp:start x="-58" y="0"/>
                <wp:lineTo x="-58" y="21472"/>
                <wp:lineTo x="21584" y="21472"/>
                <wp:lineTo x="21584" y="0"/>
                <wp:lineTo x="-58" y="0"/>
              </wp:wrapPolygon>
            </wp:wrapTight>
            <wp:docPr id="38" name="Immagine 2" descr="C:\Documents and Settings\c.silvia\Desktop\Pale images\olives landsca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c.silvia\Desktop\Pale images\olives landscape.JPG"/>
                    <pic:cNvPicPr>
                      <a:picLocks noChangeAspect="1" noChangeArrowheads="1"/>
                    </pic:cNvPicPr>
                  </pic:nvPicPr>
                  <pic:blipFill>
                    <a:blip r:embed="rId9" cstate="print"/>
                    <a:srcRect/>
                    <a:stretch>
                      <a:fillRect/>
                    </a:stretch>
                  </pic:blipFill>
                  <pic:spPr bwMode="auto">
                    <a:xfrm>
                      <a:off x="0" y="0"/>
                      <a:ext cx="7034530" cy="4714240"/>
                    </a:xfrm>
                    <a:prstGeom prst="rect">
                      <a:avLst/>
                    </a:prstGeom>
                    <a:noFill/>
                    <a:ln w="9525">
                      <a:noFill/>
                      <a:miter lim="800000"/>
                      <a:headEnd/>
                      <a:tailEnd/>
                    </a:ln>
                  </pic:spPr>
                </pic:pic>
              </a:graphicData>
            </a:graphic>
          </wp:anchor>
        </w:drawing>
      </w:r>
      <w:r w:rsidR="00A43E18" w:rsidRPr="00A43E18">
        <w:rPr>
          <w:noProof/>
        </w:rPr>
        <w:pict>
          <v:rect id="Rectangle 13" o:spid="_x0000_s1123" style="position:absolute;left:0;text-align:left;margin-left:-80.8pt;margin-top:.7pt;width:625.95pt;height:784.8pt;z-index:-2515712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" fillcolor="#51638e" stroked="f"/>
        </w:pict>
      </w:r>
    </w:p>
    <w:p w:rsidR="009022DA" w:rsidRPr="009022DA" w:rsidRDefault="00A43E18" w:rsidP="009022DA">
      <w:pPr>
        <w:rPr>
          <w:noProof/>
        </w:rPr>
      </w:pPr>
      <w:r>
        <w:rPr>
          <w:noProof/>
          <w:lang w:val="it-IT" w:eastAsia="it-IT"/>
        </w:rPr>
        <w:pict>
          <v:rect id="_x0000_s1127" style="position:absolute;left:0;text-align:left;margin-left:194.45pt;margin-top:322.75pt;width:65.3pt;height:53.1pt;z-index:-251564032" fillcolor="#e95d0f" stroked="f">
            <v:textbox style="mso-next-textbox:#_x0000_s1127" inset=".5mm,.3mm,.5mm,.3mm">
              <w:txbxContent>
                <w:p w:rsidR="005D72C2" w:rsidRPr="00CD4BBA" w:rsidRDefault="005D72C2" w:rsidP="009022DA">
                  <w:pPr>
                    <w:jc w:val="center"/>
                    <w:rPr>
                      <w:color w:val="FFFFFF"/>
                      <w:sz w:val="18"/>
                      <w:lang w:val="fr-BE"/>
                    </w:rPr>
                  </w:pPr>
                  <w:r w:rsidRPr="00CD4BBA">
                    <w:rPr>
                      <w:color w:val="FFFFFF"/>
                      <w:sz w:val="18"/>
                      <w:lang w:val="fr-BE"/>
                    </w:rPr>
                    <w:t>Development and Cooperation EuropeAid</w:t>
                  </w:r>
                </w:p>
              </w:txbxContent>
            </v:textbox>
          </v:rect>
        </w:pict>
      </w:r>
      <w:r w:rsidRPr="00A43E18">
        <w:rPr>
          <w:noProof/>
          <w:lang w:eastAsia="en-GB"/>
        </w:rPr>
        <w:pict>
          <v:rect id="_x0000_s1125" style="position:absolute;left:0;text-align:left;margin-left:102.35pt;margin-top:25.75pt;width:436.25pt;height:286.6pt;z-index:251748352" filled="f" stroked="f">
            <v:textbox style="mso-next-textbox:#_x0000_s1125">
              <w:txbxContent>
                <w:p w:rsidR="005D72C2" w:rsidRPr="008824ED" w:rsidRDefault="005D72C2" w:rsidP="009022DA">
                  <w:pPr>
                    <w:autoSpaceDE w:val="0"/>
                    <w:autoSpaceDN w:val="0"/>
                    <w:adjustRightInd w:val="0"/>
                    <w:suppressOverlap/>
                    <w:jc w:val="center"/>
                    <w:rPr>
                      <w:rFonts w:ascii="Arial" w:hAnsi="Arial" w:cs="Arial"/>
                      <w:b/>
                      <w:color w:val="FFFFFF"/>
                      <w:sz w:val="36"/>
                      <w:szCs w:val="28"/>
                    </w:rPr>
                  </w:pPr>
                  <w:r w:rsidRPr="008824ED">
                    <w:rPr>
                      <w:rFonts w:ascii="Arial" w:hAnsi="Arial" w:cs="Arial"/>
                      <w:b/>
                      <w:color w:val="FFFFFF"/>
                      <w:sz w:val="36"/>
                      <w:szCs w:val="28"/>
                    </w:rPr>
                    <w:t>Evaluation of the European Union’s Cooperation</w:t>
                  </w:r>
                </w:p>
                <w:p w:rsidR="005D72C2" w:rsidRPr="008824ED" w:rsidRDefault="005D72C2" w:rsidP="009022DA">
                  <w:pPr>
                    <w:autoSpaceDE w:val="0"/>
                    <w:autoSpaceDN w:val="0"/>
                    <w:adjustRightInd w:val="0"/>
                    <w:suppressOverlap/>
                    <w:jc w:val="center"/>
                    <w:rPr>
                      <w:rFonts w:ascii="Arial" w:hAnsi="Arial" w:cs="Arial"/>
                      <w:b/>
                      <w:color w:val="FFFFFF"/>
                      <w:sz w:val="36"/>
                      <w:szCs w:val="28"/>
                    </w:rPr>
                  </w:pPr>
                  <w:r w:rsidRPr="008824ED">
                    <w:rPr>
                      <w:rFonts w:ascii="Arial" w:hAnsi="Arial" w:cs="Arial"/>
                      <w:b/>
                      <w:color w:val="FFFFFF"/>
                      <w:sz w:val="36"/>
                      <w:szCs w:val="28"/>
                    </w:rPr>
                    <w:t>with the occupied Palestinian territory and support to the Palestinian people 2008 – 2013</w:t>
                  </w:r>
                </w:p>
                <w:p w:rsidR="005D72C2" w:rsidRPr="008824ED" w:rsidRDefault="005D72C2" w:rsidP="009022DA">
                  <w:pPr>
                    <w:jc w:val="center"/>
                    <w:rPr>
                      <w:rFonts w:ascii="Arial" w:hAnsi="Arial" w:cs="Arial"/>
                      <w:b/>
                      <w:color w:val="FFFFFF"/>
                      <w:sz w:val="36"/>
                      <w:szCs w:val="28"/>
                    </w:rPr>
                  </w:pPr>
                </w:p>
                <w:p w:rsidR="005D72C2" w:rsidRPr="008824ED" w:rsidRDefault="005D72C2" w:rsidP="009022DA">
                  <w:pPr>
                    <w:jc w:val="center"/>
                    <w:rPr>
                      <w:rFonts w:ascii="Arial" w:hAnsi="Arial" w:cs="Arial"/>
                      <w:b/>
                      <w:color w:val="FFFFFF"/>
                      <w:sz w:val="36"/>
                      <w:szCs w:val="28"/>
                    </w:rPr>
                  </w:pPr>
                  <w:r w:rsidRPr="008824ED">
                    <w:rPr>
                      <w:rFonts w:ascii="Arial" w:hAnsi="Arial" w:cs="Arial"/>
                      <w:b/>
                      <w:color w:val="FFFFFF"/>
                      <w:sz w:val="36"/>
                      <w:szCs w:val="28"/>
                    </w:rPr>
                    <w:t>Final Report</w:t>
                  </w:r>
                </w:p>
                <w:p w:rsidR="005D72C2" w:rsidRPr="008824ED" w:rsidRDefault="005D72C2" w:rsidP="009022DA">
                  <w:pPr>
                    <w:jc w:val="center"/>
                    <w:rPr>
                      <w:rFonts w:ascii="Arial" w:hAnsi="Arial" w:cs="Arial"/>
                      <w:b/>
                      <w:color w:val="FFFFFF"/>
                      <w:sz w:val="36"/>
                      <w:szCs w:val="28"/>
                    </w:rPr>
                  </w:pPr>
                  <w:r>
                    <w:rPr>
                      <w:rFonts w:ascii="Arial" w:hAnsi="Arial" w:cs="Arial"/>
                      <w:b/>
                      <w:color w:val="FFFFFF"/>
                      <w:sz w:val="36"/>
                      <w:szCs w:val="28"/>
                    </w:rPr>
                    <w:t>Volume 2</w:t>
                  </w:r>
                </w:p>
                <w:p w:rsidR="005D72C2" w:rsidRPr="008824ED" w:rsidRDefault="005D72C2" w:rsidP="009022DA">
                  <w:pPr>
                    <w:jc w:val="center"/>
                    <w:rPr>
                      <w:rFonts w:ascii="Arial" w:hAnsi="Arial" w:cs="Arial"/>
                      <w:b/>
                      <w:color w:val="FFFFFF"/>
                      <w:sz w:val="36"/>
                      <w:szCs w:val="28"/>
                    </w:rPr>
                  </w:pPr>
                  <w:r>
                    <w:rPr>
                      <w:rFonts w:ascii="Arial" w:hAnsi="Arial" w:cs="Arial"/>
                      <w:b/>
                      <w:color w:val="FFFFFF"/>
                      <w:sz w:val="36"/>
                      <w:szCs w:val="28"/>
                    </w:rPr>
                    <w:t xml:space="preserve">May </w:t>
                  </w:r>
                  <w:r w:rsidRPr="008824ED">
                    <w:rPr>
                      <w:rFonts w:ascii="Arial" w:hAnsi="Arial" w:cs="Arial"/>
                      <w:b/>
                      <w:color w:val="FFFFFF"/>
                      <w:sz w:val="36"/>
                      <w:szCs w:val="28"/>
                    </w:rPr>
                    <w:t>2014</w:t>
                  </w:r>
                </w:p>
                <w:p w:rsidR="005D72C2" w:rsidRPr="008824ED" w:rsidRDefault="005D72C2" w:rsidP="009022DA">
                  <w:pPr>
                    <w:jc w:val="center"/>
                    <w:rPr>
                      <w:rFonts w:ascii="Arial" w:hAnsi="Arial" w:cs="Arial"/>
                      <w:b/>
                      <w:color w:val="FFFFFF"/>
                      <w:sz w:val="32"/>
                      <w:szCs w:val="28"/>
                    </w:rPr>
                  </w:pPr>
                  <w:r w:rsidRPr="008824ED">
                    <w:rPr>
                      <w:rFonts w:ascii="Arial" w:hAnsi="Arial" w:cs="Arial"/>
                      <w:b/>
                      <w:color w:val="FFFFFF"/>
                      <w:sz w:val="32"/>
                      <w:szCs w:val="28"/>
                    </w:rPr>
                    <w:t>___________</w:t>
                  </w:r>
                </w:p>
                <w:p w:rsidR="005D72C2" w:rsidRPr="008824ED" w:rsidRDefault="005D72C2" w:rsidP="009022DA">
                  <w:pPr>
                    <w:jc w:val="center"/>
                    <w:rPr>
                      <w:rFonts w:ascii="Arial" w:hAnsi="Arial" w:cs="Arial"/>
                      <w:b/>
                      <w:color w:val="FFFFFF"/>
                      <w:sz w:val="32"/>
                      <w:szCs w:val="28"/>
                    </w:rPr>
                  </w:pPr>
                </w:p>
                <w:p w:rsidR="005D72C2" w:rsidRPr="008824ED" w:rsidRDefault="005D72C2" w:rsidP="009022DA">
                  <w:pPr>
                    <w:jc w:val="center"/>
                    <w:rPr>
                      <w:rFonts w:ascii="Arial" w:hAnsi="Arial" w:cs="Arial"/>
                      <w:i/>
                      <w:color w:val="FFFFFF"/>
                      <w:sz w:val="28"/>
                      <w:szCs w:val="28"/>
                    </w:rPr>
                  </w:pPr>
                  <w:r w:rsidRPr="008824ED">
                    <w:rPr>
                      <w:rFonts w:ascii="Arial" w:hAnsi="Arial" w:cs="Arial"/>
                      <w:i/>
                      <w:color w:val="FFFFFF"/>
                      <w:sz w:val="28"/>
                      <w:szCs w:val="28"/>
                    </w:rPr>
                    <w:t xml:space="preserve">Evaluation carried out on behalf of </w:t>
                  </w:r>
                </w:p>
                <w:p w:rsidR="005D72C2" w:rsidRPr="008824ED" w:rsidRDefault="005D72C2" w:rsidP="009022DA">
                  <w:pPr>
                    <w:jc w:val="center"/>
                    <w:rPr>
                      <w:rFonts w:ascii="Arial" w:hAnsi="Arial" w:cs="Arial"/>
                      <w:i/>
                      <w:color w:val="FFFFFF"/>
                      <w:sz w:val="28"/>
                      <w:szCs w:val="28"/>
                    </w:rPr>
                  </w:pPr>
                  <w:r w:rsidRPr="008824ED">
                    <w:rPr>
                      <w:rFonts w:ascii="Arial" w:hAnsi="Arial" w:cs="Arial"/>
                      <w:i/>
                      <w:color w:val="FFFFFF"/>
                      <w:sz w:val="28"/>
                      <w:szCs w:val="28"/>
                    </w:rPr>
                    <w:t>the European Commission</w:t>
                  </w:r>
                </w:p>
              </w:txbxContent>
            </v:textbox>
          </v:rect>
        </w:pict>
      </w:r>
      <w:r>
        <w:rPr>
          <w:noProof/>
          <w:lang w:val="it-IT" w:eastAsia="it-IT"/>
        </w:rPr>
        <w:pict>
          <v:rect id="_x0000_s1126" style="position:absolute;left:0;text-align:left;margin-left:194.45pt;margin-top:469.9pt;width:65.3pt;height:45.6pt;z-index:-251565056" fillcolor="#e95d0f" stroked="f">
            <v:textbox style="mso-next-textbox:#_x0000_s1126" inset=".5mm,.3mm,.5mm,.3mm">
              <w:txbxContent>
                <w:p w:rsidR="005D72C2" w:rsidRPr="00CD4BBA" w:rsidRDefault="005D72C2" w:rsidP="009022DA">
                  <w:pPr>
                    <w:jc w:val="center"/>
                    <w:rPr>
                      <w:color w:val="FFFFFF"/>
                      <w:sz w:val="18"/>
                      <w:lang w:val="fr-BE"/>
                    </w:rPr>
                  </w:pPr>
                  <w:r w:rsidRPr="00CD4BBA">
                    <w:rPr>
                      <w:color w:val="FFFFFF"/>
                      <w:sz w:val="18"/>
                      <w:lang w:val="fr-BE"/>
                    </w:rPr>
                    <w:t>Development and Cooperation EuropeAid</w:t>
                  </w:r>
                </w:p>
              </w:txbxContent>
            </v:textbox>
          </v:rect>
        </w:pict>
      </w:r>
      <w:r w:rsidRPr="00A43E18">
        <w:rPr>
          <w:noProof/>
          <w:lang w:eastAsia="en-GB"/>
        </w:rPr>
        <w:pict>
          <v:rect id="_x0000_s1124" style="position:absolute;left:0;text-align:left;margin-left:194.45pt;margin-top:708.95pt;width:65.3pt;height:45.6pt;z-index:-251570176" fillcolor="#e95d0f" stroked="f">
            <v:textbox style="mso-next-textbox:#_x0000_s1124" inset=".5mm,.3mm,.5mm,.3mm">
              <w:txbxContent>
                <w:p w:rsidR="005D72C2" w:rsidRPr="00CD4BBA" w:rsidRDefault="005D72C2" w:rsidP="009022DA">
                  <w:pPr>
                    <w:jc w:val="center"/>
                    <w:rPr>
                      <w:color w:val="FFFFFF"/>
                      <w:sz w:val="18"/>
                      <w:lang w:val="fr-BE"/>
                    </w:rPr>
                  </w:pPr>
                  <w:r w:rsidRPr="00CD4BBA">
                    <w:rPr>
                      <w:color w:val="FFFFFF"/>
                      <w:sz w:val="18"/>
                      <w:lang w:val="fr-BE"/>
                    </w:rPr>
                    <w:t>Development and Cooperation EuropeAid</w:t>
                  </w:r>
                </w:p>
              </w:txbxContent>
            </v:textbox>
          </v:rect>
        </w:pict>
      </w:r>
      <w:r w:rsidR="009022DA">
        <w:rPr>
          <w:noProof/>
          <w:lang w:val="it-IT" w:eastAsia="it-IT"/>
        </w:rPr>
        <w:drawing>
          <wp:anchor distT="0" distB="0" distL="114300" distR="114300" simplePos="0" relativeHeight="251749376" behindDoc="0" locked="0" layoutInCell="1" allowOverlap="1">
            <wp:simplePos x="0" y="0"/>
            <wp:positionH relativeFrom="margin">
              <wp:align>center</wp:align>
            </wp:positionH>
            <wp:positionV relativeFrom="margin">
              <wp:posOffset>-675005</wp:posOffset>
            </wp:positionV>
            <wp:extent cx="2256155" cy="1745615"/>
            <wp:effectExtent l="0" t="0" r="0" b="0"/>
            <wp:wrapSquare wrapText="bothSides"/>
            <wp:docPr id="87" name="Picture 1" descr="C:\DOCUME~1\lenain\LOCALS~1\Temp\7zE2F.tmp\LOGO-CE for Devco EN Posi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1\lenain\LOCALS~1\Temp\7zE2F.tmp\LOGO-CE for Devco EN Positive.png"/>
                    <pic:cNvPicPr>
                      <a:picLocks noChangeAspect="1" noChangeArrowheads="1"/>
                    </pic:cNvPicPr>
                  </pic:nvPicPr>
                  <pic:blipFill>
                    <a:blip r:embed="rId10" cstate="print"/>
                    <a:srcRect/>
                    <a:stretch>
                      <a:fillRect/>
                    </a:stretch>
                  </pic:blipFill>
                  <pic:spPr bwMode="auto">
                    <a:xfrm>
                      <a:off x="0" y="0"/>
                      <a:ext cx="2256155" cy="1745615"/>
                    </a:xfrm>
                    <a:prstGeom prst="rect">
                      <a:avLst/>
                    </a:prstGeom>
                    <a:noFill/>
                    <a:ln w="9525">
                      <a:noFill/>
                      <a:miter lim="800000"/>
                      <a:headEnd/>
                      <a:tailEnd/>
                    </a:ln>
                  </pic:spPr>
                </pic:pic>
              </a:graphicData>
            </a:graphic>
          </wp:anchor>
        </w:drawing>
      </w:r>
    </w:p>
    <w:p w:rsidR="009022DA" w:rsidRDefault="009022DA" w:rsidP="00873F50">
      <w:pPr>
        <w:suppressAutoHyphens/>
        <w:jc w:val="center"/>
        <w:rPr>
          <w:rFonts w:cs="Arial"/>
        </w:rPr>
        <w:sectPr w:rsidR="009022DA" w:rsidSect="004D3D6D">
          <w:headerReference w:type="even" r:id="rId11"/>
          <w:headerReference w:type="default" r:id="rId12"/>
          <w:footerReference w:type="even" r:id="rId13"/>
          <w:pgSz w:w="11907" w:h="16839" w:code="9"/>
          <w:pgMar w:top="1134" w:right="1134" w:bottom="1134" w:left="1134" w:header="709" w:footer="709" w:gutter="0"/>
          <w:pgNumType w:fmt="lowerRoman" w:start="1"/>
          <w:cols w:space="708" w:equalWidth="0">
            <w:col w:w="9071" w:space="2707"/>
          </w:cols>
          <w:titlePg/>
          <w:docGrid w:linePitch="360"/>
        </w:sectPr>
      </w:pPr>
    </w:p>
    <w:tbl>
      <w:tblPr>
        <w:tblW w:w="9969" w:type="dxa"/>
        <w:jc w:val="center"/>
        <w:tblInd w:w="817" w:type="dxa"/>
        <w:tblBorders>
          <w:bottom w:val="single" w:sz="4" w:space="0" w:color="33339A"/>
        </w:tblBorders>
        <w:tblLook w:val="01E0"/>
      </w:tblPr>
      <w:tblGrid>
        <w:gridCol w:w="3310"/>
        <w:gridCol w:w="3362"/>
        <w:gridCol w:w="3297"/>
      </w:tblGrid>
      <w:tr w:rsidR="00B16626" w:rsidRPr="00592231" w:rsidTr="00873F50">
        <w:trPr>
          <w:trHeight w:val="2157"/>
          <w:jc w:val="center"/>
        </w:trPr>
        <w:tc>
          <w:tcPr>
            <w:tcW w:w="3310" w:type="dxa"/>
            <w:vMerge w:val="restart"/>
          </w:tcPr>
          <w:p w:rsidR="00B16626" w:rsidRPr="00592231" w:rsidRDefault="00B16626" w:rsidP="00873F50">
            <w:pPr>
              <w:suppressAutoHyphens/>
              <w:jc w:val="center"/>
              <w:rPr>
                <w:rFonts w:cs="Arial"/>
              </w:rPr>
            </w:pPr>
            <w:r w:rsidRPr="00833AF0">
              <w:rPr>
                <w:rFonts w:cs="Arial"/>
                <w:noProof/>
                <w:lang w:val="it-IT" w:eastAsia="it-IT"/>
              </w:rPr>
              <w:lastRenderedPageBreak/>
              <w:drawing>
                <wp:anchor distT="0" distB="0" distL="114300" distR="114300" simplePos="0" relativeHeight="251701248" behindDoc="1" locked="0" layoutInCell="1" allowOverlap="1">
                  <wp:simplePos x="0" y="0"/>
                  <wp:positionH relativeFrom="column">
                    <wp:posOffset>624205</wp:posOffset>
                  </wp:positionH>
                  <wp:positionV relativeFrom="paragraph">
                    <wp:posOffset>375920</wp:posOffset>
                  </wp:positionV>
                  <wp:extent cx="734060" cy="1336675"/>
                  <wp:effectExtent l="19050" t="0" r="8890" b="0"/>
                  <wp:wrapTight wrapText="bothSides">
                    <wp:wrapPolygon edited="0">
                      <wp:start x="-561" y="0"/>
                      <wp:lineTo x="-561" y="21241"/>
                      <wp:lineTo x="21862" y="21241"/>
                      <wp:lineTo x="21862" y="0"/>
                      <wp:lineTo x="-561" y="0"/>
                    </wp:wrapPolygon>
                  </wp:wrapTight>
                  <wp:docPr id="7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srcRect/>
                          <a:stretch>
                            <a:fillRect/>
                          </a:stretch>
                        </pic:blipFill>
                        <pic:spPr bwMode="auto">
                          <a:xfrm>
                            <a:off x="0" y="0"/>
                            <a:ext cx="734060" cy="1336675"/>
                          </a:xfrm>
                          <a:prstGeom prst="rect">
                            <a:avLst/>
                          </a:prstGeom>
                          <a:noFill/>
                          <a:ln w="9525">
                            <a:noFill/>
                            <a:miter lim="800000"/>
                            <a:headEnd/>
                            <a:tailEnd/>
                          </a:ln>
                        </pic:spPr>
                      </pic:pic>
                    </a:graphicData>
                  </a:graphic>
                </wp:anchor>
              </w:drawing>
            </w:r>
          </w:p>
        </w:tc>
        <w:tc>
          <w:tcPr>
            <w:tcW w:w="3362" w:type="dxa"/>
            <w:vAlign w:val="center"/>
          </w:tcPr>
          <w:p w:rsidR="00B16626" w:rsidRPr="00592231" w:rsidRDefault="00B16626" w:rsidP="00873F50">
            <w:pPr>
              <w:suppressAutoHyphens/>
              <w:jc w:val="center"/>
              <w:rPr>
                <w:rFonts w:cs="Arial"/>
              </w:rPr>
            </w:pPr>
            <w:r w:rsidRPr="00833AF0">
              <w:rPr>
                <w:rFonts w:cs="Arial"/>
                <w:noProof/>
                <w:lang w:val="it-IT" w:eastAsia="it-IT"/>
              </w:rPr>
              <w:drawing>
                <wp:inline distT="0" distB="0" distL="0" distR="0">
                  <wp:extent cx="1304925" cy="638175"/>
                  <wp:effectExtent l="19050" t="0" r="9525" b="0"/>
                  <wp:docPr id="77"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srcRect/>
                          <a:stretch>
                            <a:fillRect/>
                          </a:stretch>
                        </pic:blipFill>
                        <pic:spPr bwMode="auto">
                          <a:xfrm>
                            <a:off x="0" y="0"/>
                            <a:ext cx="1304925" cy="638175"/>
                          </a:xfrm>
                          <a:prstGeom prst="rect">
                            <a:avLst/>
                          </a:prstGeom>
                          <a:noFill/>
                          <a:ln w="9525">
                            <a:noFill/>
                            <a:miter lim="800000"/>
                            <a:headEnd/>
                            <a:tailEnd/>
                          </a:ln>
                        </pic:spPr>
                      </pic:pic>
                    </a:graphicData>
                  </a:graphic>
                </wp:inline>
              </w:drawing>
            </w:r>
          </w:p>
        </w:tc>
        <w:tc>
          <w:tcPr>
            <w:tcW w:w="3297" w:type="dxa"/>
            <w:vAlign w:val="center"/>
          </w:tcPr>
          <w:p w:rsidR="00B16626" w:rsidRPr="00592231" w:rsidRDefault="00B16626" w:rsidP="00873F50">
            <w:pPr>
              <w:suppressAutoHyphens/>
              <w:jc w:val="center"/>
              <w:rPr>
                <w:rFonts w:cs="Arial"/>
              </w:rPr>
            </w:pPr>
            <w:r w:rsidRPr="00833AF0">
              <w:rPr>
                <w:rFonts w:cs="Arial"/>
                <w:noProof/>
                <w:lang w:val="it-IT" w:eastAsia="it-IT"/>
              </w:rPr>
              <w:drawing>
                <wp:inline distT="0" distB="0" distL="0" distR="0">
                  <wp:extent cx="1295400" cy="609600"/>
                  <wp:effectExtent l="19050" t="0" r="0" b="0"/>
                  <wp:docPr id="78"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srcRect/>
                          <a:stretch>
                            <a:fillRect/>
                          </a:stretch>
                        </pic:blipFill>
                        <pic:spPr bwMode="auto">
                          <a:xfrm>
                            <a:off x="0" y="0"/>
                            <a:ext cx="1295400" cy="609600"/>
                          </a:xfrm>
                          <a:prstGeom prst="rect">
                            <a:avLst/>
                          </a:prstGeom>
                          <a:noFill/>
                          <a:ln w="9525">
                            <a:noFill/>
                            <a:miter lim="800000"/>
                            <a:headEnd/>
                            <a:tailEnd/>
                          </a:ln>
                        </pic:spPr>
                      </pic:pic>
                    </a:graphicData>
                  </a:graphic>
                </wp:inline>
              </w:drawing>
            </w:r>
          </w:p>
        </w:tc>
      </w:tr>
      <w:tr w:rsidR="00B16626" w:rsidRPr="00592231" w:rsidTr="00873F50">
        <w:trPr>
          <w:trHeight w:val="724"/>
          <w:jc w:val="center"/>
        </w:trPr>
        <w:tc>
          <w:tcPr>
            <w:tcW w:w="3310" w:type="dxa"/>
            <w:vMerge/>
            <w:vAlign w:val="center"/>
          </w:tcPr>
          <w:p w:rsidR="00B16626" w:rsidRPr="00592231" w:rsidRDefault="00B16626" w:rsidP="00873F50">
            <w:pPr>
              <w:suppressAutoHyphens/>
              <w:jc w:val="center"/>
              <w:rPr>
                <w:rFonts w:cs="Arial"/>
              </w:rPr>
            </w:pPr>
          </w:p>
        </w:tc>
        <w:tc>
          <w:tcPr>
            <w:tcW w:w="3362" w:type="dxa"/>
            <w:vAlign w:val="center"/>
          </w:tcPr>
          <w:p w:rsidR="00B16626" w:rsidRPr="00592231" w:rsidRDefault="00B16626" w:rsidP="00873F50">
            <w:pPr>
              <w:suppressAutoHyphens/>
              <w:jc w:val="center"/>
              <w:rPr>
                <w:rFonts w:cs="Arial"/>
              </w:rPr>
            </w:pPr>
            <w:r w:rsidRPr="00833AF0">
              <w:rPr>
                <w:rFonts w:cs="Arial"/>
                <w:noProof/>
                <w:lang w:val="it-IT" w:eastAsia="it-IT"/>
              </w:rPr>
              <w:drawing>
                <wp:inline distT="0" distB="0" distL="0" distR="0">
                  <wp:extent cx="789940" cy="416504"/>
                  <wp:effectExtent l="19050" t="0" r="0" b="0"/>
                  <wp:docPr id="79" name="Picture 1" descr="complete_no_bor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mplete_no_border"/>
                          <pic:cNvPicPr>
                            <a:picLocks noChangeAspect="1" noChangeArrowheads="1"/>
                          </pic:cNvPicPr>
                        </pic:nvPicPr>
                        <pic:blipFill>
                          <a:blip r:embed="rId17" cstate="email"/>
                          <a:srcRect/>
                          <a:stretch>
                            <a:fillRect/>
                          </a:stretch>
                        </pic:blipFill>
                        <pic:spPr bwMode="auto">
                          <a:xfrm>
                            <a:off x="0" y="0"/>
                            <a:ext cx="789940" cy="416504"/>
                          </a:xfrm>
                          <a:prstGeom prst="rect">
                            <a:avLst/>
                          </a:prstGeom>
                          <a:noFill/>
                          <a:ln w="9525">
                            <a:noFill/>
                            <a:miter lim="800000"/>
                            <a:headEnd/>
                            <a:tailEnd/>
                          </a:ln>
                        </pic:spPr>
                      </pic:pic>
                    </a:graphicData>
                  </a:graphic>
                </wp:inline>
              </w:drawing>
            </w:r>
          </w:p>
        </w:tc>
        <w:tc>
          <w:tcPr>
            <w:tcW w:w="3297" w:type="dxa"/>
            <w:vAlign w:val="center"/>
          </w:tcPr>
          <w:p w:rsidR="00B16626" w:rsidRPr="00592231" w:rsidRDefault="00B16626" w:rsidP="00873F50">
            <w:pPr>
              <w:suppressAutoHyphens/>
              <w:jc w:val="center"/>
              <w:rPr>
                <w:rFonts w:cs="Arial"/>
              </w:rPr>
            </w:pPr>
          </w:p>
        </w:tc>
      </w:tr>
      <w:tr w:rsidR="00B16626" w:rsidRPr="00592231" w:rsidTr="00873F50">
        <w:trPr>
          <w:trHeight w:val="105"/>
          <w:jc w:val="center"/>
        </w:trPr>
        <w:tc>
          <w:tcPr>
            <w:tcW w:w="3310" w:type="dxa"/>
            <w:vAlign w:val="center"/>
          </w:tcPr>
          <w:p w:rsidR="00B16626" w:rsidRPr="00592231" w:rsidRDefault="00B16626" w:rsidP="00873F50">
            <w:pPr>
              <w:suppressAutoHyphens/>
              <w:jc w:val="center"/>
              <w:rPr>
                <w:rFonts w:cs="Arial"/>
              </w:rPr>
            </w:pPr>
          </w:p>
        </w:tc>
        <w:tc>
          <w:tcPr>
            <w:tcW w:w="3362" w:type="dxa"/>
            <w:vAlign w:val="center"/>
          </w:tcPr>
          <w:p w:rsidR="00B16626" w:rsidRPr="00833AF0" w:rsidRDefault="00B16626" w:rsidP="00873F50">
            <w:pPr>
              <w:suppressAutoHyphens/>
              <w:jc w:val="center"/>
              <w:rPr>
                <w:rFonts w:cs="Arial"/>
              </w:rPr>
            </w:pPr>
          </w:p>
        </w:tc>
        <w:tc>
          <w:tcPr>
            <w:tcW w:w="3297" w:type="dxa"/>
            <w:vAlign w:val="center"/>
          </w:tcPr>
          <w:p w:rsidR="00B16626" w:rsidRPr="00592231" w:rsidRDefault="00B16626" w:rsidP="00873F50">
            <w:pPr>
              <w:suppressAutoHyphens/>
              <w:jc w:val="center"/>
              <w:rPr>
                <w:rFonts w:cs="Arial"/>
              </w:rPr>
            </w:pPr>
          </w:p>
        </w:tc>
      </w:tr>
    </w:tbl>
    <w:p w:rsidR="00B16626" w:rsidRPr="00882C79" w:rsidRDefault="00B16626" w:rsidP="00B16626">
      <w:pPr>
        <w:rPr>
          <w:noProof/>
          <w:color w:val="1F497D"/>
          <w:sz w:val="20"/>
        </w:rPr>
      </w:pPr>
    </w:p>
    <w:p w:rsidR="00C82C36" w:rsidRPr="00DC30DA" w:rsidRDefault="00C82C36" w:rsidP="00C82C36">
      <w:pPr>
        <w:suppressAutoHyphens/>
        <w:jc w:val="center"/>
        <w:rPr>
          <w:rFonts w:ascii="Arial" w:hAnsi="Arial" w:cs="Arial"/>
          <w:color w:val="1F497D"/>
          <w:position w:val="-4"/>
          <w:sz w:val="18"/>
          <w:szCs w:val="24"/>
          <w:lang w:eastAsia="de-DE"/>
        </w:rPr>
      </w:pPr>
      <w:r w:rsidRPr="00DC30DA">
        <w:rPr>
          <w:rFonts w:ascii="Arial" w:hAnsi="Arial" w:cs="Arial"/>
          <w:color w:val="1F497D"/>
          <w:position w:val="-4"/>
          <w:sz w:val="18"/>
          <w:szCs w:val="24"/>
          <w:lang w:eastAsia="de-DE"/>
        </w:rPr>
        <w:t>Consortium composed by</w:t>
      </w:r>
    </w:p>
    <w:p w:rsidR="00C82C36" w:rsidRPr="00DC30DA" w:rsidRDefault="00C82C36" w:rsidP="00C82C36">
      <w:pPr>
        <w:suppressAutoHyphens/>
        <w:jc w:val="center"/>
        <w:rPr>
          <w:rFonts w:ascii="Arial" w:hAnsi="Arial" w:cs="Arial"/>
          <w:color w:val="1F497D"/>
          <w:position w:val="-4"/>
          <w:sz w:val="18"/>
          <w:szCs w:val="24"/>
          <w:lang w:eastAsia="de-DE"/>
        </w:rPr>
      </w:pPr>
      <w:r w:rsidRPr="00DC30DA">
        <w:rPr>
          <w:rFonts w:ascii="Arial" w:hAnsi="Arial" w:cs="Arial"/>
          <w:color w:val="1F497D"/>
          <w:position w:val="-4"/>
          <w:sz w:val="18"/>
          <w:szCs w:val="24"/>
          <w:lang w:eastAsia="de-DE"/>
        </w:rPr>
        <w:t>Development Researcher’s Network, ECDPM, ECORYS, PARTICIP</w:t>
      </w:r>
    </w:p>
    <w:p w:rsidR="00C82C36" w:rsidRPr="00DC30DA" w:rsidRDefault="00C82C36" w:rsidP="00C82C36">
      <w:pPr>
        <w:suppressAutoHyphens/>
        <w:jc w:val="center"/>
        <w:rPr>
          <w:rFonts w:ascii="Arial" w:hAnsi="Arial" w:cs="Arial"/>
          <w:color w:val="1F497D"/>
          <w:position w:val="-4"/>
          <w:sz w:val="18"/>
          <w:szCs w:val="24"/>
          <w:lang w:eastAsia="de-DE"/>
        </w:rPr>
      </w:pPr>
      <w:r w:rsidRPr="00DC30DA">
        <w:rPr>
          <w:rFonts w:ascii="Arial" w:hAnsi="Arial" w:cs="Arial"/>
          <w:color w:val="1F497D"/>
          <w:position w:val="-4"/>
          <w:sz w:val="18"/>
          <w:szCs w:val="24"/>
          <w:lang w:eastAsia="de-DE"/>
        </w:rPr>
        <w:t>Leader of the Consortium: DRN</w:t>
      </w:r>
    </w:p>
    <w:p w:rsidR="00C82C36" w:rsidRPr="008A3155" w:rsidRDefault="00C82C36" w:rsidP="00C82C36">
      <w:pPr>
        <w:suppressAutoHyphens/>
        <w:jc w:val="center"/>
        <w:rPr>
          <w:rFonts w:ascii="Arial" w:hAnsi="Arial" w:cs="Arial"/>
          <w:color w:val="1F497D"/>
          <w:position w:val="-4"/>
          <w:sz w:val="18"/>
          <w:szCs w:val="24"/>
          <w:lang w:eastAsia="de-DE"/>
        </w:rPr>
      </w:pPr>
      <w:r w:rsidRPr="008A3155">
        <w:rPr>
          <w:rFonts w:ascii="Arial" w:hAnsi="Arial" w:cs="Arial"/>
          <w:color w:val="1F497D"/>
          <w:position w:val="-4"/>
          <w:sz w:val="18"/>
          <w:szCs w:val="24"/>
          <w:lang w:eastAsia="de-DE"/>
        </w:rPr>
        <w:t>Contact Person: M</w:t>
      </w:r>
      <w:r w:rsidRPr="00DC30DA">
        <w:rPr>
          <w:rFonts w:ascii="Arial" w:hAnsi="Arial" w:cs="Arial"/>
          <w:color w:val="1F497D"/>
          <w:position w:val="-4"/>
          <w:sz w:val="18"/>
          <w:szCs w:val="24"/>
          <w:lang w:eastAsia="de-DE"/>
        </w:rPr>
        <w:t>arco Palmini</w:t>
      </w:r>
    </w:p>
    <w:p w:rsidR="00C82C36" w:rsidRPr="00DC30DA" w:rsidRDefault="00C82C36" w:rsidP="00C82C36">
      <w:pPr>
        <w:suppressAutoHyphens/>
        <w:jc w:val="center"/>
        <w:rPr>
          <w:rFonts w:ascii="Arial" w:hAnsi="Arial" w:cs="Arial"/>
          <w:color w:val="1F497D"/>
          <w:position w:val="-4"/>
          <w:sz w:val="18"/>
          <w:szCs w:val="24"/>
          <w:lang w:val="fr-FR" w:eastAsia="de-DE"/>
        </w:rPr>
      </w:pPr>
      <w:r w:rsidRPr="00DC30DA">
        <w:rPr>
          <w:rFonts w:ascii="Arial" w:hAnsi="Arial" w:cs="Arial"/>
          <w:color w:val="1F497D"/>
          <w:position w:val="-4"/>
          <w:sz w:val="18"/>
          <w:szCs w:val="24"/>
          <w:lang w:val="fr-FR" w:eastAsia="de-DE"/>
        </w:rPr>
        <w:t>m.palmini@drn-network.com</w:t>
      </w:r>
    </w:p>
    <w:p w:rsidR="00C82C36" w:rsidRPr="00DC30DA" w:rsidRDefault="00C82C36" w:rsidP="00C82C36">
      <w:pPr>
        <w:suppressAutoHyphens/>
        <w:rPr>
          <w:rFonts w:ascii="Arial" w:hAnsi="Arial" w:cs="Arial"/>
          <w:color w:val="1F497D"/>
          <w:sz w:val="20"/>
          <w:lang w:val="fr-FR"/>
        </w:rPr>
      </w:pPr>
    </w:p>
    <w:p w:rsidR="00C82C36" w:rsidRPr="00882C79" w:rsidRDefault="00C82C36" w:rsidP="00C82C36">
      <w:pPr>
        <w:suppressAutoHyphens/>
        <w:jc w:val="center"/>
        <w:rPr>
          <w:rFonts w:ascii="Arial" w:hAnsi="Arial" w:cs="Arial"/>
          <w:b/>
          <w:i/>
          <w:color w:val="1F497D"/>
          <w:position w:val="-4"/>
          <w:sz w:val="20"/>
          <w:szCs w:val="40"/>
          <w:lang w:eastAsia="de-DE"/>
        </w:rPr>
      </w:pPr>
      <w:bookmarkStart w:id="1" w:name="_Toc217448604"/>
      <w:r w:rsidRPr="00DC30DA">
        <w:rPr>
          <w:rFonts w:ascii="Arial" w:hAnsi="Arial" w:cs="Arial"/>
          <w:b/>
          <w:i/>
          <w:color w:val="1F497D"/>
          <w:position w:val="-4"/>
          <w:sz w:val="20"/>
          <w:szCs w:val="40"/>
          <w:lang w:eastAsia="de-DE"/>
        </w:rPr>
        <w:t xml:space="preserve">Contract No </w:t>
      </w:r>
      <w:bookmarkEnd w:id="1"/>
      <w:r w:rsidRPr="00DC30DA">
        <w:rPr>
          <w:rFonts w:ascii="Arial" w:hAnsi="Arial" w:cs="Arial"/>
          <w:b/>
          <w:i/>
          <w:color w:val="1F497D"/>
          <w:position w:val="-4"/>
          <w:sz w:val="20"/>
          <w:szCs w:val="40"/>
          <w:lang w:eastAsia="de-DE"/>
        </w:rPr>
        <w:t>2012/307554 Version 1</w:t>
      </w:r>
    </w:p>
    <w:p w:rsidR="00C82C36" w:rsidRPr="00882C79" w:rsidRDefault="00C82C36" w:rsidP="00C82C36">
      <w:pPr>
        <w:spacing w:before="0" w:after="0"/>
        <w:jc w:val="center"/>
        <w:rPr>
          <w:b/>
          <w:color w:val="1F497D"/>
          <w:sz w:val="32"/>
          <w:szCs w:val="36"/>
          <w:lang w:eastAsia="en-GB"/>
        </w:rPr>
      </w:pPr>
    </w:p>
    <w:tbl>
      <w:tblPr>
        <w:tblW w:w="9841" w:type="dxa"/>
        <w:tblInd w:w="10" w:type="dxa"/>
        <w:tblBorders>
          <w:top w:val="single" w:sz="18" w:space="0" w:color="1F497D"/>
          <w:left w:val="single" w:sz="18" w:space="0" w:color="1F497D"/>
          <w:bottom w:val="single" w:sz="18" w:space="0" w:color="1F497D"/>
          <w:right w:val="single" w:sz="18" w:space="0" w:color="1F497D"/>
          <w:insideH w:val="single" w:sz="18" w:space="0" w:color="1F497D"/>
          <w:insideV w:val="single" w:sz="18" w:space="0" w:color="1F497D"/>
        </w:tblBorders>
        <w:tblLook w:val="0000"/>
      </w:tblPr>
      <w:tblGrid>
        <w:gridCol w:w="9841"/>
      </w:tblGrid>
      <w:tr w:rsidR="00C82C36" w:rsidRPr="00882C79" w:rsidTr="00CC0612">
        <w:trPr>
          <w:trHeight w:val="2157"/>
        </w:trPr>
        <w:tc>
          <w:tcPr>
            <w:tcW w:w="9841" w:type="dxa"/>
            <w:vAlign w:val="center"/>
          </w:tcPr>
          <w:p w:rsidR="00C82C36" w:rsidRPr="00882C79" w:rsidRDefault="00C82C36" w:rsidP="00C82C36">
            <w:pPr>
              <w:spacing w:before="0" w:after="0"/>
              <w:jc w:val="center"/>
              <w:rPr>
                <w:b/>
                <w:color w:val="1F497D"/>
                <w:sz w:val="32"/>
                <w:szCs w:val="36"/>
                <w:lang w:eastAsia="en-GB"/>
              </w:rPr>
            </w:pPr>
          </w:p>
          <w:p w:rsidR="00C82C36" w:rsidRPr="008824ED" w:rsidRDefault="00C82C36" w:rsidP="00C82C36">
            <w:pPr>
              <w:jc w:val="center"/>
              <w:rPr>
                <w:rFonts w:ascii="Arial" w:hAnsi="Arial" w:cs="Arial"/>
                <w:b/>
                <w:color w:val="1F497D"/>
                <w:sz w:val="32"/>
                <w:szCs w:val="36"/>
                <w:lang w:eastAsia="en-GB"/>
              </w:rPr>
            </w:pPr>
            <w:r w:rsidRPr="008824ED">
              <w:rPr>
                <w:rFonts w:ascii="Arial" w:hAnsi="Arial" w:cs="Arial"/>
                <w:b/>
                <w:color w:val="1F497D"/>
                <w:sz w:val="32"/>
                <w:szCs w:val="36"/>
                <w:lang w:eastAsia="en-GB"/>
              </w:rPr>
              <w:t>This evaluation was commissioned by</w:t>
            </w:r>
          </w:p>
          <w:p w:rsidR="00C82C36" w:rsidRPr="008824ED" w:rsidRDefault="00C82C36" w:rsidP="00C82C36">
            <w:pPr>
              <w:jc w:val="center"/>
              <w:rPr>
                <w:rFonts w:ascii="Arial" w:hAnsi="Arial" w:cs="Arial"/>
                <w:b/>
                <w:color w:val="1F497D"/>
                <w:sz w:val="32"/>
                <w:szCs w:val="36"/>
                <w:lang w:eastAsia="en-GB"/>
              </w:rPr>
            </w:pPr>
            <w:r w:rsidRPr="008824ED">
              <w:rPr>
                <w:rFonts w:ascii="Arial" w:hAnsi="Arial" w:cs="Arial"/>
                <w:b/>
                <w:color w:val="1F497D"/>
                <w:sz w:val="32"/>
                <w:szCs w:val="36"/>
                <w:lang w:eastAsia="en-GB"/>
              </w:rPr>
              <w:t>the Evaluation Unit of the</w:t>
            </w:r>
          </w:p>
          <w:p w:rsidR="00C82C36" w:rsidRPr="008824ED" w:rsidRDefault="00C82C36" w:rsidP="00C82C36">
            <w:pPr>
              <w:jc w:val="center"/>
              <w:rPr>
                <w:rFonts w:ascii="Arial" w:hAnsi="Arial" w:cs="Arial"/>
                <w:b/>
                <w:color w:val="1F497D"/>
                <w:sz w:val="32"/>
                <w:szCs w:val="36"/>
                <w:lang w:eastAsia="en-GB"/>
              </w:rPr>
            </w:pPr>
            <w:r w:rsidRPr="008824ED">
              <w:rPr>
                <w:rFonts w:ascii="Arial" w:hAnsi="Arial" w:cs="Arial"/>
                <w:b/>
                <w:color w:val="1F497D"/>
                <w:sz w:val="32"/>
                <w:szCs w:val="36"/>
                <w:lang w:eastAsia="en-GB"/>
              </w:rPr>
              <w:t xml:space="preserve">Directorate General for Development and Cooperation – </w:t>
            </w:r>
            <w:proofErr w:type="spellStart"/>
            <w:r w:rsidRPr="008824ED">
              <w:rPr>
                <w:rFonts w:ascii="Arial" w:hAnsi="Arial" w:cs="Arial"/>
                <w:b/>
                <w:color w:val="1F497D"/>
                <w:sz w:val="32"/>
                <w:szCs w:val="36"/>
                <w:lang w:eastAsia="en-GB"/>
              </w:rPr>
              <w:t>EuropeAid</w:t>
            </w:r>
            <w:proofErr w:type="spellEnd"/>
            <w:r w:rsidRPr="008824ED">
              <w:rPr>
                <w:rFonts w:ascii="Arial" w:hAnsi="Arial" w:cs="Arial"/>
                <w:b/>
                <w:color w:val="1F497D"/>
                <w:sz w:val="32"/>
                <w:szCs w:val="36"/>
                <w:lang w:eastAsia="en-GB"/>
              </w:rPr>
              <w:t xml:space="preserve"> (European Commission)</w:t>
            </w:r>
          </w:p>
          <w:p w:rsidR="00C82C36" w:rsidRPr="00882C79" w:rsidRDefault="00C82C36" w:rsidP="00C82C36">
            <w:pPr>
              <w:spacing w:before="0" w:after="0"/>
              <w:jc w:val="center"/>
              <w:rPr>
                <w:b/>
                <w:color w:val="1F497D"/>
                <w:sz w:val="32"/>
                <w:szCs w:val="36"/>
                <w:lang w:eastAsia="en-GB"/>
              </w:rPr>
            </w:pPr>
          </w:p>
        </w:tc>
      </w:tr>
    </w:tbl>
    <w:p w:rsidR="00C82C36" w:rsidRDefault="00C82C36" w:rsidP="00C82C36">
      <w:pPr>
        <w:spacing w:before="0" w:after="0"/>
        <w:ind w:right="-54"/>
        <w:jc w:val="center"/>
        <w:rPr>
          <w:b/>
          <w:i/>
          <w:color w:val="1F497D"/>
          <w:szCs w:val="24"/>
          <w:lang w:eastAsia="en-GB"/>
        </w:rPr>
      </w:pPr>
    </w:p>
    <w:p w:rsidR="00C82C36" w:rsidRDefault="00C82C36" w:rsidP="00C82C36">
      <w:pPr>
        <w:spacing w:before="0" w:after="0"/>
        <w:ind w:right="-54"/>
        <w:jc w:val="center"/>
        <w:rPr>
          <w:b/>
          <w:i/>
          <w:color w:val="1F497D"/>
          <w:szCs w:val="24"/>
          <w:lang w:eastAsia="en-GB"/>
        </w:rPr>
      </w:pPr>
    </w:p>
    <w:p w:rsidR="00C82C36" w:rsidRDefault="00C82C36" w:rsidP="00C82C36">
      <w:pPr>
        <w:spacing w:before="0" w:after="0"/>
        <w:ind w:right="-54"/>
        <w:jc w:val="center"/>
        <w:rPr>
          <w:b/>
          <w:i/>
          <w:color w:val="1F497D"/>
          <w:szCs w:val="24"/>
          <w:lang w:eastAsia="en-GB"/>
        </w:rPr>
      </w:pPr>
    </w:p>
    <w:p w:rsidR="00C82C36" w:rsidRPr="00882C79" w:rsidRDefault="00C82C36" w:rsidP="00C82C36">
      <w:pPr>
        <w:spacing w:before="0" w:after="0"/>
        <w:ind w:right="-54"/>
        <w:jc w:val="center"/>
        <w:rPr>
          <w:b/>
          <w:i/>
          <w:color w:val="1F497D"/>
          <w:szCs w:val="24"/>
          <w:lang w:eastAsia="en-GB"/>
        </w:rPr>
      </w:pPr>
    </w:p>
    <w:p w:rsidR="00C82C36" w:rsidRPr="008824ED" w:rsidRDefault="00C82C36" w:rsidP="00C82C36">
      <w:pPr>
        <w:pBdr>
          <w:top w:val="single" w:sz="4" w:space="1" w:color="333399"/>
          <w:left w:val="single" w:sz="4" w:space="4" w:color="333399"/>
          <w:bottom w:val="single" w:sz="4" w:space="1" w:color="333399"/>
          <w:right w:val="single" w:sz="4" w:space="27" w:color="333399"/>
        </w:pBdr>
        <w:spacing w:before="0" w:after="0"/>
        <w:ind w:right="-54"/>
        <w:jc w:val="center"/>
        <w:rPr>
          <w:rFonts w:ascii="Arial" w:hAnsi="Arial" w:cs="Arial"/>
          <w:b/>
          <w:i/>
          <w:color w:val="1F497D"/>
          <w:sz w:val="22"/>
          <w:szCs w:val="22"/>
          <w:lang w:eastAsia="en-GB"/>
        </w:rPr>
      </w:pPr>
      <w:r w:rsidRPr="008824ED">
        <w:rPr>
          <w:rFonts w:ascii="Arial" w:hAnsi="Arial" w:cs="Arial"/>
          <w:b/>
          <w:i/>
          <w:color w:val="1F497D"/>
          <w:sz w:val="22"/>
          <w:szCs w:val="22"/>
          <w:lang w:eastAsia="en-GB"/>
        </w:rPr>
        <w:t xml:space="preserve">The opinions expressed in this document represent the authors’ points of view </w:t>
      </w:r>
    </w:p>
    <w:p w:rsidR="00C82C36" w:rsidRDefault="00C82C36" w:rsidP="00C82C36">
      <w:pPr>
        <w:pBdr>
          <w:top w:val="single" w:sz="4" w:space="1" w:color="333399"/>
          <w:left w:val="single" w:sz="4" w:space="4" w:color="333399"/>
          <w:bottom w:val="single" w:sz="4" w:space="1" w:color="333399"/>
          <w:right w:val="single" w:sz="4" w:space="27" w:color="333399"/>
        </w:pBdr>
        <w:spacing w:before="0" w:after="0"/>
        <w:ind w:right="-54"/>
        <w:jc w:val="center"/>
        <w:rPr>
          <w:rFonts w:ascii="Arial" w:hAnsi="Arial" w:cs="Arial"/>
          <w:b/>
          <w:i/>
          <w:color w:val="1F497D"/>
          <w:sz w:val="22"/>
          <w:szCs w:val="22"/>
          <w:lang w:eastAsia="en-GB"/>
        </w:rPr>
      </w:pPr>
      <w:r w:rsidRPr="008824ED">
        <w:rPr>
          <w:rFonts w:ascii="Arial" w:hAnsi="Arial" w:cs="Arial"/>
          <w:b/>
          <w:i/>
          <w:color w:val="1F497D"/>
          <w:sz w:val="22"/>
          <w:szCs w:val="22"/>
          <w:lang w:eastAsia="en-GB"/>
        </w:rPr>
        <w:t>which are not necessarily shared by the European Commission or by the authorities of the concerned countries</w:t>
      </w:r>
    </w:p>
    <w:p w:rsidR="00C82C36" w:rsidRDefault="00C82C36" w:rsidP="00C82C36">
      <w:pPr>
        <w:pBdr>
          <w:top w:val="single" w:sz="4" w:space="1" w:color="333399"/>
          <w:left w:val="single" w:sz="4" w:space="4" w:color="333399"/>
          <w:bottom w:val="single" w:sz="4" w:space="1" w:color="333399"/>
          <w:right w:val="single" w:sz="4" w:space="27" w:color="333399"/>
        </w:pBdr>
        <w:spacing w:before="0" w:after="0"/>
        <w:ind w:right="-54"/>
        <w:jc w:val="center"/>
        <w:rPr>
          <w:rFonts w:ascii="Arial" w:hAnsi="Arial" w:cs="Arial"/>
          <w:b/>
          <w:i/>
          <w:color w:val="1F497D"/>
          <w:sz w:val="22"/>
          <w:szCs w:val="22"/>
          <w:lang w:eastAsia="en-GB"/>
        </w:rPr>
      </w:pPr>
    </w:p>
    <w:p w:rsidR="00C82C36" w:rsidRPr="007A2ED2" w:rsidRDefault="00C82C36" w:rsidP="00C82C36">
      <w:pPr>
        <w:pBdr>
          <w:top w:val="single" w:sz="4" w:space="1" w:color="333399"/>
          <w:left w:val="single" w:sz="4" w:space="4" w:color="333399"/>
          <w:bottom w:val="single" w:sz="4" w:space="1" w:color="333399"/>
          <w:right w:val="single" w:sz="4" w:space="27" w:color="333399"/>
        </w:pBdr>
        <w:spacing w:before="0" w:after="0"/>
        <w:ind w:right="-54"/>
        <w:jc w:val="center"/>
        <w:rPr>
          <w:rFonts w:ascii="Arial" w:hAnsi="Arial" w:cs="Arial"/>
          <w:i/>
          <w:color w:val="1F497D"/>
          <w:sz w:val="22"/>
          <w:szCs w:val="22"/>
          <w:u w:val="single"/>
          <w:lang w:eastAsia="en-GB"/>
        </w:rPr>
      </w:pPr>
      <w:r w:rsidRPr="007A2ED2">
        <w:rPr>
          <w:rFonts w:ascii="Arial" w:hAnsi="Arial" w:cs="Arial"/>
          <w:i/>
          <w:color w:val="1F497D"/>
          <w:sz w:val="22"/>
          <w:szCs w:val="22"/>
          <w:u w:val="single"/>
          <w:lang w:eastAsia="en-GB"/>
        </w:rPr>
        <w:t xml:space="preserve">Evaluation Team </w:t>
      </w:r>
    </w:p>
    <w:p w:rsidR="00C82C36" w:rsidRDefault="00C82C36" w:rsidP="00C82C36">
      <w:pPr>
        <w:pBdr>
          <w:top w:val="single" w:sz="4" w:space="1" w:color="333399"/>
          <w:left w:val="single" w:sz="4" w:space="4" w:color="333399"/>
          <w:bottom w:val="single" w:sz="4" w:space="1" w:color="333399"/>
          <w:right w:val="single" w:sz="4" w:space="27" w:color="333399"/>
        </w:pBdr>
        <w:spacing w:before="0" w:after="0"/>
        <w:ind w:right="-54"/>
        <w:jc w:val="center"/>
        <w:rPr>
          <w:rFonts w:ascii="Arial" w:hAnsi="Arial" w:cs="Arial"/>
          <w:i/>
          <w:color w:val="1F497D"/>
          <w:sz w:val="22"/>
          <w:szCs w:val="22"/>
          <w:lang w:eastAsia="en-GB"/>
        </w:rPr>
      </w:pPr>
      <w:r w:rsidRPr="007A2ED2">
        <w:rPr>
          <w:rFonts w:ascii="Arial" w:hAnsi="Arial" w:cs="Arial"/>
          <w:i/>
          <w:color w:val="1F497D"/>
          <w:sz w:val="22"/>
          <w:szCs w:val="22"/>
          <w:lang w:eastAsia="en-GB"/>
        </w:rPr>
        <w:t>Team Leader</w:t>
      </w:r>
      <w:r>
        <w:rPr>
          <w:rFonts w:ascii="Arial" w:hAnsi="Arial" w:cs="Arial"/>
          <w:i/>
          <w:color w:val="1F497D"/>
          <w:sz w:val="22"/>
          <w:szCs w:val="22"/>
          <w:lang w:eastAsia="en-GB"/>
        </w:rPr>
        <w:t>:</w:t>
      </w:r>
      <w:r>
        <w:rPr>
          <w:rFonts w:ascii="Arial" w:hAnsi="Arial" w:cs="Arial"/>
          <w:i/>
          <w:color w:val="1F497D"/>
          <w:sz w:val="22"/>
          <w:szCs w:val="22"/>
          <w:lang w:eastAsia="en-GB"/>
        </w:rPr>
        <w:tab/>
        <w:t>Joe Saba</w:t>
      </w:r>
      <w:r w:rsidRPr="007A2ED2">
        <w:rPr>
          <w:rFonts w:ascii="Arial" w:hAnsi="Arial" w:cs="Arial"/>
          <w:i/>
          <w:color w:val="1F497D"/>
          <w:sz w:val="22"/>
          <w:szCs w:val="22"/>
          <w:lang w:eastAsia="en-GB"/>
        </w:rPr>
        <w:t xml:space="preserve"> </w:t>
      </w:r>
    </w:p>
    <w:p w:rsidR="00C82C36" w:rsidRPr="007A2ED2" w:rsidRDefault="00C82C36" w:rsidP="00C82C36">
      <w:pPr>
        <w:pBdr>
          <w:top w:val="single" w:sz="4" w:space="1" w:color="333399"/>
          <w:left w:val="single" w:sz="4" w:space="4" w:color="333399"/>
          <w:bottom w:val="single" w:sz="4" w:space="1" w:color="333399"/>
          <w:right w:val="single" w:sz="4" w:space="27" w:color="333399"/>
        </w:pBdr>
        <w:spacing w:before="0" w:after="0"/>
        <w:ind w:right="-54"/>
        <w:jc w:val="center"/>
        <w:rPr>
          <w:rFonts w:ascii="Arial" w:hAnsi="Arial" w:cs="Arial"/>
          <w:i/>
          <w:color w:val="1F497D"/>
          <w:sz w:val="22"/>
          <w:szCs w:val="22"/>
          <w:lang w:eastAsia="en-GB"/>
        </w:rPr>
      </w:pPr>
      <w:r w:rsidRPr="007A2ED2">
        <w:rPr>
          <w:rFonts w:ascii="Arial" w:hAnsi="Arial" w:cs="Arial"/>
          <w:i/>
          <w:color w:val="1F497D"/>
          <w:sz w:val="22"/>
          <w:szCs w:val="22"/>
          <w:lang w:eastAsia="en-GB"/>
        </w:rPr>
        <w:t>Deputy Team Leader</w:t>
      </w:r>
      <w:r>
        <w:rPr>
          <w:rFonts w:ascii="Arial" w:hAnsi="Arial" w:cs="Arial"/>
          <w:i/>
          <w:color w:val="1F497D"/>
          <w:sz w:val="22"/>
          <w:szCs w:val="22"/>
          <w:lang w:eastAsia="en-GB"/>
        </w:rPr>
        <w:t>: Paolo Scalia</w:t>
      </w:r>
    </w:p>
    <w:p w:rsidR="00C82C36" w:rsidRPr="007A2ED2" w:rsidRDefault="00C82C36" w:rsidP="00C82C36">
      <w:pPr>
        <w:pBdr>
          <w:top w:val="single" w:sz="4" w:space="1" w:color="333399"/>
          <w:left w:val="single" w:sz="4" w:space="4" w:color="333399"/>
          <w:bottom w:val="single" w:sz="4" w:space="1" w:color="333399"/>
          <w:right w:val="single" w:sz="4" w:space="27" w:color="333399"/>
        </w:pBdr>
        <w:spacing w:before="0" w:after="0"/>
        <w:ind w:right="-54"/>
        <w:jc w:val="center"/>
        <w:rPr>
          <w:rFonts w:ascii="Arial" w:hAnsi="Arial" w:cs="Arial"/>
          <w:i/>
          <w:color w:val="1F497D"/>
          <w:sz w:val="22"/>
          <w:szCs w:val="22"/>
          <w:lang w:eastAsia="en-GB"/>
        </w:rPr>
      </w:pPr>
      <w:r w:rsidRPr="007A2ED2">
        <w:rPr>
          <w:rFonts w:ascii="Arial" w:hAnsi="Arial" w:cs="Arial"/>
          <w:i/>
          <w:color w:val="1F497D"/>
          <w:sz w:val="22"/>
          <w:szCs w:val="22"/>
          <w:lang w:eastAsia="en-GB"/>
        </w:rPr>
        <w:t>Social Expert</w:t>
      </w:r>
      <w:r>
        <w:rPr>
          <w:rFonts w:ascii="Arial" w:hAnsi="Arial" w:cs="Arial"/>
          <w:i/>
          <w:color w:val="1F497D"/>
          <w:sz w:val="22"/>
          <w:szCs w:val="22"/>
          <w:lang w:eastAsia="en-GB"/>
        </w:rPr>
        <w:t xml:space="preserve">: Nick Krafft </w:t>
      </w:r>
    </w:p>
    <w:p w:rsidR="00C82C36" w:rsidRPr="007A2ED2" w:rsidRDefault="00C82C36" w:rsidP="00C82C36">
      <w:pPr>
        <w:pBdr>
          <w:top w:val="single" w:sz="4" w:space="1" w:color="333399"/>
          <w:left w:val="single" w:sz="4" w:space="4" w:color="333399"/>
          <w:bottom w:val="single" w:sz="4" w:space="1" w:color="333399"/>
          <w:right w:val="single" w:sz="4" w:space="27" w:color="333399"/>
        </w:pBdr>
        <w:spacing w:before="0" w:after="0"/>
        <w:ind w:right="-54"/>
        <w:jc w:val="center"/>
        <w:rPr>
          <w:rFonts w:ascii="Arial" w:hAnsi="Arial" w:cs="Arial"/>
          <w:i/>
          <w:color w:val="1F497D"/>
          <w:sz w:val="22"/>
          <w:szCs w:val="22"/>
          <w:lang w:eastAsia="en-GB"/>
        </w:rPr>
      </w:pPr>
      <w:r w:rsidRPr="007A2ED2">
        <w:rPr>
          <w:rFonts w:ascii="Arial" w:hAnsi="Arial" w:cs="Arial"/>
          <w:i/>
          <w:color w:val="1F497D"/>
          <w:sz w:val="22"/>
          <w:szCs w:val="22"/>
          <w:lang w:eastAsia="en-GB"/>
        </w:rPr>
        <w:t>Water and Sanitation Expert</w:t>
      </w:r>
      <w:r>
        <w:rPr>
          <w:rFonts w:ascii="Arial" w:hAnsi="Arial" w:cs="Arial"/>
          <w:i/>
          <w:color w:val="1F497D"/>
          <w:sz w:val="22"/>
          <w:szCs w:val="22"/>
          <w:lang w:eastAsia="en-GB"/>
        </w:rPr>
        <w:t>:</w:t>
      </w:r>
      <w:r>
        <w:rPr>
          <w:rFonts w:ascii="Arial" w:hAnsi="Arial" w:cs="Arial"/>
          <w:i/>
          <w:color w:val="1F497D"/>
          <w:sz w:val="22"/>
          <w:szCs w:val="22"/>
          <w:lang w:eastAsia="en-GB"/>
        </w:rPr>
        <w:tab/>
      </w:r>
      <w:r w:rsidRPr="007A2ED2">
        <w:rPr>
          <w:rFonts w:ascii="Arial" w:hAnsi="Arial" w:cs="Arial"/>
          <w:i/>
          <w:color w:val="1F497D"/>
          <w:sz w:val="22"/>
          <w:szCs w:val="22"/>
          <w:lang w:eastAsia="en-GB"/>
        </w:rPr>
        <w:t xml:space="preserve"> </w:t>
      </w:r>
      <w:r>
        <w:rPr>
          <w:rFonts w:ascii="Arial" w:hAnsi="Arial" w:cs="Arial"/>
          <w:i/>
          <w:color w:val="1F497D"/>
          <w:sz w:val="22"/>
          <w:szCs w:val="22"/>
          <w:lang w:eastAsia="en-GB"/>
        </w:rPr>
        <w:t>Jean-Claude Ceuppens</w:t>
      </w:r>
    </w:p>
    <w:p w:rsidR="00C82C36" w:rsidRPr="007A2ED2" w:rsidRDefault="00C82C36" w:rsidP="00C82C36">
      <w:pPr>
        <w:pBdr>
          <w:top w:val="single" w:sz="4" w:space="1" w:color="333399"/>
          <w:left w:val="single" w:sz="4" w:space="4" w:color="333399"/>
          <w:bottom w:val="single" w:sz="4" w:space="1" w:color="333399"/>
          <w:right w:val="single" w:sz="4" w:space="27" w:color="333399"/>
        </w:pBdr>
        <w:spacing w:before="0" w:after="0"/>
        <w:ind w:right="-54"/>
        <w:jc w:val="center"/>
        <w:rPr>
          <w:rFonts w:ascii="Arial" w:hAnsi="Arial" w:cs="Arial"/>
          <w:i/>
          <w:color w:val="1F497D"/>
          <w:sz w:val="22"/>
          <w:szCs w:val="22"/>
          <w:lang w:eastAsia="en-GB"/>
        </w:rPr>
      </w:pPr>
      <w:r w:rsidRPr="007A2ED2">
        <w:rPr>
          <w:rFonts w:ascii="Arial" w:hAnsi="Arial" w:cs="Arial"/>
          <w:i/>
          <w:color w:val="1F497D"/>
          <w:sz w:val="22"/>
          <w:szCs w:val="22"/>
          <w:lang w:eastAsia="en-GB"/>
        </w:rPr>
        <w:t>National Expert</w:t>
      </w:r>
      <w:r>
        <w:rPr>
          <w:rFonts w:ascii="Arial" w:hAnsi="Arial" w:cs="Arial"/>
          <w:i/>
          <w:color w:val="1F497D"/>
          <w:sz w:val="22"/>
          <w:szCs w:val="22"/>
          <w:lang w:eastAsia="en-GB"/>
        </w:rPr>
        <w:t>:</w:t>
      </w:r>
      <w:r w:rsidRPr="007A2ED2">
        <w:rPr>
          <w:rFonts w:ascii="Arial" w:hAnsi="Arial" w:cs="Arial"/>
          <w:i/>
          <w:color w:val="1F497D"/>
          <w:sz w:val="22"/>
          <w:szCs w:val="22"/>
          <w:lang w:eastAsia="en-GB"/>
        </w:rPr>
        <w:t xml:space="preserve"> </w:t>
      </w:r>
      <w:r>
        <w:rPr>
          <w:rFonts w:ascii="Arial" w:hAnsi="Arial" w:cs="Arial"/>
          <w:i/>
          <w:color w:val="1F497D"/>
          <w:sz w:val="22"/>
          <w:szCs w:val="22"/>
          <w:lang w:eastAsia="en-GB"/>
        </w:rPr>
        <w:t xml:space="preserve">Omar Shaban </w:t>
      </w:r>
    </w:p>
    <w:p w:rsidR="00C82C36" w:rsidRPr="007A2ED2" w:rsidRDefault="00C82C36" w:rsidP="00C82C36">
      <w:pPr>
        <w:pBdr>
          <w:top w:val="single" w:sz="4" w:space="1" w:color="333399"/>
          <w:left w:val="single" w:sz="4" w:space="4" w:color="333399"/>
          <w:bottom w:val="single" w:sz="4" w:space="1" w:color="333399"/>
          <w:right w:val="single" w:sz="4" w:space="27" w:color="333399"/>
        </w:pBdr>
        <w:spacing w:before="0" w:after="0"/>
        <w:ind w:right="-54"/>
        <w:jc w:val="center"/>
        <w:rPr>
          <w:rFonts w:ascii="Arial" w:hAnsi="Arial" w:cs="Arial"/>
          <w:i/>
          <w:color w:val="1F497D"/>
          <w:sz w:val="22"/>
          <w:szCs w:val="22"/>
          <w:lang w:eastAsia="en-GB"/>
        </w:rPr>
      </w:pPr>
      <w:r w:rsidRPr="007A2ED2">
        <w:rPr>
          <w:rFonts w:ascii="Arial" w:hAnsi="Arial" w:cs="Arial"/>
          <w:i/>
          <w:color w:val="1F497D"/>
          <w:sz w:val="22"/>
          <w:szCs w:val="22"/>
          <w:lang w:eastAsia="en-GB"/>
        </w:rPr>
        <w:t>Research Assistant</w:t>
      </w:r>
      <w:r>
        <w:rPr>
          <w:rFonts w:ascii="Arial" w:hAnsi="Arial" w:cs="Arial"/>
          <w:i/>
          <w:color w:val="1F497D"/>
          <w:sz w:val="22"/>
          <w:szCs w:val="22"/>
          <w:lang w:eastAsia="en-GB"/>
        </w:rPr>
        <w:t>:</w:t>
      </w:r>
      <w:r w:rsidRPr="007A2ED2">
        <w:rPr>
          <w:rFonts w:ascii="Arial" w:hAnsi="Arial" w:cs="Arial"/>
          <w:i/>
          <w:color w:val="1F497D"/>
          <w:sz w:val="22"/>
          <w:szCs w:val="22"/>
          <w:lang w:eastAsia="en-GB"/>
        </w:rPr>
        <w:t xml:space="preserve"> </w:t>
      </w:r>
      <w:r>
        <w:rPr>
          <w:rFonts w:ascii="Arial" w:hAnsi="Arial" w:cs="Arial"/>
          <w:i/>
          <w:color w:val="1F497D"/>
          <w:sz w:val="22"/>
          <w:szCs w:val="22"/>
          <w:lang w:eastAsia="en-GB"/>
        </w:rPr>
        <w:t xml:space="preserve">Silvia Cifarelli </w:t>
      </w:r>
    </w:p>
    <w:p w:rsidR="00C82C36" w:rsidRPr="007A2ED2" w:rsidRDefault="00C82C36" w:rsidP="00C82C36">
      <w:pPr>
        <w:pBdr>
          <w:top w:val="single" w:sz="4" w:space="1" w:color="333399"/>
          <w:left w:val="single" w:sz="4" w:space="4" w:color="333399"/>
          <w:bottom w:val="single" w:sz="4" w:space="1" w:color="333399"/>
          <w:right w:val="single" w:sz="4" w:space="27" w:color="333399"/>
        </w:pBdr>
        <w:spacing w:before="0" w:after="0"/>
        <w:ind w:right="-54"/>
        <w:jc w:val="center"/>
        <w:rPr>
          <w:rFonts w:ascii="Arial" w:hAnsi="Arial" w:cs="Arial"/>
          <w:i/>
          <w:color w:val="1F497D"/>
          <w:sz w:val="22"/>
          <w:szCs w:val="22"/>
          <w:lang w:eastAsia="en-GB"/>
        </w:rPr>
      </w:pPr>
      <w:r w:rsidRPr="007A2ED2">
        <w:rPr>
          <w:rFonts w:ascii="Arial" w:hAnsi="Arial" w:cs="Arial"/>
          <w:i/>
          <w:color w:val="1F497D"/>
          <w:sz w:val="22"/>
          <w:szCs w:val="22"/>
          <w:lang w:eastAsia="en-GB"/>
        </w:rPr>
        <w:t>Quality Advisor</w:t>
      </w:r>
      <w:r>
        <w:rPr>
          <w:rFonts w:ascii="Arial" w:hAnsi="Arial" w:cs="Arial"/>
          <w:i/>
          <w:color w:val="1F497D"/>
          <w:sz w:val="22"/>
          <w:szCs w:val="22"/>
          <w:lang w:eastAsia="en-GB"/>
        </w:rPr>
        <w:t>:</w:t>
      </w:r>
      <w:r w:rsidRPr="007A2ED2">
        <w:rPr>
          <w:rFonts w:ascii="Arial" w:hAnsi="Arial" w:cs="Arial"/>
          <w:i/>
          <w:color w:val="1F497D"/>
          <w:sz w:val="22"/>
          <w:szCs w:val="22"/>
          <w:lang w:eastAsia="en-GB"/>
        </w:rPr>
        <w:t xml:space="preserve"> </w:t>
      </w:r>
      <w:r>
        <w:rPr>
          <w:rFonts w:ascii="Arial" w:hAnsi="Arial" w:cs="Arial"/>
          <w:i/>
          <w:color w:val="1F497D"/>
          <w:sz w:val="22"/>
          <w:szCs w:val="22"/>
          <w:lang w:eastAsia="en-GB"/>
        </w:rPr>
        <w:t>Jean Bossuyt</w:t>
      </w:r>
    </w:p>
    <w:p w:rsidR="00A574EB" w:rsidRPr="00C82C36" w:rsidRDefault="00A574EB" w:rsidP="00A574EB">
      <w:pPr>
        <w:rPr>
          <w:rFonts w:ascii="Times New Roman" w:hAnsi="Times New Roman"/>
        </w:rPr>
      </w:pPr>
    </w:p>
    <w:p w:rsidR="00A574EB" w:rsidRPr="00E24403" w:rsidRDefault="00A574EB" w:rsidP="00A574EB">
      <w:pPr>
        <w:pStyle w:val="Address"/>
        <w:rPr>
          <w:rFonts w:ascii="Times New Roman" w:hAnsi="Times New Roman"/>
          <w:color w:val="333399"/>
          <w:szCs w:val="24"/>
        </w:rPr>
        <w:sectPr w:rsidR="00A574EB" w:rsidRPr="00E24403" w:rsidSect="004D3D6D">
          <w:pgSz w:w="11907" w:h="16839" w:code="9"/>
          <w:pgMar w:top="1134" w:right="1134" w:bottom="1134" w:left="1134" w:header="709" w:footer="709" w:gutter="0"/>
          <w:pgNumType w:fmt="lowerRoman" w:start="1"/>
          <w:cols w:space="708" w:equalWidth="0">
            <w:col w:w="9071" w:space="2707"/>
          </w:cols>
          <w:titlePg/>
          <w:docGrid w:linePitch="360"/>
        </w:sectPr>
      </w:pPr>
    </w:p>
    <w:p w:rsidR="00A574EB" w:rsidRPr="00E24403" w:rsidRDefault="00A574EB" w:rsidP="00A574EB">
      <w:pPr>
        <w:rPr>
          <w:rFonts w:ascii="Times New Roman" w:hAnsi="Times New Roman"/>
          <w:lang w:val="en-GB"/>
        </w:rPr>
      </w:pPr>
    </w:p>
    <w:p w:rsidR="00A574EB" w:rsidRPr="00E24403" w:rsidRDefault="00A574EB" w:rsidP="00A574EB">
      <w:pPr>
        <w:rPr>
          <w:rFonts w:ascii="Times New Roman" w:hAnsi="Times New Roman"/>
          <w:lang w:val="en-GB"/>
        </w:rPr>
      </w:pPr>
    </w:p>
    <w:p w:rsidR="00A574EB" w:rsidRPr="00E24403" w:rsidRDefault="00A574EB" w:rsidP="00A574EB">
      <w:pPr>
        <w:rPr>
          <w:rFonts w:ascii="Times New Roman" w:hAnsi="Times New Roman"/>
          <w:lang w:val="en-GB"/>
        </w:rPr>
      </w:pPr>
    </w:p>
    <w:p w:rsidR="00A574EB" w:rsidRPr="00E24403" w:rsidRDefault="00A574EB" w:rsidP="00A574EB">
      <w:pPr>
        <w:rPr>
          <w:rFonts w:ascii="Times New Roman" w:hAnsi="Times New Roman"/>
          <w:lang w:val="en-GB"/>
        </w:rPr>
      </w:pPr>
    </w:p>
    <w:p w:rsidR="00A574EB" w:rsidRPr="00E24403" w:rsidRDefault="00A574EB" w:rsidP="00A574EB">
      <w:pPr>
        <w:rPr>
          <w:rFonts w:ascii="Times New Roman" w:hAnsi="Times New Roman"/>
          <w:lang w:val="en-GB"/>
        </w:rPr>
      </w:pPr>
    </w:p>
    <w:p w:rsidR="00A574EB" w:rsidRPr="00E24403" w:rsidRDefault="00A574EB" w:rsidP="00A574EB">
      <w:pPr>
        <w:rPr>
          <w:rFonts w:ascii="Times New Roman" w:hAnsi="Times New Roman"/>
          <w:lang w:val="en-GB"/>
        </w:rPr>
      </w:pPr>
    </w:p>
    <w:p w:rsidR="00A574EB" w:rsidRPr="00E24403" w:rsidRDefault="00A574EB" w:rsidP="00A574EB">
      <w:pPr>
        <w:rPr>
          <w:rFonts w:ascii="Times New Roman" w:hAnsi="Times New Roman"/>
          <w:lang w:val="en-GB"/>
        </w:rPr>
      </w:pPr>
    </w:p>
    <w:p w:rsidR="00A574EB" w:rsidRPr="00E24403" w:rsidRDefault="00A574EB" w:rsidP="00A574EB">
      <w:pPr>
        <w:rPr>
          <w:rFonts w:ascii="Times New Roman" w:hAnsi="Times New Roman"/>
          <w:lang w:val="en-GB"/>
        </w:rPr>
      </w:pPr>
    </w:p>
    <w:p w:rsidR="00A574EB" w:rsidRPr="00E24403" w:rsidRDefault="00A574EB" w:rsidP="00A574EB">
      <w:pPr>
        <w:rPr>
          <w:rFonts w:ascii="Times New Roman" w:hAnsi="Times New Roman"/>
          <w:lang w:val="en-GB"/>
        </w:rPr>
      </w:pPr>
    </w:p>
    <w:p w:rsidR="00A574EB" w:rsidRPr="00E24403" w:rsidRDefault="00A574EB" w:rsidP="00A574EB">
      <w:pPr>
        <w:rPr>
          <w:rFonts w:ascii="Times New Roman" w:hAnsi="Times New Roman"/>
          <w:lang w:val="en-GB"/>
        </w:rPr>
      </w:pPr>
    </w:p>
    <w:p w:rsidR="00A574EB" w:rsidRPr="00E24403" w:rsidRDefault="00A574EB" w:rsidP="00A574EB">
      <w:pPr>
        <w:rPr>
          <w:rFonts w:ascii="Times New Roman" w:hAnsi="Times New Roman"/>
          <w:lang w:val="en-GB"/>
        </w:rPr>
      </w:pPr>
    </w:p>
    <w:p w:rsidR="00A574EB" w:rsidRPr="00E24403" w:rsidRDefault="00A574EB" w:rsidP="00A574EB">
      <w:pPr>
        <w:rPr>
          <w:rFonts w:ascii="Times New Roman" w:hAnsi="Times New Roman"/>
          <w:lang w:val="en-GB"/>
        </w:rPr>
      </w:pPr>
    </w:p>
    <w:p w:rsidR="00A574EB" w:rsidRPr="00E24403" w:rsidRDefault="00A574EB" w:rsidP="00A574EB">
      <w:pPr>
        <w:rPr>
          <w:rFonts w:ascii="Times New Roman" w:hAnsi="Times New Roman"/>
          <w:lang w:val="en-GB"/>
        </w:rPr>
      </w:pPr>
    </w:p>
    <w:p w:rsidR="00A574EB" w:rsidRPr="00E24403" w:rsidRDefault="00A574EB" w:rsidP="00A574EB">
      <w:pPr>
        <w:rPr>
          <w:rFonts w:ascii="Times New Roman" w:hAnsi="Times New Roman"/>
          <w:lang w:val="en-GB"/>
        </w:rPr>
      </w:pPr>
    </w:p>
    <w:p w:rsidR="00A574EB" w:rsidRPr="00E24403" w:rsidRDefault="00A574EB" w:rsidP="00A574EB">
      <w:pPr>
        <w:rPr>
          <w:rFonts w:ascii="Times New Roman" w:hAnsi="Times New Roman"/>
          <w:lang w:val="en-GB"/>
        </w:rPr>
      </w:pPr>
    </w:p>
    <w:p w:rsidR="00A574EB" w:rsidRPr="00E24403" w:rsidRDefault="00A574EB" w:rsidP="00A574EB">
      <w:pPr>
        <w:rPr>
          <w:rFonts w:ascii="Times New Roman" w:hAnsi="Times New Roman"/>
          <w:lang w:val="en-GB"/>
        </w:rPr>
      </w:pPr>
    </w:p>
    <w:p w:rsidR="00A574EB" w:rsidRPr="00E24403" w:rsidRDefault="00A574EB" w:rsidP="00A574EB">
      <w:pPr>
        <w:rPr>
          <w:rFonts w:ascii="Times New Roman" w:hAnsi="Times New Roman"/>
          <w:lang w:val="en-GB"/>
        </w:rPr>
      </w:pPr>
    </w:p>
    <w:p w:rsidR="00A574EB" w:rsidRPr="00E24403" w:rsidRDefault="00A574EB" w:rsidP="00A574EB">
      <w:pPr>
        <w:rPr>
          <w:rFonts w:ascii="Times New Roman" w:hAnsi="Times New Roman"/>
          <w:lang w:val="en-GB"/>
        </w:rPr>
      </w:pPr>
    </w:p>
    <w:p w:rsidR="00A574EB" w:rsidRPr="00E24403" w:rsidRDefault="00A574EB" w:rsidP="00A574EB">
      <w:pPr>
        <w:rPr>
          <w:rFonts w:ascii="Times New Roman" w:hAnsi="Times New Roman"/>
          <w:lang w:val="en-GB"/>
        </w:rPr>
      </w:pPr>
    </w:p>
    <w:p w:rsidR="00A574EB" w:rsidRPr="00E24403" w:rsidRDefault="00A574EB" w:rsidP="00A574EB">
      <w:pPr>
        <w:rPr>
          <w:rFonts w:ascii="Times New Roman" w:hAnsi="Times New Roman"/>
          <w:lang w:val="en-GB"/>
        </w:rPr>
      </w:pPr>
    </w:p>
    <w:p w:rsidR="00A574EB" w:rsidRPr="00E24403" w:rsidRDefault="00A574EB" w:rsidP="00A574EB">
      <w:pPr>
        <w:rPr>
          <w:rFonts w:ascii="Times New Roman" w:hAnsi="Times New Roman"/>
          <w:lang w:val="en-GB"/>
        </w:rPr>
      </w:pPr>
    </w:p>
    <w:p w:rsidR="00A574EB" w:rsidRPr="00E24403" w:rsidRDefault="00A574EB" w:rsidP="00A574EB">
      <w:pPr>
        <w:rPr>
          <w:rFonts w:ascii="Times New Roman" w:hAnsi="Times New Roman"/>
          <w:lang w:val="en-GB"/>
        </w:rPr>
      </w:pPr>
    </w:p>
    <w:p w:rsidR="00A574EB" w:rsidRPr="00E24403" w:rsidRDefault="00A574EB" w:rsidP="00A574EB">
      <w:pPr>
        <w:rPr>
          <w:rFonts w:ascii="Times New Roman" w:hAnsi="Times New Roman"/>
          <w:lang w:val="en-GB"/>
        </w:rPr>
      </w:pPr>
    </w:p>
    <w:p w:rsidR="00A574EB" w:rsidRPr="00E24403" w:rsidRDefault="00A574EB" w:rsidP="00A574EB">
      <w:pPr>
        <w:rPr>
          <w:rFonts w:ascii="Times New Roman" w:hAnsi="Times New Roman"/>
          <w:lang w:val="en-GB"/>
        </w:rPr>
      </w:pPr>
    </w:p>
    <w:p w:rsidR="00A574EB" w:rsidRPr="00E24403" w:rsidRDefault="00A574EB" w:rsidP="00A574EB">
      <w:pPr>
        <w:rPr>
          <w:rFonts w:ascii="Times New Roman" w:hAnsi="Times New Roman"/>
          <w:lang w:val="en-GB"/>
        </w:rPr>
      </w:pPr>
    </w:p>
    <w:p w:rsidR="00A574EB" w:rsidRPr="00E24403" w:rsidRDefault="00A574EB" w:rsidP="00A574EB">
      <w:pPr>
        <w:rPr>
          <w:rFonts w:ascii="Times New Roman" w:hAnsi="Times New Roman"/>
          <w:lang w:val="en-GB"/>
        </w:rPr>
      </w:pPr>
    </w:p>
    <w:p w:rsidR="00A574EB" w:rsidRPr="00E24403" w:rsidRDefault="00A574EB" w:rsidP="00A574EB">
      <w:pPr>
        <w:rPr>
          <w:rFonts w:ascii="Times New Roman" w:hAnsi="Times New Roman"/>
          <w:lang w:val="en-GB"/>
        </w:rPr>
      </w:pPr>
    </w:p>
    <w:p w:rsidR="00A574EB" w:rsidRPr="00E24403" w:rsidRDefault="00A574EB" w:rsidP="00A574EB">
      <w:pPr>
        <w:rPr>
          <w:rFonts w:ascii="Times New Roman" w:hAnsi="Times New Roman"/>
          <w:lang w:val="en-GB"/>
        </w:rPr>
      </w:pPr>
    </w:p>
    <w:p w:rsidR="00A574EB" w:rsidRPr="00E24403" w:rsidRDefault="00A574EB" w:rsidP="00A574EB">
      <w:pPr>
        <w:rPr>
          <w:rFonts w:ascii="Times New Roman" w:hAnsi="Times New Roman"/>
          <w:lang w:val="en-GB"/>
        </w:rPr>
      </w:pPr>
    </w:p>
    <w:p w:rsidR="00A574EB" w:rsidRPr="00E61488" w:rsidRDefault="00A574EB" w:rsidP="00A574EB">
      <w:pPr>
        <w:tabs>
          <w:tab w:val="left" w:pos="6120"/>
        </w:tabs>
        <w:ind w:left="4111" w:right="-57"/>
        <w:rPr>
          <w:rFonts w:ascii="Arial" w:hAnsi="Arial" w:cs="Arial"/>
          <w:color w:val="1F497D" w:themeColor="text2"/>
          <w:lang w:val="en-GB"/>
        </w:rPr>
      </w:pPr>
      <w:r w:rsidRPr="00E61488">
        <w:rPr>
          <w:rFonts w:ascii="Arial" w:hAnsi="Arial" w:cs="Arial"/>
          <w:color w:val="1F497D" w:themeColor="text2"/>
          <w:lang w:val="en-GB"/>
        </w:rPr>
        <w:t>The evaluation is being managed by the Evaluation Unit of DG DEVCO.</w:t>
      </w:r>
    </w:p>
    <w:p w:rsidR="00A574EB" w:rsidRPr="00E61488" w:rsidRDefault="00A574EB" w:rsidP="00A574EB">
      <w:pPr>
        <w:tabs>
          <w:tab w:val="left" w:pos="6120"/>
        </w:tabs>
        <w:ind w:left="4111" w:right="-57"/>
        <w:rPr>
          <w:rFonts w:ascii="Arial" w:hAnsi="Arial" w:cs="Arial"/>
          <w:color w:val="1F497D" w:themeColor="text2"/>
          <w:lang w:val="en-GB"/>
        </w:rPr>
      </w:pPr>
    </w:p>
    <w:p w:rsidR="00A574EB" w:rsidRPr="00E24403" w:rsidRDefault="00A574EB" w:rsidP="00A574EB">
      <w:pPr>
        <w:tabs>
          <w:tab w:val="left" w:pos="6120"/>
        </w:tabs>
        <w:ind w:left="4111" w:right="-57"/>
        <w:rPr>
          <w:rFonts w:ascii="Times New Roman" w:hAnsi="Times New Roman"/>
          <w:color w:val="1F497D" w:themeColor="text2"/>
          <w:lang w:val="en-GB"/>
        </w:rPr>
      </w:pPr>
      <w:r w:rsidRPr="00E61488">
        <w:rPr>
          <w:rFonts w:ascii="Arial" w:hAnsi="Arial" w:cs="Arial"/>
          <w:color w:val="1F497D" w:themeColor="text2"/>
          <w:lang w:val="en-GB"/>
        </w:rPr>
        <w:t>The authors accept sole responsibility for this report, drawn up on behalf of the Commission of the European Communities. The report does not necessarily reflect the views of the Commission</w:t>
      </w:r>
      <w:r w:rsidRPr="00E24403">
        <w:rPr>
          <w:rFonts w:ascii="Times New Roman" w:hAnsi="Times New Roman"/>
          <w:color w:val="1F497D" w:themeColor="text2"/>
          <w:lang w:val="en-GB"/>
        </w:rPr>
        <w:t>.</w:t>
      </w:r>
    </w:p>
    <w:p w:rsidR="00A574EB" w:rsidRDefault="00A574EB" w:rsidP="00A574EB">
      <w:pPr>
        <w:rPr>
          <w:lang w:val="en-GB"/>
        </w:rPr>
        <w:sectPr w:rsidR="00A574EB" w:rsidSect="00943FF8">
          <w:footerReference w:type="default" r:id="rId18"/>
          <w:pgSz w:w="11906" w:h="16838"/>
          <w:pgMar w:top="1417" w:right="1134" w:bottom="1134" w:left="1134" w:header="708" w:footer="708" w:gutter="0"/>
          <w:cols w:space="708"/>
          <w:docGrid w:linePitch="360"/>
        </w:sectPr>
      </w:pPr>
    </w:p>
    <w:sdt>
      <w:sdtPr>
        <w:rPr>
          <w:rFonts w:ascii="Cambria" w:hAnsi="Cambria" w:cs="Times New Roman"/>
          <w:b w:val="0"/>
          <w:bCs/>
          <w:caps w:val="0"/>
          <w:smallCaps w:val="0"/>
          <w:noProof w:val="0"/>
          <w:color w:val="auto"/>
          <w:spacing w:val="0"/>
          <w:kern w:val="0"/>
          <w:sz w:val="21"/>
          <w:szCs w:val="20"/>
          <w:lang w:val="en-US" w:eastAsia="en-US"/>
        </w:rPr>
        <w:id w:val="13019140"/>
        <w:docPartObj>
          <w:docPartGallery w:val="Table of Contents"/>
          <w:docPartUnique/>
        </w:docPartObj>
      </w:sdtPr>
      <w:sdtEndPr>
        <w:rPr>
          <w:bCs w:val="0"/>
        </w:rPr>
      </w:sdtEndPr>
      <w:sdtContent>
        <w:p w:rsidR="00227E35" w:rsidRDefault="00227E35" w:rsidP="005053A0">
          <w:pPr>
            <w:pStyle w:val="Titolosommario"/>
            <w:rPr>
              <w:rFonts w:ascii="Cambria" w:hAnsi="Cambria" w:cs="Times New Roman"/>
              <w:b w:val="0"/>
              <w:bCs/>
              <w:caps w:val="0"/>
              <w:smallCaps w:val="0"/>
              <w:noProof w:val="0"/>
              <w:color w:val="auto"/>
              <w:spacing w:val="0"/>
              <w:kern w:val="0"/>
              <w:sz w:val="21"/>
              <w:szCs w:val="20"/>
              <w:lang w:val="en-US" w:eastAsia="en-US"/>
            </w:rPr>
          </w:pPr>
        </w:p>
        <w:p w:rsidR="00227E35" w:rsidRDefault="00227E35" w:rsidP="005053A0">
          <w:pPr>
            <w:pStyle w:val="Titolosommario"/>
            <w:rPr>
              <w:rFonts w:ascii="Cambria" w:hAnsi="Cambria" w:cs="Times New Roman"/>
              <w:b w:val="0"/>
              <w:bCs/>
              <w:caps w:val="0"/>
              <w:smallCaps w:val="0"/>
              <w:noProof w:val="0"/>
              <w:color w:val="auto"/>
              <w:spacing w:val="0"/>
              <w:kern w:val="0"/>
              <w:sz w:val="21"/>
              <w:szCs w:val="20"/>
              <w:lang w:val="en-US" w:eastAsia="en-US"/>
            </w:rPr>
          </w:pPr>
        </w:p>
        <w:p w:rsidR="00227E35" w:rsidRDefault="00227E35" w:rsidP="005053A0">
          <w:pPr>
            <w:pStyle w:val="Titolosommario"/>
            <w:rPr>
              <w:rFonts w:ascii="Cambria" w:hAnsi="Cambria" w:cs="Times New Roman"/>
              <w:b w:val="0"/>
              <w:bCs/>
              <w:caps w:val="0"/>
              <w:smallCaps w:val="0"/>
              <w:noProof w:val="0"/>
              <w:color w:val="auto"/>
              <w:spacing w:val="0"/>
              <w:kern w:val="0"/>
              <w:sz w:val="21"/>
              <w:szCs w:val="20"/>
              <w:lang w:val="en-US" w:eastAsia="en-US"/>
            </w:rPr>
          </w:pPr>
        </w:p>
        <w:p w:rsidR="00227E35" w:rsidRDefault="00227E35" w:rsidP="005053A0">
          <w:pPr>
            <w:pStyle w:val="Titolosommario"/>
            <w:rPr>
              <w:rFonts w:ascii="Cambria" w:hAnsi="Cambria" w:cs="Times New Roman"/>
              <w:b w:val="0"/>
              <w:bCs/>
              <w:caps w:val="0"/>
              <w:smallCaps w:val="0"/>
              <w:noProof w:val="0"/>
              <w:color w:val="auto"/>
              <w:spacing w:val="0"/>
              <w:kern w:val="0"/>
              <w:sz w:val="21"/>
              <w:szCs w:val="20"/>
              <w:lang w:val="en-US" w:eastAsia="en-US"/>
            </w:rPr>
          </w:pPr>
        </w:p>
        <w:p w:rsidR="00227E35" w:rsidRDefault="00227E35" w:rsidP="005053A0">
          <w:pPr>
            <w:pStyle w:val="Titolosommario"/>
            <w:rPr>
              <w:rFonts w:ascii="Cambria" w:hAnsi="Cambria" w:cs="Times New Roman"/>
              <w:b w:val="0"/>
              <w:bCs/>
              <w:caps w:val="0"/>
              <w:smallCaps w:val="0"/>
              <w:noProof w:val="0"/>
              <w:color w:val="auto"/>
              <w:spacing w:val="0"/>
              <w:kern w:val="0"/>
              <w:sz w:val="21"/>
              <w:szCs w:val="20"/>
              <w:lang w:val="en-US" w:eastAsia="en-US"/>
            </w:rPr>
          </w:pPr>
        </w:p>
        <w:p w:rsidR="00227E35" w:rsidRDefault="00227E35" w:rsidP="005053A0">
          <w:pPr>
            <w:pStyle w:val="Titolosommario"/>
            <w:rPr>
              <w:rFonts w:ascii="Cambria" w:hAnsi="Cambria" w:cs="Times New Roman"/>
              <w:b w:val="0"/>
              <w:bCs/>
              <w:caps w:val="0"/>
              <w:smallCaps w:val="0"/>
              <w:noProof w:val="0"/>
              <w:color w:val="auto"/>
              <w:spacing w:val="0"/>
              <w:kern w:val="0"/>
              <w:sz w:val="21"/>
              <w:szCs w:val="20"/>
              <w:lang w:val="en-US" w:eastAsia="en-US"/>
            </w:rPr>
          </w:pPr>
        </w:p>
        <w:p w:rsidR="00227E35" w:rsidRDefault="00227E35" w:rsidP="005053A0">
          <w:pPr>
            <w:pStyle w:val="Titolosommario"/>
            <w:rPr>
              <w:rFonts w:ascii="Cambria" w:hAnsi="Cambria" w:cs="Times New Roman"/>
              <w:b w:val="0"/>
              <w:bCs/>
              <w:caps w:val="0"/>
              <w:smallCaps w:val="0"/>
              <w:noProof w:val="0"/>
              <w:color w:val="auto"/>
              <w:spacing w:val="0"/>
              <w:kern w:val="0"/>
              <w:sz w:val="21"/>
              <w:szCs w:val="20"/>
              <w:lang w:val="en-US" w:eastAsia="en-US"/>
            </w:rPr>
          </w:pPr>
        </w:p>
        <w:p w:rsidR="00A574EB" w:rsidRPr="00655A14" w:rsidRDefault="005053A0" w:rsidP="005053A0">
          <w:pPr>
            <w:pStyle w:val="Titolosommario"/>
          </w:pPr>
          <w:r w:rsidRPr="005053A0">
            <w:rPr>
              <w:bCs/>
              <w:noProof w:val="0"/>
              <w:spacing w:val="0"/>
              <w:kern w:val="0"/>
              <w:lang w:val="en-US" w:eastAsia="en-US"/>
            </w:rPr>
            <w:t>TABLE OF CONTENTS</w:t>
          </w:r>
        </w:p>
        <w:p w:rsidR="00A574EB" w:rsidRDefault="00A574EB" w:rsidP="00A574EB">
          <w:pPr>
            <w:pStyle w:val="Sommario1"/>
            <w:tabs>
              <w:tab w:val="clear" w:pos="9639"/>
              <w:tab w:val="right" w:leader="dot" w:pos="9628"/>
            </w:tabs>
            <w:rPr>
              <w:sz w:val="24"/>
              <w:szCs w:val="24"/>
              <w:lang w:val="it-IT"/>
            </w:rPr>
          </w:pPr>
        </w:p>
        <w:p w:rsidR="00A574EB" w:rsidRDefault="00A574EB" w:rsidP="00A574EB">
          <w:pPr>
            <w:pStyle w:val="Sommario1"/>
            <w:tabs>
              <w:tab w:val="clear" w:pos="9639"/>
              <w:tab w:val="right" w:leader="dot" w:pos="9628"/>
            </w:tabs>
            <w:rPr>
              <w:sz w:val="24"/>
              <w:szCs w:val="24"/>
              <w:lang w:val="it-IT"/>
            </w:rPr>
          </w:pPr>
        </w:p>
        <w:p w:rsidR="00227E35" w:rsidRPr="00D85353" w:rsidRDefault="00A43E18" w:rsidP="00227E35">
          <w:pPr>
            <w:pStyle w:val="Sommario1"/>
            <w:spacing w:before="120" w:after="120"/>
            <w:rPr>
              <w:rFonts w:ascii="Arial" w:eastAsiaTheme="minorEastAsia" w:hAnsi="Arial" w:cs="Arial"/>
              <w:bCs w:val="0"/>
              <w:caps w:val="0"/>
              <w:color w:val="auto"/>
              <w:sz w:val="20"/>
              <w:szCs w:val="20"/>
              <w:lang w:val="it-IT" w:eastAsia="it-IT"/>
            </w:rPr>
          </w:pPr>
          <w:r w:rsidRPr="00A43E18">
            <w:rPr>
              <w:rFonts w:ascii="Arial" w:hAnsi="Arial" w:cs="Arial"/>
              <w:sz w:val="24"/>
              <w:szCs w:val="24"/>
              <w:lang w:val="it-IT"/>
            </w:rPr>
            <w:fldChar w:fldCharType="begin"/>
          </w:r>
          <w:r w:rsidR="00A574EB" w:rsidRPr="00AC49B1">
            <w:rPr>
              <w:rFonts w:ascii="Arial" w:hAnsi="Arial" w:cs="Arial"/>
              <w:sz w:val="24"/>
              <w:szCs w:val="24"/>
              <w:lang w:val="it-IT"/>
            </w:rPr>
            <w:instrText xml:space="preserve"> TOC \o "1-3" \h \z \u </w:instrText>
          </w:r>
          <w:r w:rsidRPr="00A43E18">
            <w:rPr>
              <w:rFonts w:ascii="Arial" w:hAnsi="Arial" w:cs="Arial"/>
              <w:sz w:val="24"/>
              <w:szCs w:val="24"/>
              <w:lang w:val="it-IT"/>
            </w:rPr>
            <w:fldChar w:fldCharType="separate"/>
          </w:r>
          <w:hyperlink w:anchor="_Toc382998020" w:history="1">
            <w:r w:rsidR="00227E35" w:rsidRPr="00D85353">
              <w:rPr>
                <w:rStyle w:val="Collegamentoipertestuale"/>
                <w:rFonts w:ascii="Arial" w:hAnsi="Arial" w:cs="Arial"/>
                <w:sz w:val="20"/>
                <w:szCs w:val="20"/>
              </w:rPr>
              <w:t>Annex 1: Terms of References</w:t>
            </w:r>
            <w:r w:rsidR="00227E35" w:rsidRPr="00D85353">
              <w:rPr>
                <w:rFonts w:ascii="Arial" w:hAnsi="Arial" w:cs="Arial"/>
                <w:webHidden/>
                <w:sz w:val="20"/>
                <w:szCs w:val="20"/>
              </w:rPr>
              <w:tab/>
            </w:r>
            <w:r w:rsidRPr="00D85353">
              <w:rPr>
                <w:rFonts w:ascii="Arial" w:hAnsi="Arial" w:cs="Arial"/>
                <w:webHidden/>
                <w:sz w:val="20"/>
                <w:szCs w:val="20"/>
              </w:rPr>
              <w:fldChar w:fldCharType="begin"/>
            </w:r>
            <w:r w:rsidR="00227E35" w:rsidRPr="00D85353">
              <w:rPr>
                <w:rFonts w:ascii="Arial" w:hAnsi="Arial" w:cs="Arial"/>
                <w:webHidden/>
                <w:sz w:val="20"/>
                <w:szCs w:val="20"/>
              </w:rPr>
              <w:instrText xml:space="preserve"> PAGEREF _Toc382998020 \h </w:instrText>
            </w:r>
            <w:r w:rsidRPr="00D85353">
              <w:rPr>
                <w:rFonts w:ascii="Arial" w:hAnsi="Arial" w:cs="Arial"/>
                <w:webHidden/>
                <w:sz w:val="20"/>
                <w:szCs w:val="20"/>
              </w:rPr>
            </w:r>
            <w:r w:rsidRPr="00D85353">
              <w:rPr>
                <w:rFonts w:ascii="Arial" w:hAnsi="Arial" w:cs="Arial"/>
                <w:webHidden/>
                <w:sz w:val="20"/>
                <w:szCs w:val="20"/>
              </w:rPr>
              <w:fldChar w:fldCharType="separate"/>
            </w:r>
            <w:r w:rsidR="00227E35" w:rsidRPr="00D85353">
              <w:rPr>
                <w:rFonts w:ascii="Arial" w:hAnsi="Arial" w:cs="Arial"/>
                <w:webHidden/>
                <w:sz w:val="20"/>
                <w:szCs w:val="20"/>
              </w:rPr>
              <w:t>4</w:t>
            </w:r>
            <w:r w:rsidRPr="00D85353">
              <w:rPr>
                <w:rFonts w:ascii="Arial" w:hAnsi="Arial" w:cs="Arial"/>
                <w:webHidden/>
                <w:sz w:val="20"/>
                <w:szCs w:val="20"/>
              </w:rPr>
              <w:fldChar w:fldCharType="end"/>
            </w:r>
          </w:hyperlink>
        </w:p>
        <w:p w:rsidR="00227E35" w:rsidRPr="00D85353" w:rsidRDefault="00A43E18" w:rsidP="00227E35">
          <w:pPr>
            <w:pStyle w:val="Sommario1"/>
            <w:spacing w:before="120" w:after="120"/>
            <w:rPr>
              <w:rFonts w:ascii="Arial" w:eastAsiaTheme="minorEastAsia" w:hAnsi="Arial" w:cs="Arial"/>
              <w:bCs w:val="0"/>
              <w:caps w:val="0"/>
              <w:color w:val="auto"/>
              <w:sz w:val="20"/>
              <w:szCs w:val="20"/>
              <w:lang w:val="it-IT" w:eastAsia="it-IT"/>
            </w:rPr>
          </w:pPr>
          <w:hyperlink w:anchor="_Toc382998021" w:history="1">
            <w:r w:rsidR="00227E35" w:rsidRPr="00D85353">
              <w:rPr>
                <w:rStyle w:val="Collegamentoipertestuale"/>
                <w:rFonts w:ascii="Arial" w:hAnsi="Arial" w:cs="Arial"/>
                <w:sz w:val="20"/>
                <w:szCs w:val="20"/>
              </w:rPr>
              <w:t>Annex 2: Bibliography</w:t>
            </w:r>
            <w:r w:rsidR="00227E35" w:rsidRPr="00D85353">
              <w:rPr>
                <w:rFonts w:ascii="Arial" w:hAnsi="Arial" w:cs="Arial"/>
                <w:webHidden/>
                <w:sz w:val="20"/>
                <w:szCs w:val="20"/>
              </w:rPr>
              <w:tab/>
            </w:r>
            <w:r w:rsidRPr="00D85353">
              <w:rPr>
                <w:rFonts w:ascii="Arial" w:hAnsi="Arial" w:cs="Arial"/>
                <w:webHidden/>
                <w:sz w:val="20"/>
                <w:szCs w:val="20"/>
              </w:rPr>
              <w:fldChar w:fldCharType="begin"/>
            </w:r>
            <w:r w:rsidR="00227E35" w:rsidRPr="00D85353">
              <w:rPr>
                <w:rFonts w:ascii="Arial" w:hAnsi="Arial" w:cs="Arial"/>
                <w:webHidden/>
                <w:sz w:val="20"/>
                <w:szCs w:val="20"/>
              </w:rPr>
              <w:instrText xml:space="preserve"> PAGEREF _Toc382998021 \h </w:instrText>
            </w:r>
            <w:r w:rsidRPr="00D85353">
              <w:rPr>
                <w:rFonts w:ascii="Arial" w:hAnsi="Arial" w:cs="Arial"/>
                <w:webHidden/>
                <w:sz w:val="20"/>
                <w:szCs w:val="20"/>
              </w:rPr>
            </w:r>
            <w:r w:rsidRPr="00D85353">
              <w:rPr>
                <w:rFonts w:ascii="Arial" w:hAnsi="Arial" w:cs="Arial"/>
                <w:webHidden/>
                <w:sz w:val="20"/>
                <w:szCs w:val="20"/>
              </w:rPr>
              <w:fldChar w:fldCharType="separate"/>
            </w:r>
            <w:r w:rsidR="00227E35" w:rsidRPr="00D85353">
              <w:rPr>
                <w:rFonts w:ascii="Arial" w:hAnsi="Arial" w:cs="Arial"/>
                <w:webHidden/>
                <w:sz w:val="20"/>
                <w:szCs w:val="20"/>
              </w:rPr>
              <w:t>31</w:t>
            </w:r>
            <w:r w:rsidRPr="00D85353">
              <w:rPr>
                <w:rFonts w:ascii="Arial" w:hAnsi="Arial" w:cs="Arial"/>
                <w:webHidden/>
                <w:sz w:val="20"/>
                <w:szCs w:val="20"/>
              </w:rPr>
              <w:fldChar w:fldCharType="end"/>
            </w:r>
          </w:hyperlink>
        </w:p>
        <w:p w:rsidR="00227E35" w:rsidRPr="00D85353" w:rsidRDefault="00A43E18" w:rsidP="00227E35">
          <w:pPr>
            <w:pStyle w:val="Sommario1"/>
            <w:spacing w:before="120" w:after="120"/>
            <w:rPr>
              <w:rFonts w:ascii="Arial" w:eastAsiaTheme="minorEastAsia" w:hAnsi="Arial" w:cs="Arial"/>
              <w:bCs w:val="0"/>
              <w:caps w:val="0"/>
              <w:color w:val="auto"/>
              <w:sz w:val="20"/>
              <w:szCs w:val="20"/>
              <w:lang w:val="it-IT" w:eastAsia="it-IT"/>
            </w:rPr>
          </w:pPr>
          <w:hyperlink w:anchor="_Toc382998022" w:history="1">
            <w:r w:rsidR="00227E35" w:rsidRPr="00D85353">
              <w:rPr>
                <w:rStyle w:val="Collegamentoipertestuale"/>
                <w:rFonts w:ascii="Arial" w:hAnsi="Arial" w:cs="Arial"/>
                <w:sz w:val="20"/>
                <w:szCs w:val="20"/>
              </w:rPr>
              <w:t>AnneX 3: List of People INTERVIEWED</w:t>
            </w:r>
            <w:r w:rsidR="00227E35" w:rsidRPr="00D85353">
              <w:rPr>
                <w:rFonts w:ascii="Arial" w:hAnsi="Arial" w:cs="Arial"/>
                <w:webHidden/>
                <w:sz w:val="20"/>
                <w:szCs w:val="20"/>
              </w:rPr>
              <w:tab/>
            </w:r>
            <w:r w:rsidRPr="00D85353">
              <w:rPr>
                <w:rFonts w:ascii="Arial" w:hAnsi="Arial" w:cs="Arial"/>
                <w:webHidden/>
                <w:sz w:val="20"/>
                <w:szCs w:val="20"/>
              </w:rPr>
              <w:fldChar w:fldCharType="begin"/>
            </w:r>
            <w:r w:rsidR="00227E35" w:rsidRPr="00D85353">
              <w:rPr>
                <w:rFonts w:ascii="Arial" w:hAnsi="Arial" w:cs="Arial"/>
                <w:webHidden/>
                <w:sz w:val="20"/>
                <w:szCs w:val="20"/>
              </w:rPr>
              <w:instrText xml:space="preserve"> PAGEREF _Toc382998022 \h </w:instrText>
            </w:r>
            <w:r w:rsidRPr="00D85353">
              <w:rPr>
                <w:rFonts w:ascii="Arial" w:hAnsi="Arial" w:cs="Arial"/>
                <w:webHidden/>
                <w:sz w:val="20"/>
                <w:szCs w:val="20"/>
              </w:rPr>
            </w:r>
            <w:r w:rsidRPr="00D85353">
              <w:rPr>
                <w:rFonts w:ascii="Arial" w:hAnsi="Arial" w:cs="Arial"/>
                <w:webHidden/>
                <w:sz w:val="20"/>
                <w:szCs w:val="20"/>
              </w:rPr>
              <w:fldChar w:fldCharType="separate"/>
            </w:r>
            <w:r w:rsidR="00227E35" w:rsidRPr="00D85353">
              <w:rPr>
                <w:rFonts w:ascii="Arial" w:hAnsi="Arial" w:cs="Arial"/>
                <w:webHidden/>
                <w:sz w:val="20"/>
                <w:szCs w:val="20"/>
              </w:rPr>
              <w:t>41</w:t>
            </w:r>
            <w:r w:rsidRPr="00D85353">
              <w:rPr>
                <w:rFonts w:ascii="Arial" w:hAnsi="Arial" w:cs="Arial"/>
                <w:webHidden/>
                <w:sz w:val="20"/>
                <w:szCs w:val="20"/>
              </w:rPr>
              <w:fldChar w:fldCharType="end"/>
            </w:r>
          </w:hyperlink>
        </w:p>
        <w:p w:rsidR="00227E35" w:rsidRPr="00D85353" w:rsidRDefault="00A43E18" w:rsidP="00227E35">
          <w:pPr>
            <w:pStyle w:val="Sommario1"/>
            <w:spacing w:before="120" w:after="120"/>
            <w:rPr>
              <w:rFonts w:ascii="Arial" w:eastAsiaTheme="minorEastAsia" w:hAnsi="Arial" w:cs="Arial"/>
              <w:bCs w:val="0"/>
              <w:caps w:val="0"/>
              <w:color w:val="auto"/>
              <w:sz w:val="20"/>
              <w:szCs w:val="20"/>
              <w:lang w:val="it-IT" w:eastAsia="it-IT"/>
            </w:rPr>
          </w:pPr>
          <w:hyperlink w:anchor="_Toc382998023" w:history="1">
            <w:r w:rsidR="00227E35" w:rsidRPr="00D85353">
              <w:rPr>
                <w:rStyle w:val="Collegamentoipertestuale"/>
                <w:rFonts w:ascii="Arial" w:hAnsi="Arial" w:cs="Arial"/>
                <w:sz w:val="20"/>
                <w:szCs w:val="20"/>
              </w:rPr>
              <w:t>Annex 4: EVALUATION METHODOLOGY</w:t>
            </w:r>
            <w:r w:rsidR="00227E35" w:rsidRPr="00D85353">
              <w:rPr>
                <w:rFonts w:ascii="Arial" w:hAnsi="Arial" w:cs="Arial"/>
                <w:webHidden/>
                <w:sz w:val="20"/>
                <w:szCs w:val="20"/>
              </w:rPr>
              <w:tab/>
            </w:r>
            <w:r w:rsidRPr="00D85353">
              <w:rPr>
                <w:rFonts w:ascii="Arial" w:hAnsi="Arial" w:cs="Arial"/>
                <w:webHidden/>
                <w:sz w:val="20"/>
                <w:szCs w:val="20"/>
              </w:rPr>
              <w:fldChar w:fldCharType="begin"/>
            </w:r>
            <w:r w:rsidR="00227E35" w:rsidRPr="00D85353">
              <w:rPr>
                <w:rFonts w:ascii="Arial" w:hAnsi="Arial" w:cs="Arial"/>
                <w:webHidden/>
                <w:sz w:val="20"/>
                <w:szCs w:val="20"/>
              </w:rPr>
              <w:instrText xml:space="preserve"> PAGEREF _Toc382998023 \h </w:instrText>
            </w:r>
            <w:r w:rsidRPr="00D85353">
              <w:rPr>
                <w:rFonts w:ascii="Arial" w:hAnsi="Arial" w:cs="Arial"/>
                <w:webHidden/>
                <w:sz w:val="20"/>
                <w:szCs w:val="20"/>
              </w:rPr>
            </w:r>
            <w:r w:rsidRPr="00D85353">
              <w:rPr>
                <w:rFonts w:ascii="Arial" w:hAnsi="Arial" w:cs="Arial"/>
                <w:webHidden/>
                <w:sz w:val="20"/>
                <w:szCs w:val="20"/>
              </w:rPr>
              <w:fldChar w:fldCharType="separate"/>
            </w:r>
            <w:r w:rsidR="00227E35" w:rsidRPr="00D85353">
              <w:rPr>
                <w:rFonts w:ascii="Arial" w:hAnsi="Arial" w:cs="Arial"/>
                <w:webHidden/>
                <w:sz w:val="20"/>
                <w:szCs w:val="20"/>
              </w:rPr>
              <w:t>54</w:t>
            </w:r>
            <w:r w:rsidRPr="00D85353">
              <w:rPr>
                <w:rFonts w:ascii="Arial" w:hAnsi="Arial" w:cs="Arial"/>
                <w:webHidden/>
                <w:sz w:val="20"/>
                <w:szCs w:val="20"/>
              </w:rPr>
              <w:fldChar w:fldCharType="end"/>
            </w:r>
          </w:hyperlink>
        </w:p>
        <w:p w:rsidR="00227E35" w:rsidRPr="00D85353" w:rsidRDefault="00A43E18" w:rsidP="00227E35">
          <w:pPr>
            <w:pStyle w:val="Sommario1"/>
            <w:spacing w:before="120" w:after="120"/>
            <w:rPr>
              <w:rFonts w:ascii="Arial" w:eastAsiaTheme="minorEastAsia" w:hAnsi="Arial" w:cs="Arial"/>
              <w:bCs w:val="0"/>
              <w:caps w:val="0"/>
              <w:color w:val="auto"/>
              <w:sz w:val="20"/>
              <w:szCs w:val="20"/>
              <w:lang w:val="it-IT" w:eastAsia="it-IT"/>
            </w:rPr>
          </w:pPr>
          <w:hyperlink w:anchor="_Toc382998024" w:history="1">
            <w:r w:rsidR="00227E35" w:rsidRPr="00D85353">
              <w:rPr>
                <w:rStyle w:val="Collegamentoipertestuale"/>
                <w:rFonts w:ascii="Arial" w:hAnsi="Arial" w:cs="Arial"/>
                <w:sz w:val="20"/>
                <w:szCs w:val="20"/>
              </w:rPr>
              <w:t>Annex 5: DATA evaluation GRID</w:t>
            </w:r>
            <w:r w:rsidR="00227E35" w:rsidRPr="00D85353">
              <w:rPr>
                <w:rFonts w:ascii="Arial" w:hAnsi="Arial" w:cs="Arial"/>
                <w:webHidden/>
                <w:sz w:val="20"/>
                <w:szCs w:val="20"/>
              </w:rPr>
              <w:tab/>
            </w:r>
            <w:r w:rsidRPr="00D85353">
              <w:rPr>
                <w:rFonts w:ascii="Arial" w:hAnsi="Arial" w:cs="Arial"/>
                <w:webHidden/>
                <w:sz w:val="20"/>
                <w:szCs w:val="20"/>
              </w:rPr>
              <w:fldChar w:fldCharType="begin"/>
            </w:r>
            <w:r w:rsidR="00227E35" w:rsidRPr="00D85353">
              <w:rPr>
                <w:rFonts w:ascii="Arial" w:hAnsi="Arial" w:cs="Arial"/>
                <w:webHidden/>
                <w:sz w:val="20"/>
                <w:szCs w:val="20"/>
              </w:rPr>
              <w:instrText xml:space="preserve"> PAGEREF _Toc382998024 \h </w:instrText>
            </w:r>
            <w:r w:rsidRPr="00D85353">
              <w:rPr>
                <w:rFonts w:ascii="Arial" w:hAnsi="Arial" w:cs="Arial"/>
                <w:webHidden/>
                <w:sz w:val="20"/>
                <w:szCs w:val="20"/>
              </w:rPr>
            </w:r>
            <w:r w:rsidRPr="00D85353">
              <w:rPr>
                <w:rFonts w:ascii="Arial" w:hAnsi="Arial" w:cs="Arial"/>
                <w:webHidden/>
                <w:sz w:val="20"/>
                <w:szCs w:val="20"/>
              </w:rPr>
              <w:fldChar w:fldCharType="separate"/>
            </w:r>
            <w:r w:rsidR="00227E35" w:rsidRPr="00D85353">
              <w:rPr>
                <w:rFonts w:ascii="Arial" w:hAnsi="Arial" w:cs="Arial"/>
                <w:webHidden/>
                <w:sz w:val="20"/>
                <w:szCs w:val="20"/>
              </w:rPr>
              <w:t>64</w:t>
            </w:r>
            <w:r w:rsidRPr="00D85353">
              <w:rPr>
                <w:rFonts w:ascii="Arial" w:hAnsi="Arial" w:cs="Arial"/>
                <w:webHidden/>
                <w:sz w:val="20"/>
                <w:szCs w:val="20"/>
              </w:rPr>
              <w:fldChar w:fldCharType="end"/>
            </w:r>
          </w:hyperlink>
        </w:p>
        <w:p w:rsidR="00227E35" w:rsidRPr="00D85353" w:rsidRDefault="00A43E18" w:rsidP="00227E35">
          <w:pPr>
            <w:pStyle w:val="Sommario1"/>
            <w:spacing w:before="120" w:after="120"/>
            <w:rPr>
              <w:rFonts w:ascii="Arial" w:eastAsiaTheme="minorEastAsia" w:hAnsi="Arial" w:cs="Arial"/>
              <w:bCs w:val="0"/>
              <w:caps w:val="0"/>
              <w:color w:val="auto"/>
              <w:sz w:val="20"/>
              <w:szCs w:val="20"/>
              <w:lang w:val="it-IT" w:eastAsia="it-IT"/>
            </w:rPr>
          </w:pPr>
          <w:hyperlink w:anchor="_Toc382998025" w:history="1">
            <w:r w:rsidR="00227E35" w:rsidRPr="00D85353">
              <w:rPr>
                <w:rStyle w:val="Collegamentoipertestuale"/>
                <w:rFonts w:ascii="Arial" w:hAnsi="Arial" w:cs="Arial"/>
                <w:sz w:val="20"/>
                <w:szCs w:val="20"/>
              </w:rPr>
              <w:t>ANNEX 6: NATIONAL CONTEXT</w:t>
            </w:r>
            <w:r w:rsidR="00227E35" w:rsidRPr="00D85353">
              <w:rPr>
                <w:rFonts w:ascii="Arial" w:hAnsi="Arial" w:cs="Arial"/>
                <w:webHidden/>
                <w:sz w:val="20"/>
                <w:szCs w:val="20"/>
              </w:rPr>
              <w:tab/>
            </w:r>
            <w:r w:rsidRPr="00D85353">
              <w:rPr>
                <w:rFonts w:ascii="Arial" w:hAnsi="Arial" w:cs="Arial"/>
                <w:webHidden/>
                <w:sz w:val="20"/>
                <w:szCs w:val="20"/>
              </w:rPr>
              <w:fldChar w:fldCharType="begin"/>
            </w:r>
            <w:r w:rsidR="00227E35" w:rsidRPr="00D85353">
              <w:rPr>
                <w:rFonts w:ascii="Arial" w:hAnsi="Arial" w:cs="Arial"/>
                <w:webHidden/>
                <w:sz w:val="20"/>
                <w:szCs w:val="20"/>
              </w:rPr>
              <w:instrText xml:space="preserve"> PAGEREF _Toc382998025 \h </w:instrText>
            </w:r>
            <w:r w:rsidRPr="00D85353">
              <w:rPr>
                <w:rFonts w:ascii="Arial" w:hAnsi="Arial" w:cs="Arial"/>
                <w:webHidden/>
                <w:sz w:val="20"/>
                <w:szCs w:val="20"/>
              </w:rPr>
            </w:r>
            <w:r w:rsidRPr="00D85353">
              <w:rPr>
                <w:rFonts w:ascii="Arial" w:hAnsi="Arial" w:cs="Arial"/>
                <w:webHidden/>
                <w:sz w:val="20"/>
                <w:szCs w:val="20"/>
              </w:rPr>
              <w:fldChar w:fldCharType="separate"/>
            </w:r>
            <w:r w:rsidR="00227E35" w:rsidRPr="00D85353">
              <w:rPr>
                <w:rFonts w:ascii="Arial" w:hAnsi="Arial" w:cs="Arial"/>
                <w:webHidden/>
                <w:sz w:val="20"/>
                <w:szCs w:val="20"/>
              </w:rPr>
              <w:t>76</w:t>
            </w:r>
            <w:r w:rsidRPr="00D85353">
              <w:rPr>
                <w:rFonts w:ascii="Arial" w:hAnsi="Arial" w:cs="Arial"/>
                <w:webHidden/>
                <w:sz w:val="20"/>
                <w:szCs w:val="20"/>
              </w:rPr>
              <w:fldChar w:fldCharType="end"/>
            </w:r>
          </w:hyperlink>
        </w:p>
        <w:p w:rsidR="00227E35" w:rsidRPr="00D85353" w:rsidRDefault="00A43E18" w:rsidP="00227E35">
          <w:pPr>
            <w:pStyle w:val="Sommario1"/>
            <w:spacing w:before="120" w:after="120"/>
            <w:rPr>
              <w:rFonts w:ascii="Arial" w:eastAsiaTheme="minorEastAsia" w:hAnsi="Arial" w:cs="Arial"/>
              <w:bCs w:val="0"/>
              <w:caps w:val="0"/>
              <w:color w:val="auto"/>
              <w:sz w:val="20"/>
              <w:szCs w:val="20"/>
              <w:lang w:val="it-IT" w:eastAsia="it-IT"/>
            </w:rPr>
          </w:pPr>
          <w:hyperlink w:anchor="_Toc382998026" w:history="1">
            <w:r w:rsidR="00227E35" w:rsidRPr="00D85353">
              <w:rPr>
                <w:rStyle w:val="Collegamentoipertestuale"/>
                <w:rFonts w:ascii="Arial" w:hAnsi="Arial" w:cs="Arial"/>
                <w:sz w:val="20"/>
                <w:szCs w:val="20"/>
              </w:rPr>
              <w:t>Annex 7: Inventory of devco and echo interventions</w:t>
            </w:r>
            <w:r w:rsidR="00227E35" w:rsidRPr="00D85353">
              <w:rPr>
                <w:rFonts w:ascii="Arial" w:hAnsi="Arial" w:cs="Arial"/>
                <w:webHidden/>
                <w:sz w:val="20"/>
                <w:szCs w:val="20"/>
              </w:rPr>
              <w:tab/>
            </w:r>
            <w:r w:rsidRPr="00D85353">
              <w:rPr>
                <w:rFonts w:ascii="Arial" w:hAnsi="Arial" w:cs="Arial"/>
                <w:webHidden/>
                <w:sz w:val="20"/>
                <w:szCs w:val="20"/>
              </w:rPr>
              <w:fldChar w:fldCharType="begin"/>
            </w:r>
            <w:r w:rsidR="00227E35" w:rsidRPr="00D85353">
              <w:rPr>
                <w:rFonts w:ascii="Arial" w:hAnsi="Arial" w:cs="Arial"/>
                <w:webHidden/>
                <w:sz w:val="20"/>
                <w:szCs w:val="20"/>
              </w:rPr>
              <w:instrText xml:space="preserve"> PAGEREF _Toc382998026 \h </w:instrText>
            </w:r>
            <w:r w:rsidRPr="00D85353">
              <w:rPr>
                <w:rFonts w:ascii="Arial" w:hAnsi="Arial" w:cs="Arial"/>
                <w:webHidden/>
                <w:sz w:val="20"/>
                <w:szCs w:val="20"/>
              </w:rPr>
            </w:r>
            <w:r w:rsidRPr="00D85353">
              <w:rPr>
                <w:rFonts w:ascii="Arial" w:hAnsi="Arial" w:cs="Arial"/>
                <w:webHidden/>
                <w:sz w:val="20"/>
                <w:szCs w:val="20"/>
              </w:rPr>
              <w:fldChar w:fldCharType="separate"/>
            </w:r>
            <w:r w:rsidR="00227E35" w:rsidRPr="00D85353">
              <w:rPr>
                <w:rFonts w:ascii="Arial" w:hAnsi="Arial" w:cs="Arial"/>
                <w:webHidden/>
                <w:sz w:val="20"/>
                <w:szCs w:val="20"/>
              </w:rPr>
              <w:t>105</w:t>
            </w:r>
            <w:r w:rsidRPr="00D85353">
              <w:rPr>
                <w:rFonts w:ascii="Arial" w:hAnsi="Arial" w:cs="Arial"/>
                <w:webHidden/>
                <w:sz w:val="20"/>
                <w:szCs w:val="20"/>
              </w:rPr>
              <w:fldChar w:fldCharType="end"/>
            </w:r>
          </w:hyperlink>
        </w:p>
        <w:p w:rsidR="00227E35" w:rsidRPr="00D85353" w:rsidRDefault="00A43E18" w:rsidP="00227E35">
          <w:pPr>
            <w:pStyle w:val="Sommario1"/>
            <w:spacing w:before="120" w:after="120"/>
            <w:rPr>
              <w:rFonts w:ascii="Arial" w:eastAsiaTheme="minorEastAsia" w:hAnsi="Arial" w:cs="Arial"/>
              <w:bCs w:val="0"/>
              <w:caps w:val="0"/>
              <w:color w:val="auto"/>
              <w:sz w:val="20"/>
              <w:szCs w:val="20"/>
              <w:lang w:val="it-IT" w:eastAsia="it-IT"/>
            </w:rPr>
          </w:pPr>
          <w:hyperlink w:anchor="_Toc382998027" w:history="1">
            <w:r w:rsidR="00227E35" w:rsidRPr="00D85353">
              <w:rPr>
                <w:rStyle w:val="Collegamentoipertestuale"/>
                <w:rFonts w:ascii="Arial" w:hAnsi="Arial" w:cs="Arial"/>
                <w:sz w:val="20"/>
                <w:szCs w:val="20"/>
              </w:rPr>
              <w:t>aNNEX 8: Others Donors’ Cooperation</w:t>
            </w:r>
            <w:r w:rsidR="00227E35" w:rsidRPr="00D85353">
              <w:rPr>
                <w:rFonts w:ascii="Arial" w:hAnsi="Arial" w:cs="Arial"/>
                <w:webHidden/>
                <w:sz w:val="20"/>
                <w:szCs w:val="20"/>
              </w:rPr>
              <w:tab/>
            </w:r>
            <w:r w:rsidRPr="00D85353">
              <w:rPr>
                <w:rFonts w:ascii="Arial" w:hAnsi="Arial" w:cs="Arial"/>
                <w:webHidden/>
                <w:sz w:val="20"/>
                <w:szCs w:val="20"/>
              </w:rPr>
              <w:fldChar w:fldCharType="begin"/>
            </w:r>
            <w:r w:rsidR="00227E35" w:rsidRPr="00D85353">
              <w:rPr>
                <w:rFonts w:ascii="Arial" w:hAnsi="Arial" w:cs="Arial"/>
                <w:webHidden/>
                <w:sz w:val="20"/>
                <w:szCs w:val="20"/>
              </w:rPr>
              <w:instrText xml:space="preserve"> PAGEREF _Toc382998027 \h </w:instrText>
            </w:r>
            <w:r w:rsidRPr="00D85353">
              <w:rPr>
                <w:rFonts w:ascii="Arial" w:hAnsi="Arial" w:cs="Arial"/>
                <w:webHidden/>
                <w:sz w:val="20"/>
                <w:szCs w:val="20"/>
              </w:rPr>
            </w:r>
            <w:r w:rsidRPr="00D85353">
              <w:rPr>
                <w:rFonts w:ascii="Arial" w:hAnsi="Arial" w:cs="Arial"/>
                <w:webHidden/>
                <w:sz w:val="20"/>
                <w:szCs w:val="20"/>
              </w:rPr>
              <w:fldChar w:fldCharType="separate"/>
            </w:r>
            <w:r w:rsidR="00227E35" w:rsidRPr="00D85353">
              <w:rPr>
                <w:rFonts w:ascii="Arial" w:hAnsi="Arial" w:cs="Arial"/>
                <w:webHidden/>
                <w:sz w:val="20"/>
                <w:szCs w:val="20"/>
              </w:rPr>
              <w:t>124</w:t>
            </w:r>
            <w:r w:rsidRPr="00D85353">
              <w:rPr>
                <w:rFonts w:ascii="Arial" w:hAnsi="Arial" w:cs="Arial"/>
                <w:webHidden/>
                <w:sz w:val="20"/>
                <w:szCs w:val="20"/>
              </w:rPr>
              <w:fldChar w:fldCharType="end"/>
            </w:r>
          </w:hyperlink>
        </w:p>
        <w:p w:rsidR="00227E35" w:rsidRPr="00D85353" w:rsidRDefault="00A43E18" w:rsidP="00227E35">
          <w:pPr>
            <w:pStyle w:val="Sommario1"/>
            <w:spacing w:before="120" w:after="120"/>
            <w:rPr>
              <w:rFonts w:ascii="Arial" w:eastAsiaTheme="minorEastAsia" w:hAnsi="Arial" w:cs="Arial"/>
              <w:bCs w:val="0"/>
              <w:caps w:val="0"/>
              <w:color w:val="auto"/>
              <w:sz w:val="20"/>
              <w:szCs w:val="20"/>
              <w:lang w:val="it-IT" w:eastAsia="it-IT"/>
            </w:rPr>
          </w:pPr>
          <w:hyperlink w:anchor="_Toc382998028" w:history="1">
            <w:r w:rsidR="00227E35" w:rsidRPr="00D85353">
              <w:rPr>
                <w:rStyle w:val="Collegamentoipertestuale"/>
                <w:rFonts w:ascii="Arial" w:hAnsi="Arial" w:cs="Arial"/>
                <w:sz w:val="20"/>
                <w:szCs w:val="20"/>
              </w:rPr>
              <w:t>ANNEX 9: LIST OF DEVCO INTERVENTIONS IN PALESTINE</w:t>
            </w:r>
            <w:r w:rsidR="00227E35" w:rsidRPr="00D85353">
              <w:rPr>
                <w:rFonts w:ascii="Arial" w:hAnsi="Arial" w:cs="Arial"/>
                <w:webHidden/>
                <w:sz w:val="20"/>
                <w:szCs w:val="20"/>
              </w:rPr>
              <w:tab/>
            </w:r>
            <w:r w:rsidRPr="00D85353">
              <w:rPr>
                <w:rFonts w:ascii="Arial" w:hAnsi="Arial" w:cs="Arial"/>
                <w:webHidden/>
                <w:sz w:val="20"/>
                <w:szCs w:val="20"/>
              </w:rPr>
              <w:fldChar w:fldCharType="begin"/>
            </w:r>
            <w:r w:rsidR="00227E35" w:rsidRPr="00D85353">
              <w:rPr>
                <w:rFonts w:ascii="Arial" w:hAnsi="Arial" w:cs="Arial"/>
                <w:webHidden/>
                <w:sz w:val="20"/>
                <w:szCs w:val="20"/>
              </w:rPr>
              <w:instrText xml:space="preserve"> PAGEREF _Toc382998028 \h </w:instrText>
            </w:r>
            <w:r w:rsidRPr="00D85353">
              <w:rPr>
                <w:rFonts w:ascii="Arial" w:hAnsi="Arial" w:cs="Arial"/>
                <w:webHidden/>
                <w:sz w:val="20"/>
                <w:szCs w:val="20"/>
              </w:rPr>
            </w:r>
            <w:r w:rsidRPr="00D85353">
              <w:rPr>
                <w:rFonts w:ascii="Arial" w:hAnsi="Arial" w:cs="Arial"/>
                <w:webHidden/>
                <w:sz w:val="20"/>
                <w:szCs w:val="20"/>
              </w:rPr>
              <w:fldChar w:fldCharType="separate"/>
            </w:r>
            <w:r w:rsidR="00227E35" w:rsidRPr="00D85353">
              <w:rPr>
                <w:rFonts w:ascii="Arial" w:hAnsi="Arial" w:cs="Arial"/>
                <w:webHidden/>
                <w:sz w:val="20"/>
                <w:szCs w:val="20"/>
              </w:rPr>
              <w:t>126</w:t>
            </w:r>
            <w:r w:rsidRPr="00D85353">
              <w:rPr>
                <w:rFonts w:ascii="Arial" w:hAnsi="Arial" w:cs="Arial"/>
                <w:webHidden/>
                <w:sz w:val="20"/>
                <w:szCs w:val="20"/>
              </w:rPr>
              <w:fldChar w:fldCharType="end"/>
            </w:r>
          </w:hyperlink>
        </w:p>
        <w:p w:rsidR="00227E35" w:rsidRPr="00D85353" w:rsidRDefault="00A43E18" w:rsidP="00227E35">
          <w:pPr>
            <w:pStyle w:val="Sommario1"/>
            <w:spacing w:before="120" w:after="120"/>
            <w:rPr>
              <w:rFonts w:ascii="Arial" w:eastAsiaTheme="minorEastAsia" w:hAnsi="Arial" w:cs="Arial"/>
              <w:bCs w:val="0"/>
              <w:caps w:val="0"/>
              <w:color w:val="auto"/>
              <w:sz w:val="20"/>
              <w:szCs w:val="20"/>
              <w:lang w:val="it-IT" w:eastAsia="it-IT"/>
            </w:rPr>
          </w:pPr>
          <w:hyperlink w:anchor="_Toc382998029" w:history="1">
            <w:r w:rsidR="00227E35" w:rsidRPr="00D85353">
              <w:rPr>
                <w:rStyle w:val="Collegamentoipertestuale"/>
                <w:rFonts w:ascii="Arial" w:hAnsi="Arial" w:cs="Arial"/>
                <w:sz w:val="20"/>
                <w:szCs w:val="20"/>
              </w:rPr>
              <w:t>ANNEX 10: LIST OF ECHO INTERVENTIONS IN PALESTINE</w:t>
            </w:r>
            <w:r w:rsidR="00227E35" w:rsidRPr="00D85353">
              <w:rPr>
                <w:rFonts w:ascii="Arial" w:hAnsi="Arial" w:cs="Arial"/>
                <w:webHidden/>
                <w:sz w:val="20"/>
                <w:szCs w:val="20"/>
              </w:rPr>
              <w:tab/>
            </w:r>
            <w:r w:rsidRPr="00D85353">
              <w:rPr>
                <w:rFonts w:ascii="Arial" w:hAnsi="Arial" w:cs="Arial"/>
                <w:webHidden/>
                <w:sz w:val="20"/>
                <w:szCs w:val="20"/>
              </w:rPr>
              <w:fldChar w:fldCharType="begin"/>
            </w:r>
            <w:r w:rsidR="00227E35" w:rsidRPr="00D85353">
              <w:rPr>
                <w:rFonts w:ascii="Arial" w:hAnsi="Arial" w:cs="Arial"/>
                <w:webHidden/>
                <w:sz w:val="20"/>
                <w:szCs w:val="20"/>
              </w:rPr>
              <w:instrText xml:space="preserve"> PAGEREF _Toc382998029 \h </w:instrText>
            </w:r>
            <w:r w:rsidRPr="00D85353">
              <w:rPr>
                <w:rFonts w:ascii="Arial" w:hAnsi="Arial" w:cs="Arial"/>
                <w:webHidden/>
                <w:sz w:val="20"/>
                <w:szCs w:val="20"/>
              </w:rPr>
            </w:r>
            <w:r w:rsidRPr="00D85353">
              <w:rPr>
                <w:rFonts w:ascii="Arial" w:hAnsi="Arial" w:cs="Arial"/>
                <w:webHidden/>
                <w:sz w:val="20"/>
                <w:szCs w:val="20"/>
              </w:rPr>
              <w:fldChar w:fldCharType="separate"/>
            </w:r>
            <w:r w:rsidR="00227E35" w:rsidRPr="00D85353">
              <w:rPr>
                <w:rFonts w:ascii="Arial" w:hAnsi="Arial" w:cs="Arial"/>
                <w:webHidden/>
                <w:sz w:val="20"/>
                <w:szCs w:val="20"/>
              </w:rPr>
              <w:t>164</w:t>
            </w:r>
            <w:r w:rsidRPr="00D85353">
              <w:rPr>
                <w:rFonts w:ascii="Arial" w:hAnsi="Arial" w:cs="Arial"/>
                <w:webHidden/>
                <w:sz w:val="20"/>
                <w:szCs w:val="20"/>
              </w:rPr>
              <w:fldChar w:fldCharType="end"/>
            </w:r>
          </w:hyperlink>
        </w:p>
        <w:p w:rsidR="00227E35" w:rsidRPr="00D85353" w:rsidRDefault="00A43E18" w:rsidP="00227E35">
          <w:pPr>
            <w:pStyle w:val="Sommario1"/>
            <w:spacing w:before="120" w:after="120"/>
            <w:rPr>
              <w:rFonts w:ascii="Arial" w:eastAsiaTheme="minorEastAsia" w:hAnsi="Arial" w:cs="Arial"/>
              <w:bCs w:val="0"/>
              <w:caps w:val="0"/>
              <w:color w:val="auto"/>
              <w:sz w:val="20"/>
              <w:szCs w:val="20"/>
              <w:lang w:val="it-IT" w:eastAsia="it-IT"/>
            </w:rPr>
          </w:pPr>
          <w:hyperlink w:anchor="_Toc382998030" w:history="1">
            <w:r w:rsidR="00227E35" w:rsidRPr="00D85353">
              <w:rPr>
                <w:rStyle w:val="Collegamentoipertestuale"/>
                <w:rFonts w:ascii="Arial" w:hAnsi="Arial" w:cs="Arial"/>
                <w:sz w:val="20"/>
                <w:szCs w:val="20"/>
              </w:rPr>
              <w:t>Annex 11: Comparative analysis of projects “Result-Oriented Monitoring”</w:t>
            </w:r>
            <w:r w:rsidR="00227E35" w:rsidRPr="00D85353">
              <w:rPr>
                <w:rFonts w:ascii="Arial" w:hAnsi="Arial" w:cs="Arial"/>
                <w:webHidden/>
                <w:sz w:val="20"/>
                <w:szCs w:val="20"/>
              </w:rPr>
              <w:tab/>
            </w:r>
            <w:r w:rsidRPr="00D85353">
              <w:rPr>
                <w:rFonts w:ascii="Arial" w:hAnsi="Arial" w:cs="Arial"/>
                <w:webHidden/>
                <w:sz w:val="20"/>
                <w:szCs w:val="20"/>
              </w:rPr>
              <w:fldChar w:fldCharType="begin"/>
            </w:r>
            <w:r w:rsidR="00227E35" w:rsidRPr="00D85353">
              <w:rPr>
                <w:rFonts w:ascii="Arial" w:hAnsi="Arial" w:cs="Arial"/>
                <w:webHidden/>
                <w:sz w:val="20"/>
                <w:szCs w:val="20"/>
              </w:rPr>
              <w:instrText xml:space="preserve"> PAGEREF _Toc382998030 \h </w:instrText>
            </w:r>
            <w:r w:rsidRPr="00D85353">
              <w:rPr>
                <w:rFonts w:ascii="Arial" w:hAnsi="Arial" w:cs="Arial"/>
                <w:webHidden/>
                <w:sz w:val="20"/>
                <w:szCs w:val="20"/>
              </w:rPr>
            </w:r>
            <w:r w:rsidRPr="00D85353">
              <w:rPr>
                <w:rFonts w:ascii="Arial" w:hAnsi="Arial" w:cs="Arial"/>
                <w:webHidden/>
                <w:sz w:val="20"/>
                <w:szCs w:val="20"/>
              </w:rPr>
              <w:fldChar w:fldCharType="separate"/>
            </w:r>
            <w:r w:rsidR="00227E35" w:rsidRPr="00D85353">
              <w:rPr>
                <w:rFonts w:ascii="Arial" w:hAnsi="Arial" w:cs="Arial"/>
                <w:webHidden/>
                <w:sz w:val="20"/>
                <w:szCs w:val="20"/>
              </w:rPr>
              <w:t>173</w:t>
            </w:r>
            <w:r w:rsidRPr="00D85353">
              <w:rPr>
                <w:rFonts w:ascii="Arial" w:hAnsi="Arial" w:cs="Arial"/>
                <w:webHidden/>
                <w:sz w:val="20"/>
                <w:szCs w:val="20"/>
              </w:rPr>
              <w:fldChar w:fldCharType="end"/>
            </w:r>
          </w:hyperlink>
        </w:p>
        <w:p w:rsidR="00227E35" w:rsidRDefault="00A43E18" w:rsidP="00227E35">
          <w:pPr>
            <w:pStyle w:val="Sommario1"/>
            <w:spacing w:before="120" w:after="120"/>
            <w:rPr>
              <w:rFonts w:asciiTheme="minorHAnsi" w:eastAsiaTheme="minorEastAsia" w:hAnsiTheme="minorHAnsi" w:cstheme="minorBidi"/>
              <w:b w:val="0"/>
              <w:bCs w:val="0"/>
              <w:caps w:val="0"/>
              <w:color w:val="auto"/>
              <w:sz w:val="22"/>
              <w:szCs w:val="22"/>
              <w:lang w:val="it-IT" w:eastAsia="it-IT"/>
            </w:rPr>
          </w:pPr>
          <w:hyperlink w:anchor="_Toc382998031" w:history="1">
            <w:r w:rsidR="00227E35" w:rsidRPr="00D85353">
              <w:rPr>
                <w:rStyle w:val="Collegamentoipertestuale"/>
                <w:rFonts w:ascii="Arial" w:hAnsi="Arial" w:cs="Arial"/>
                <w:sz w:val="20"/>
                <w:szCs w:val="20"/>
                <w:lang w:val="fr-FR"/>
              </w:rPr>
              <w:t>Annex 12: Conclusions and Recommendations matrix</w:t>
            </w:r>
            <w:r w:rsidR="00227E35" w:rsidRPr="00D85353">
              <w:rPr>
                <w:rFonts w:ascii="Arial" w:hAnsi="Arial" w:cs="Arial"/>
                <w:webHidden/>
                <w:sz w:val="20"/>
                <w:szCs w:val="20"/>
              </w:rPr>
              <w:tab/>
            </w:r>
            <w:r w:rsidRPr="00D85353">
              <w:rPr>
                <w:rFonts w:ascii="Arial" w:hAnsi="Arial" w:cs="Arial"/>
                <w:webHidden/>
                <w:sz w:val="20"/>
                <w:szCs w:val="20"/>
              </w:rPr>
              <w:fldChar w:fldCharType="begin"/>
            </w:r>
            <w:r w:rsidR="00227E35" w:rsidRPr="00D85353">
              <w:rPr>
                <w:rFonts w:ascii="Arial" w:hAnsi="Arial" w:cs="Arial"/>
                <w:webHidden/>
                <w:sz w:val="20"/>
                <w:szCs w:val="20"/>
              </w:rPr>
              <w:instrText xml:space="preserve"> PAGEREF _Toc382998031 \h </w:instrText>
            </w:r>
            <w:r w:rsidRPr="00D85353">
              <w:rPr>
                <w:rFonts w:ascii="Arial" w:hAnsi="Arial" w:cs="Arial"/>
                <w:webHidden/>
                <w:sz w:val="20"/>
                <w:szCs w:val="20"/>
              </w:rPr>
            </w:r>
            <w:r w:rsidRPr="00D85353">
              <w:rPr>
                <w:rFonts w:ascii="Arial" w:hAnsi="Arial" w:cs="Arial"/>
                <w:webHidden/>
                <w:sz w:val="20"/>
                <w:szCs w:val="20"/>
              </w:rPr>
              <w:fldChar w:fldCharType="separate"/>
            </w:r>
            <w:r w:rsidR="00227E35" w:rsidRPr="00D85353">
              <w:rPr>
                <w:rFonts w:ascii="Arial" w:hAnsi="Arial" w:cs="Arial"/>
                <w:webHidden/>
                <w:sz w:val="20"/>
                <w:szCs w:val="20"/>
              </w:rPr>
              <w:t>181</w:t>
            </w:r>
            <w:r w:rsidRPr="00D85353">
              <w:rPr>
                <w:rFonts w:ascii="Arial" w:hAnsi="Arial" w:cs="Arial"/>
                <w:webHidden/>
                <w:sz w:val="20"/>
                <w:szCs w:val="20"/>
              </w:rPr>
              <w:fldChar w:fldCharType="end"/>
            </w:r>
          </w:hyperlink>
        </w:p>
        <w:p w:rsidR="00A574EB" w:rsidRDefault="00A43E18" w:rsidP="00A574EB">
          <w:pPr>
            <w:rPr>
              <w:lang w:val="it-IT"/>
            </w:rPr>
          </w:pPr>
          <w:r w:rsidRPr="00AC49B1">
            <w:rPr>
              <w:rFonts w:ascii="Arial" w:hAnsi="Arial" w:cs="Arial"/>
              <w:sz w:val="24"/>
              <w:szCs w:val="24"/>
              <w:lang w:val="it-IT"/>
            </w:rPr>
            <w:fldChar w:fldCharType="end"/>
          </w:r>
        </w:p>
      </w:sdtContent>
    </w:sdt>
    <w:p w:rsidR="00A574EB" w:rsidRDefault="00A574EB" w:rsidP="00A574EB">
      <w:pPr>
        <w:rPr>
          <w:lang w:val="en-GB"/>
        </w:rPr>
      </w:pPr>
    </w:p>
    <w:p w:rsidR="00A574EB" w:rsidRDefault="00A574EB" w:rsidP="00A574EB">
      <w:pPr>
        <w:rPr>
          <w:lang w:val="en-GB"/>
        </w:rPr>
      </w:pPr>
    </w:p>
    <w:p w:rsidR="00A574EB" w:rsidRDefault="00A574EB" w:rsidP="00A574EB">
      <w:pPr>
        <w:rPr>
          <w:lang w:val="en-GB"/>
        </w:rPr>
      </w:pPr>
    </w:p>
    <w:p w:rsidR="00A574EB" w:rsidRDefault="00A574EB" w:rsidP="00A574EB">
      <w:pPr>
        <w:rPr>
          <w:lang w:val="en-GB"/>
        </w:rPr>
      </w:pPr>
    </w:p>
    <w:p w:rsidR="00A574EB" w:rsidRDefault="00A574EB" w:rsidP="00A574EB">
      <w:pPr>
        <w:rPr>
          <w:lang w:val="en-GB"/>
        </w:rPr>
        <w:sectPr w:rsidR="00A574EB" w:rsidSect="004D3D6D">
          <w:pgSz w:w="11906" w:h="16838"/>
          <w:pgMar w:top="1417" w:right="1134" w:bottom="1134" w:left="1134" w:header="708" w:footer="708" w:gutter="0"/>
          <w:cols w:space="708"/>
          <w:titlePg/>
          <w:docGrid w:linePitch="360"/>
        </w:sectPr>
      </w:pPr>
    </w:p>
    <w:p w:rsidR="00A574EB" w:rsidRPr="00BC7710" w:rsidRDefault="00A574EB" w:rsidP="005E7468">
      <w:pPr>
        <w:pStyle w:val="Titolo1"/>
      </w:pPr>
      <w:bookmarkStart w:id="2" w:name="_Toc382998020"/>
      <w:r w:rsidRPr="00BC7710">
        <w:lastRenderedPageBreak/>
        <w:t>Annex 1: Terms of References</w:t>
      </w:r>
      <w:bookmarkEnd w:id="2"/>
    </w:p>
    <w:p w:rsidR="00A574EB" w:rsidRDefault="00A574EB" w:rsidP="00A574EB">
      <w:pPr>
        <w:rPr>
          <w:noProof/>
          <w:lang w:val="it-IT" w:eastAsia="it-IT"/>
        </w:rPr>
      </w:pPr>
      <w:r w:rsidRPr="00415FE8">
        <w:rPr>
          <w:noProof/>
          <w:lang w:val="it-IT" w:eastAsia="it-IT"/>
        </w:rPr>
        <w:drawing>
          <wp:inline distT="0" distB="0" distL="0" distR="0">
            <wp:extent cx="6120130" cy="8415179"/>
            <wp:effectExtent l="19050" t="0" r="0" b="0"/>
            <wp:docPr id="13"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srcRect/>
                    <a:stretch>
                      <a:fillRect/>
                    </a:stretch>
                  </pic:blipFill>
                  <pic:spPr bwMode="auto">
                    <a:xfrm>
                      <a:off x="0" y="0"/>
                      <a:ext cx="6120130" cy="8415179"/>
                    </a:xfrm>
                    <a:prstGeom prst="rect">
                      <a:avLst/>
                    </a:prstGeom>
                    <a:noFill/>
                    <a:ln w="9525">
                      <a:noFill/>
                      <a:miter lim="800000"/>
                      <a:headEnd/>
                      <a:tailEnd/>
                    </a:ln>
                  </pic:spPr>
                </pic:pic>
              </a:graphicData>
            </a:graphic>
          </wp:inline>
        </w:drawing>
      </w:r>
    </w:p>
    <w:p w:rsidR="00A574EB" w:rsidRDefault="00A574EB" w:rsidP="00A574EB"/>
    <w:p w:rsidR="00A574EB" w:rsidRDefault="00A574EB" w:rsidP="00A574EB"/>
    <w:p w:rsidR="00A574EB" w:rsidRDefault="00A574EB" w:rsidP="00A574EB">
      <w:r>
        <w:rPr>
          <w:noProof/>
          <w:lang w:val="it-IT" w:eastAsia="it-IT"/>
        </w:rPr>
        <w:drawing>
          <wp:inline distT="0" distB="0" distL="0" distR="0">
            <wp:extent cx="5705475" cy="8424258"/>
            <wp:effectExtent l="19050" t="0" r="9525" b="0"/>
            <wp:docPr id="16"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srcRect/>
                    <a:stretch>
                      <a:fillRect/>
                    </a:stretch>
                  </pic:blipFill>
                  <pic:spPr bwMode="auto">
                    <a:xfrm>
                      <a:off x="0" y="0"/>
                      <a:ext cx="5705475" cy="8424258"/>
                    </a:xfrm>
                    <a:prstGeom prst="rect">
                      <a:avLst/>
                    </a:prstGeom>
                    <a:noFill/>
                    <a:ln w="9525">
                      <a:noFill/>
                      <a:miter lim="800000"/>
                      <a:headEnd/>
                      <a:tailEnd/>
                    </a:ln>
                  </pic:spPr>
                </pic:pic>
              </a:graphicData>
            </a:graphic>
          </wp:inline>
        </w:drawing>
      </w:r>
    </w:p>
    <w:p w:rsidR="00A574EB" w:rsidRDefault="00A574EB" w:rsidP="00A574EB"/>
    <w:p w:rsidR="00A574EB" w:rsidRDefault="00A574EB" w:rsidP="00A574EB">
      <w:r>
        <w:rPr>
          <w:noProof/>
          <w:lang w:val="it-IT" w:eastAsia="it-IT"/>
        </w:rPr>
        <w:lastRenderedPageBreak/>
        <w:drawing>
          <wp:inline distT="0" distB="0" distL="0" distR="0">
            <wp:extent cx="5420263" cy="2457450"/>
            <wp:effectExtent l="19050" t="0" r="8987" b="0"/>
            <wp:docPr id="1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srcRect/>
                    <a:stretch>
                      <a:fillRect/>
                    </a:stretch>
                  </pic:blipFill>
                  <pic:spPr bwMode="auto">
                    <a:xfrm>
                      <a:off x="0" y="0"/>
                      <a:ext cx="5420263" cy="2457450"/>
                    </a:xfrm>
                    <a:prstGeom prst="rect">
                      <a:avLst/>
                    </a:prstGeom>
                    <a:noFill/>
                    <a:ln w="9525">
                      <a:noFill/>
                      <a:miter lim="800000"/>
                      <a:headEnd/>
                      <a:tailEnd/>
                    </a:ln>
                  </pic:spPr>
                </pic:pic>
              </a:graphicData>
            </a:graphic>
          </wp:inline>
        </w:drawing>
      </w:r>
    </w:p>
    <w:p w:rsidR="00A574EB" w:rsidRDefault="00A574EB" w:rsidP="00A574EB"/>
    <w:p w:rsidR="00A574EB" w:rsidRDefault="00A574EB" w:rsidP="00A574EB">
      <w:r>
        <w:rPr>
          <w:noProof/>
          <w:lang w:val="it-IT" w:eastAsia="it-IT"/>
        </w:rPr>
        <w:lastRenderedPageBreak/>
        <w:drawing>
          <wp:inline distT="0" distB="0" distL="0" distR="0">
            <wp:extent cx="5705475" cy="7899114"/>
            <wp:effectExtent l="19050" t="0" r="9525" b="0"/>
            <wp:docPr id="2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srcRect/>
                    <a:stretch>
                      <a:fillRect/>
                    </a:stretch>
                  </pic:blipFill>
                  <pic:spPr bwMode="auto">
                    <a:xfrm>
                      <a:off x="0" y="0"/>
                      <a:ext cx="5705475" cy="7899114"/>
                    </a:xfrm>
                    <a:prstGeom prst="rect">
                      <a:avLst/>
                    </a:prstGeom>
                    <a:noFill/>
                    <a:ln w="9525">
                      <a:noFill/>
                      <a:miter lim="800000"/>
                      <a:headEnd/>
                      <a:tailEnd/>
                    </a:ln>
                  </pic:spPr>
                </pic:pic>
              </a:graphicData>
            </a:graphic>
          </wp:inline>
        </w:drawing>
      </w:r>
    </w:p>
    <w:p w:rsidR="00A574EB" w:rsidRDefault="00A574EB" w:rsidP="00A574EB">
      <w:r>
        <w:rPr>
          <w:noProof/>
          <w:lang w:val="it-IT" w:eastAsia="it-IT"/>
        </w:rPr>
        <w:lastRenderedPageBreak/>
        <w:drawing>
          <wp:inline distT="0" distB="0" distL="0" distR="0">
            <wp:extent cx="5505450" cy="8527091"/>
            <wp:effectExtent l="19050" t="0" r="0" b="0"/>
            <wp:docPr id="22"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srcRect/>
                    <a:stretch>
                      <a:fillRect/>
                    </a:stretch>
                  </pic:blipFill>
                  <pic:spPr bwMode="auto">
                    <a:xfrm>
                      <a:off x="0" y="0"/>
                      <a:ext cx="5505450" cy="8527091"/>
                    </a:xfrm>
                    <a:prstGeom prst="rect">
                      <a:avLst/>
                    </a:prstGeom>
                    <a:noFill/>
                    <a:ln w="9525">
                      <a:noFill/>
                      <a:miter lim="800000"/>
                      <a:headEnd/>
                      <a:tailEnd/>
                    </a:ln>
                  </pic:spPr>
                </pic:pic>
              </a:graphicData>
            </a:graphic>
          </wp:inline>
        </w:drawing>
      </w:r>
    </w:p>
    <w:p w:rsidR="00A574EB" w:rsidRDefault="00A574EB" w:rsidP="00A574EB">
      <w:r>
        <w:rPr>
          <w:noProof/>
          <w:lang w:val="it-IT" w:eastAsia="it-IT"/>
        </w:rPr>
        <w:lastRenderedPageBreak/>
        <w:drawing>
          <wp:inline distT="0" distB="0" distL="0" distR="0">
            <wp:extent cx="5819775" cy="6508565"/>
            <wp:effectExtent l="19050" t="0" r="9525" b="0"/>
            <wp:docPr id="23"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cstate="print"/>
                    <a:srcRect/>
                    <a:stretch>
                      <a:fillRect/>
                    </a:stretch>
                  </pic:blipFill>
                  <pic:spPr bwMode="auto">
                    <a:xfrm>
                      <a:off x="0" y="0"/>
                      <a:ext cx="5819775" cy="6508565"/>
                    </a:xfrm>
                    <a:prstGeom prst="rect">
                      <a:avLst/>
                    </a:prstGeom>
                    <a:noFill/>
                    <a:ln w="9525">
                      <a:noFill/>
                      <a:miter lim="800000"/>
                      <a:headEnd/>
                      <a:tailEnd/>
                    </a:ln>
                  </pic:spPr>
                </pic:pic>
              </a:graphicData>
            </a:graphic>
          </wp:inline>
        </w:drawing>
      </w:r>
    </w:p>
    <w:p w:rsidR="00A574EB" w:rsidRDefault="00A574EB" w:rsidP="00A574EB">
      <w:r>
        <w:rPr>
          <w:noProof/>
          <w:lang w:val="it-IT" w:eastAsia="it-IT"/>
        </w:rPr>
        <w:drawing>
          <wp:inline distT="0" distB="0" distL="0" distR="0">
            <wp:extent cx="5724525" cy="2247900"/>
            <wp:effectExtent l="19050" t="0" r="9525" b="0"/>
            <wp:docPr id="24"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cstate="print"/>
                    <a:srcRect/>
                    <a:stretch>
                      <a:fillRect/>
                    </a:stretch>
                  </pic:blipFill>
                  <pic:spPr bwMode="auto">
                    <a:xfrm>
                      <a:off x="0" y="0"/>
                      <a:ext cx="5724525" cy="2247900"/>
                    </a:xfrm>
                    <a:prstGeom prst="rect">
                      <a:avLst/>
                    </a:prstGeom>
                    <a:noFill/>
                    <a:ln w="9525">
                      <a:noFill/>
                      <a:miter lim="800000"/>
                      <a:headEnd/>
                      <a:tailEnd/>
                    </a:ln>
                  </pic:spPr>
                </pic:pic>
              </a:graphicData>
            </a:graphic>
          </wp:inline>
        </w:drawing>
      </w:r>
    </w:p>
    <w:p w:rsidR="00A574EB" w:rsidRDefault="00A574EB" w:rsidP="00A574EB">
      <w:r>
        <w:rPr>
          <w:noProof/>
          <w:lang w:val="it-IT" w:eastAsia="it-IT"/>
        </w:rPr>
        <w:lastRenderedPageBreak/>
        <w:drawing>
          <wp:inline distT="0" distB="0" distL="0" distR="0">
            <wp:extent cx="5667375" cy="8650204"/>
            <wp:effectExtent l="19050" t="0" r="9525" b="0"/>
            <wp:docPr id="25"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cstate="print"/>
                    <a:srcRect/>
                    <a:stretch>
                      <a:fillRect/>
                    </a:stretch>
                  </pic:blipFill>
                  <pic:spPr bwMode="auto">
                    <a:xfrm>
                      <a:off x="0" y="0"/>
                      <a:ext cx="5667375" cy="8650204"/>
                    </a:xfrm>
                    <a:prstGeom prst="rect">
                      <a:avLst/>
                    </a:prstGeom>
                    <a:noFill/>
                    <a:ln w="9525">
                      <a:noFill/>
                      <a:miter lim="800000"/>
                      <a:headEnd/>
                      <a:tailEnd/>
                    </a:ln>
                  </pic:spPr>
                </pic:pic>
              </a:graphicData>
            </a:graphic>
          </wp:inline>
        </w:drawing>
      </w:r>
    </w:p>
    <w:p w:rsidR="00A574EB" w:rsidRDefault="00A574EB" w:rsidP="00A574EB">
      <w:r>
        <w:rPr>
          <w:noProof/>
          <w:lang w:val="it-IT" w:eastAsia="it-IT"/>
        </w:rPr>
        <w:lastRenderedPageBreak/>
        <w:drawing>
          <wp:inline distT="0" distB="0" distL="0" distR="0">
            <wp:extent cx="5800725" cy="8564897"/>
            <wp:effectExtent l="19050" t="0" r="9525" b="0"/>
            <wp:docPr id="26"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cstate="print"/>
                    <a:srcRect/>
                    <a:stretch>
                      <a:fillRect/>
                    </a:stretch>
                  </pic:blipFill>
                  <pic:spPr bwMode="auto">
                    <a:xfrm>
                      <a:off x="0" y="0"/>
                      <a:ext cx="5800725" cy="8564897"/>
                    </a:xfrm>
                    <a:prstGeom prst="rect">
                      <a:avLst/>
                    </a:prstGeom>
                    <a:noFill/>
                    <a:ln w="9525">
                      <a:noFill/>
                      <a:miter lim="800000"/>
                      <a:headEnd/>
                      <a:tailEnd/>
                    </a:ln>
                  </pic:spPr>
                </pic:pic>
              </a:graphicData>
            </a:graphic>
          </wp:inline>
        </w:drawing>
      </w:r>
    </w:p>
    <w:p w:rsidR="00A574EB" w:rsidRDefault="00A574EB" w:rsidP="00A574EB">
      <w:r>
        <w:rPr>
          <w:noProof/>
          <w:lang w:val="it-IT" w:eastAsia="it-IT"/>
        </w:rPr>
        <w:lastRenderedPageBreak/>
        <w:drawing>
          <wp:inline distT="0" distB="0" distL="0" distR="0">
            <wp:extent cx="5848350" cy="8777575"/>
            <wp:effectExtent l="19050" t="0" r="0" b="0"/>
            <wp:docPr id="40"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cstate="print"/>
                    <a:srcRect/>
                    <a:stretch>
                      <a:fillRect/>
                    </a:stretch>
                  </pic:blipFill>
                  <pic:spPr bwMode="auto">
                    <a:xfrm>
                      <a:off x="0" y="0"/>
                      <a:ext cx="5848350" cy="8777575"/>
                    </a:xfrm>
                    <a:prstGeom prst="rect">
                      <a:avLst/>
                    </a:prstGeom>
                    <a:noFill/>
                    <a:ln w="9525">
                      <a:noFill/>
                      <a:miter lim="800000"/>
                      <a:headEnd/>
                      <a:tailEnd/>
                    </a:ln>
                  </pic:spPr>
                </pic:pic>
              </a:graphicData>
            </a:graphic>
          </wp:inline>
        </w:drawing>
      </w:r>
    </w:p>
    <w:p w:rsidR="00A574EB" w:rsidRDefault="00A574EB" w:rsidP="00A574EB">
      <w:r>
        <w:rPr>
          <w:noProof/>
          <w:lang w:val="it-IT" w:eastAsia="it-IT"/>
        </w:rPr>
        <w:lastRenderedPageBreak/>
        <w:drawing>
          <wp:inline distT="0" distB="0" distL="0" distR="0">
            <wp:extent cx="5857646" cy="8524875"/>
            <wp:effectExtent l="19050" t="0" r="0" b="0"/>
            <wp:docPr id="41"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cstate="print"/>
                    <a:srcRect/>
                    <a:stretch>
                      <a:fillRect/>
                    </a:stretch>
                  </pic:blipFill>
                  <pic:spPr bwMode="auto">
                    <a:xfrm>
                      <a:off x="0" y="0"/>
                      <a:ext cx="5859649" cy="8527790"/>
                    </a:xfrm>
                    <a:prstGeom prst="rect">
                      <a:avLst/>
                    </a:prstGeom>
                    <a:noFill/>
                    <a:ln w="9525">
                      <a:noFill/>
                      <a:miter lim="800000"/>
                      <a:headEnd/>
                      <a:tailEnd/>
                    </a:ln>
                  </pic:spPr>
                </pic:pic>
              </a:graphicData>
            </a:graphic>
          </wp:inline>
        </w:drawing>
      </w:r>
    </w:p>
    <w:p w:rsidR="00A574EB" w:rsidRDefault="00A574EB" w:rsidP="00A574EB"/>
    <w:p w:rsidR="00A574EB" w:rsidRDefault="00A574EB" w:rsidP="00A574EB">
      <w:r>
        <w:rPr>
          <w:noProof/>
          <w:lang w:val="it-IT" w:eastAsia="it-IT"/>
        </w:rPr>
        <w:lastRenderedPageBreak/>
        <w:drawing>
          <wp:inline distT="0" distB="0" distL="0" distR="0">
            <wp:extent cx="5810250" cy="8740637"/>
            <wp:effectExtent l="19050" t="0" r="0" b="0"/>
            <wp:docPr id="42"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srcRect/>
                    <a:stretch>
                      <a:fillRect/>
                    </a:stretch>
                  </pic:blipFill>
                  <pic:spPr bwMode="auto">
                    <a:xfrm>
                      <a:off x="0" y="0"/>
                      <a:ext cx="5810250" cy="8740637"/>
                    </a:xfrm>
                    <a:prstGeom prst="rect">
                      <a:avLst/>
                    </a:prstGeom>
                    <a:noFill/>
                    <a:ln w="9525">
                      <a:noFill/>
                      <a:miter lim="800000"/>
                      <a:headEnd/>
                      <a:tailEnd/>
                    </a:ln>
                  </pic:spPr>
                </pic:pic>
              </a:graphicData>
            </a:graphic>
          </wp:inline>
        </w:drawing>
      </w:r>
    </w:p>
    <w:p w:rsidR="00A574EB" w:rsidRDefault="00A574EB" w:rsidP="00A574EB"/>
    <w:p w:rsidR="00A574EB" w:rsidRDefault="00A574EB" w:rsidP="00A574EB">
      <w:r>
        <w:rPr>
          <w:noProof/>
          <w:lang w:val="it-IT" w:eastAsia="it-IT"/>
        </w:rPr>
        <w:lastRenderedPageBreak/>
        <w:drawing>
          <wp:inline distT="0" distB="0" distL="0" distR="0">
            <wp:extent cx="5657850" cy="8270711"/>
            <wp:effectExtent l="19050" t="0" r="0" b="0"/>
            <wp:docPr id="43"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cstate="print"/>
                    <a:srcRect/>
                    <a:stretch>
                      <a:fillRect/>
                    </a:stretch>
                  </pic:blipFill>
                  <pic:spPr bwMode="auto">
                    <a:xfrm>
                      <a:off x="0" y="0"/>
                      <a:ext cx="5657850" cy="8270711"/>
                    </a:xfrm>
                    <a:prstGeom prst="rect">
                      <a:avLst/>
                    </a:prstGeom>
                    <a:noFill/>
                    <a:ln w="9525">
                      <a:noFill/>
                      <a:miter lim="800000"/>
                      <a:headEnd/>
                      <a:tailEnd/>
                    </a:ln>
                  </pic:spPr>
                </pic:pic>
              </a:graphicData>
            </a:graphic>
          </wp:inline>
        </w:drawing>
      </w:r>
    </w:p>
    <w:p w:rsidR="00A574EB" w:rsidRDefault="00A574EB" w:rsidP="00A574EB"/>
    <w:p w:rsidR="00A574EB" w:rsidRDefault="00A574EB" w:rsidP="00A574EB"/>
    <w:p w:rsidR="00A574EB" w:rsidRDefault="00A574EB" w:rsidP="00A574EB">
      <w:r>
        <w:rPr>
          <w:noProof/>
          <w:lang w:val="it-IT" w:eastAsia="it-IT"/>
        </w:rPr>
        <w:lastRenderedPageBreak/>
        <w:drawing>
          <wp:inline distT="0" distB="0" distL="0" distR="0">
            <wp:extent cx="5791200" cy="8296325"/>
            <wp:effectExtent l="19050" t="0" r="0" b="0"/>
            <wp:docPr id="44"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 cstate="print"/>
                    <a:srcRect/>
                    <a:stretch>
                      <a:fillRect/>
                    </a:stretch>
                  </pic:blipFill>
                  <pic:spPr bwMode="auto">
                    <a:xfrm>
                      <a:off x="0" y="0"/>
                      <a:ext cx="5791200" cy="8296325"/>
                    </a:xfrm>
                    <a:prstGeom prst="rect">
                      <a:avLst/>
                    </a:prstGeom>
                    <a:noFill/>
                    <a:ln w="9525">
                      <a:noFill/>
                      <a:miter lim="800000"/>
                      <a:headEnd/>
                      <a:tailEnd/>
                    </a:ln>
                  </pic:spPr>
                </pic:pic>
              </a:graphicData>
            </a:graphic>
          </wp:inline>
        </w:drawing>
      </w:r>
    </w:p>
    <w:p w:rsidR="00A574EB" w:rsidRDefault="00A574EB" w:rsidP="00A574EB"/>
    <w:p w:rsidR="00A574EB" w:rsidRDefault="00A574EB" w:rsidP="00A574EB">
      <w:r>
        <w:rPr>
          <w:noProof/>
          <w:lang w:val="it-IT" w:eastAsia="it-IT"/>
        </w:rPr>
        <w:lastRenderedPageBreak/>
        <w:drawing>
          <wp:inline distT="0" distB="0" distL="0" distR="0">
            <wp:extent cx="5779003" cy="8562975"/>
            <wp:effectExtent l="19050" t="0" r="0" b="0"/>
            <wp:docPr id="45"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 cstate="print"/>
                    <a:srcRect/>
                    <a:stretch>
                      <a:fillRect/>
                    </a:stretch>
                  </pic:blipFill>
                  <pic:spPr bwMode="auto">
                    <a:xfrm>
                      <a:off x="0" y="0"/>
                      <a:ext cx="5779003" cy="8562975"/>
                    </a:xfrm>
                    <a:prstGeom prst="rect">
                      <a:avLst/>
                    </a:prstGeom>
                    <a:noFill/>
                    <a:ln w="9525">
                      <a:noFill/>
                      <a:miter lim="800000"/>
                      <a:headEnd/>
                      <a:tailEnd/>
                    </a:ln>
                  </pic:spPr>
                </pic:pic>
              </a:graphicData>
            </a:graphic>
          </wp:inline>
        </w:drawing>
      </w:r>
    </w:p>
    <w:p w:rsidR="00A574EB" w:rsidRDefault="00A574EB" w:rsidP="00A574EB">
      <w:r>
        <w:rPr>
          <w:noProof/>
          <w:lang w:val="it-IT" w:eastAsia="it-IT"/>
        </w:rPr>
        <w:lastRenderedPageBreak/>
        <w:drawing>
          <wp:inline distT="0" distB="0" distL="0" distR="0">
            <wp:extent cx="5867400" cy="8937905"/>
            <wp:effectExtent l="19050" t="0" r="0" b="0"/>
            <wp:docPr id="46"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4" cstate="print"/>
                    <a:srcRect/>
                    <a:stretch>
                      <a:fillRect/>
                    </a:stretch>
                  </pic:blipFill>
                  <pic:spPr bwMode="auto">
                    <a:xfrm>
                      <a:off x="0" y="0"/>
                      <a:ext cx="5867400" cy="8937905"/>
                    </a:xfrm>
                    <a:prstGeom prst="rect">
                      <a:avLst/>
                    </a:prstGeom>
                    <a:noFill/>
                    <a:ln w="9525">
                      <a:noFill/>
                      <a:miter lim="800000"/>
                      <a:headEnd/>
                      <a:tailEnd/>
                    </a:ln>
                  </pic:spPr>
                </pic:pic>
              </a:graphicData>
            </a:graphic>
          </wp:inline>
        </w:drawing>
      </w:r>
    </w:p>
    <w:p w:rsidR="00A574EB" w:rsidRDefault="00A574EB" w:rsidP="00A574EB"/>
    <w:p w:rsidR="00A574EB" w:rsidRDefault="00A574EB" w:rsidP="00A574EB">
      <w:r>
        <w:rPr>
          <w:noProof/>
          <w:lang w:val="it-IT" w:eastAsia="it-IT"/>
        </w:rPr>
        <w:drawing>
          <wp:inline distT="0" distB="0" distL="0" distR="0">
            <wp:extent cx="5920211" cy="8334375"/>
            <wp:effectExtent l="19050" t="0" r="4339" b="0"/>
            <wp:docPr id="47"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5" cstate="print"/>
                    <a:srcRect/>
                    <a:stretch>
                      <a:fillRect/>
                    </a:stretch>
                  </pic:blipFill>
                  <pic:spPr bwMode="auto">
                    <a:xfrm>
                      <a:off x="0" y="0"/>
                      <a:ext cx="5920211" cy="8334375"/>
                    </a:xfrm>
                    <a:prstGeom prst="rect">
                      <a:avLst/>
                    </a:prstGeom>
                    <a:noFill/>
                    <a:ln w="9525">
                      <a:noFill/>
                      <a:miter lim="800000"/>
                      <a:headEnd/>
                      <a:tailEnd/>
                    </a:ln>
                  </pic:spPr>
                </pic:pic>
              </a:graphicData>
            </a:graphic>
          </wp:inline>
        </w:drawing>
      </w:r>
    </w:p>
    <w:p w:rsidR="00A574EB" w:rsidRDefault="00A574EB" w:rsidP="00A574EB"/>
    <w:p w:rsidR="00A574EB" w:rsidRDefault="00A574EB" w:rsidP="00A574EB">
      <w:r>
        <w:rPr>
          <w:noProof/>
          <w:lang w:val="it-IT" w:eastAsia="it-IT"/>
        </w:rPr>
        <w:lastRenderedPageBreak/>
        <w:drawing>
          <wp:inline distT="0" distB="0" distL="0" distR="0">
            <wp:extent cx="5781675" cy="8736974"/>
            <wp:effectExtent l="19050" t="0" r="9525" b="0"/>
            <wp:docPr id="48"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6" cstate="print"/>
                    <a:srcRect/>
                    <a:stretch>
                      <a:fillRect/>
                    </a:stretch>
                  </pic:blipFill>
                  <pic:spPr bwMode="auto">
                    <a:xfrm>
                      <a:off x="0" y="0"/>
                      <a:ext cx="5781675" cy="8736974"/>
                    </a:xfrm>
                    <a:prstGeom prst="rect">
                      <a:avLst/>
                    </a:prstGeom>
                    <a:noFill/>
                    <a:ln w="9525">
                      <a:noFill/>
                      <a:miter lim="800000"/>
                      <a:headEnd/>
                      <a:tailEnd/>
                    </a:ln>
                  </pic:spPr>
                </pic:pic>
              </a:graphicData>
            </a:graphic>
          </wp:inline>
        </w:drawing>
      </w:r>
    </w:p>
    <w:p w:rsidR="00A574EB" w:rsidRDefault="00A574EB" w:rsidP="00A574EB"/>
    <w:p w:rsidR="00A574EB" w:rsidRDefault="00A574EB" w:rsidP="00A574EB">
      <w:r>
        <w:rPr>
          <w:noProof/>
          <w:lang w:val="it-IT" w:eastAsia="it-IT"/>
        </w:rPr>
        <w:lastRenderedPageBreak/>
        <w:drawing>
          <wp:inline distT="0" distB="0" distL="0" distR="0">
            <wp:extent cx="5505450" cy="882637"/>
            <wp:effectExtent l="19050" t="0" r="0" b="0"/>
            <wp:docPr id="49"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cstate="print"/>
                    <a:srcRect/>
                    <a:stretch>
                      <a:fillRect/>
                    </a:stretch>
                  </pic:blipFill>
                  <pic:spPr bwMode="auto">
                    <a:xfrm>
                      <a:off x="0" y="0"/>
                      <a:ext cx="5505450" cy="882637"/>
                    </a:xfrm>
                    <a:prstGeom prst="rect">
                      <a:avLst/>
                    </a:prstGeom>
                    <a:noFill/>
                    <a:ln w="9525">
                      <a:noFill/>
                      <a:miter lim="800000"/>
                      <a:headEnd/>
                      <a:tailEnd/>
                    </a:ln>
                  </pic:spPr>
                </pic:pic>
              </a:graphicData>
            </a:graphic>
          </wp:inline>
        </w:drawing>
      </w:r>
    </w:p>
    <w:p w:rsidR="00A574EB" w:rsidRDefault="00A574EB" w:rsidP="00A574EB">
      <w:r>
        <w:br w:type="page"/>
      </w:r>
    </w:p>
    <w:p w:rsidR="00A574EB" w:rsidRDefault="00A574EB" w:rsidP="00A574EB">
      <w:r>
        <w:rPr>
          <w:noProof/>
          <w:lang w:val="it-IT" w:eastAsia="it-IT"/>
        </w:rPr>
        <w:lastRenderedPageBreak/>
        <w:drawing>
          <wp:inline distT="0" distB="0" distL="0" distR="0">
            <wp:extent cx="5895975" cy="8431550"/>
            <wp:effectExtent l="19050" t="0" r="9525" b="0"/>
            <wp:docPr id="50"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cstate="print"/>
                    <a:srcRect/>
                    <a:stretch>
                      <a:fillRect/>
                    </a:stretch>
                  </pic:blipFill>
                  <pic:spPr bwMode="auto">
                    <a:xfrm>
                      <a:off x="0" y="0"/>
                      <a:ext cx="5895975" cy="8431550"/>
                    </a:xfrm>
                    <a:prstGeom prst="rect">
                      <a:avLst/>
                    </a:prstGeom>
                    <a:noFill/>
                    <a:ln w="9525">
                      <a:noFill/>
                      <a:miter lim="800000"/>
                      <a:headEnd/>
                      <a:tailEnd/>
                    </a:ln>
                  </pic:spPr>
                </pic:pic>
              </a:graphicData>
            </a:graphic>
          </wp:inline>
        </w:drawing>
      </w:r>
    </w:p>
    <w:p w:rsidR="00A574EB" w:rsidRDefault="00A574EB" w:rsidP="00A574EB"/>
    <w:p w:rsidR="00A574EB" w:rsidRDefault="00A574EB" w:rsidP="00A574EB">
      <w:r>
        <w:rPr>
          <w:noProof/>
          <w:lang w:val="it-IT" w:eastAsia="it-IT"/>
        </w:rPr>
        <w:lastRenderedPageBreak/>
        <w:drawing>
          <wp:inline distT="0" distB="0" distL="0" distR="0">
            <wp:extent cx="6097809" cy="2428875"/>
            <wp:effectExtent l="19050" t="0" r="0" b="0"/>
            <wp:docPr id="51"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9" cstate="print"/>
                    <a:srcRect/>
                    <a:stretch>
                      <a:fillRect/>
                    </a:stretch>
                  </pic:blipFill>
                  <pic:spPr bwMode="auto">
                    <a:xfrm>
                      <a:off x="0" y="0"/>
                      <a:ext cx="6097809" cy="2428875"/>
                    </a:xfrm>
                    <a:prstGeom prst="rect">
                      <a:avLst/>
                    </a:prstGeom>
                    <a:noFill/>
                    <a:ln w="9525">
                      <a:noFill/>
                      <a:miter lim="800000"/>
                      <a:headEnd/>
                      <a:tailEnd/>
                    </a:ln>
                  </pic:spPr>
                </pic:pic>
              </a:graphicData>
            </a:graphic>
          </wp:inline>
        </w:drawing>
      </w:r>
    </w:p>
    <w:p w:rsidR="00A574EB" w:rsidRDefault="00A574EB" w:rsidP="00A574EB"/>
    <w:p w:rsidR="00A574EB" w:rsidRDefault="00A574EB" w:rsidP="00A574EB"/>
    <w:p w:rsidR="00A574EB" w:rsidRDefault="00A574EB" w:rsidP="00A574EB">
      <w:r>
        <w:rPr>
          <w:noProof/>
          <w:lang w:val="it-IT" w:eastAsia="it-IT"/>
        </w:rPr>
        <w:lastRenderedPageBreak/>
        <w:drawing>
          <wp:inline distT="0" distB="0" distL="0" distR="0">
            <wp:extent cx="5724525" cy="8670826"/>
            <wp:effectExtent l="19050" t="0" r="9525" b="0"/>
            <wp:docPr id="52"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0" cstate="print"/>
                    <a:srcRect/>
                    <a:stretch>
                      <a:fillRect/>
                    </a:stretch>
                  </pic:blipFill>
                  <pic:spPr bwMode="auto">
                    <a:xfrm>
                      <a:off x="0" y="0"/>
                      <a:ext cx="5724525" cy="8670826"/>
                    </a:xfrm>
                    <a:prstGeom prst="rect">
                      <a:avLst/>
                    </a:prstGeom>
                    <a:noFill/>
                    <a:ln w="9525">
                      <a:noFill/>
                      <a:miter lim="800000"/>
                      <a:headEnd/>
                      <a:tailEnd/>
                    </a:ln>
                  </pic:spPr>
                </pic:pic>
              </a:graphicData>
            </a:graphic>
          </wp:inline>
        </w:drawing>
      </w:r>
    </w:p>
    <w:p w:rsidR="00A574EB" w:rsidRDefault="00A574EB" w:rsidP="00A574EB"/>
    <w:p w:rsidR="00A574EB" w:rsidRDefault="00A574EB" w:rsidP="00A574EB"/>
    <w:p w:rsidR="00A574EB" w:rsidRDefault="00A574EB" w:rsidP="00A574EB">
      <w:r>
        <w:rPr>
          <w:noProof/>
          <w:lang w:val="it-IT" w:eastAsia="it-IT"/>
        </w:rPr>
        <w:drawing>
          <wp:inline distT="0" distB="0" distL="0" distR="0">
            <wp:extent cx="6084998" cy="8134350"/>
            <wp:effectExtent l="19050" t="0" r="0" b="0"/>
            <wp:docPr id="53" name="Im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1" cstate="print"/>
                    <a:srcRect/>
                    <a:stretch>
                      <a:fillRect/>
                    </a:stretch>
                  </pic:blipFill>
                  <pic:spPr bwMode="auto">
                    <a:xfrm>
                      <a:off x="0" y="0"/>
                      <a:ext cx="6084998" cy="8134350"/>
                    </a:xfrm>
                    <a:prstGeom prst="rect">
                      <a:avLst/>
                    </a:prstGeom>
                    <a:noFill/>
                    <a:ln w="9525">
                      <a:noFill/>
                      <a:miter lim="800000"/>
                      <a:headEnd/>
                      <a:tailEnd/>
                    </a:ln>
                  </pic:spPr>
                </pic:pic>
              </a:graphicData>
            </a:graphic>
          </wp:inline>
        </w:drawing>
      </w:r>
    </w:p>
    <w:p w:rsidR="00A574EB" w:rsidRDefault="00A574EB" w:rsidP="00A574EB"/>
    <w:p w:rsidR="00A574EB" w:rsidRDefault="00A574EB" w:rsidP="00A574EB">
      <w:r>
        <w:rPr>
          <w:noProof/>
          <w:lang w:val="it-IT" w:eastAsia="it-IT"/>
        </w:rPr>
        <w:lastRenderedPageBreak/>
        <w:drawing>
          <wp:inline distT="0" distB="0" distL="0" distR="0">
            <wp:extent cx="6307018" cy="7934325"/>
            <wp:effectExtent l="19050" t="0" r="0" b="0"/>
            <wp:docPr id="54" name="Im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2" cstate="print"/>
                    <a:srcRect/>
                    <a:stretch>
                      <a:fillRect/>
                    </a:stretch>
                  </pic:blipFill>
                  <pic:spPr bwMode="auto">
                    <a:xfrm>
                      <a:off x="0" y="0"/>
                      <a:ext cx="6309490" cy="7937435"/>
                    </a:xfrm>
                    <a:prstGeom prst="rect">
                      <a:avLst/>
                    </a:prstGeom>
                    <a:noFill/>
                    <a:ln w="9525">
                      <a:noFill/>
                      <a:miter lim="800000"/>
                      <a:headEnd/>
                      <a:tailEnd/>
                    </a:ln>
                  </pic:spPr>
                </pic:pic>
              </a:graphicData>
            </a:graphic>
          </wp:inline>
        </w:drawing>
      </w:r>
    </w:p>
    <w:p w:rsidR="00A574EB" w:rsidRDefault="00A574EB" w:rsidP="00A574EB"/>
    <w:p w:rsidR="00A574EB" w:rsidRDefault="00A574EB" w:rsidP="00A574EB">
      <w:r>
        <w:rPr>
          <w:noProof/>
          <w:lang w:val="it-IT" w:eastAsia="it-IT"/>
        </w:rPr>
        <w:lastRenderedPageBreak/>
        <w:drawing>
          <wp:inline distT="0" distB="0" distL="0" distR="0">
            <wp:extent cx="5877366" cy="8467725"/>
            <wp:effectExtent l="19050" t="0" r="9084" b="0"/>
            <wp:docPr id="55" name="Im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3" cstate="print"/>
                    <a:srcRect/>
                    <a:stretch>
                      <a:fillRect/>
                    </a:stretch>
                  </pic:blipFill>
                  <pic:spPr bwMode="auto">
                    <a:xfrm>
                      <a:off x="0" y="0"/>
                      <a:ext cx="5877366" cy="8467725"/>
                    </a:xfrm>
                    <a:prstGeom prst="rect">
                      <a:avLst/>
                    </a:prstGeom>
                    <a:noFill/>
                    <a:ln w="9525">
                      <a:noFill/>
                      <a:miter lim="800000"/>
                      <a:headEnd/>
                      <a:tailEnd/>
                    </a:ln>
                  </pic:spPr>
                </pic:pic>
              </a:graphicData>
            </a:graphic>
          </wp:inline>
        </w:drawing>
      </w:r>
    </w:p>
    <w:p w:rsidR="00A574EB" w:rsidRDefault="00A574EB" w:rsidP="00A574EB"/>
    <w:p w:rsidR="00A574EB" w:rsidRDefault="00A574EB" w:rsidP="00A574EB"/>
    <w:p w:rsidR="00A574EB" w:rsidRDefault="00A574EB" w:rsidP="00A574EB">
      <w:r>
        <w:rPr>
          <w:noProof/>
          <w:lang w:val="it-IT" w:eastAsia="it-IT"/>
        </w:rPr>
        <w:lastRenderedPageBreak/>
        <w:drawing>
          <wp:inline distT="0" distB="0" distL="0" distR="0">
            <wp:extent cx="5781675" cy="8427865"/>
            <wp:effectExtent l="19050" t="0" r="9525" b="0"/>
            <wp:docPr id="56" name="Immagin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4" cstate="print"/>
                    <a:srcRect/>
                    <a:stretch>
                      <a:fillRect/>
                    </a:stretch>
                  </pic:blipFill>
                  <pic:spPr bwMode="auto">
                    <a:xfrm>
                      <a:off x="0" y="0"/>
                      <a:ext cx="5781675" cy="8427865"/>
                    </a:xfrm>
                    <a:prstGeom prst="rect">
                      <a:avLst/>
                    </a:prstGeom>
                    <a:noFill/>
                    <a:ln w="9525">
                      <a:noFill/>
                      <a:miter lim="800000"/>
                      <a:headEnd/>
                      <a:tailEnd/>
                    </a:ln>
                  </pic:spPr>
                </pic:pic>
              </a:graphicData>
            </a:graphic>
          </wp:inline>
        </w:drawing>
      </w:r>
    </w:p>
    <w:p w:rsidR="00A574EB" w:rsidRDefault="00A574EB" w:rsidP="00A574EB"/>
    <w:p w:rsidR="00A574EB" w:rsidRDefault="00A574EB" w:rsidP="00A574EB">
      <w:r>
        <w:rPr>
          <w:noProof/>
          <w:lang w:val="it-IT" w:eastAsia="it-IT"/>
        </w:rPr>
        <w:lastRenderedPageBreak/>
        <w:drawing>
          <wp:inline distT="0" distB="0" distL="0" distR="0">
            <wp:extent cx="5997452" cy="8524875"/>
            <wp:effectExtent l="19050" t="0" r="3298" b="0"/>
            <wp:docPr id="57" name="Im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5" cstate="print"/>
                    <a:srcRect/>
                    <a:stretch>
                      <a:fillRect/>
                    </a:stretch>
                  </pic:blipFill>
                  <pic:spPr bwMode="auto">
                    <a:xfrm>
                      <a:off x="0" y="0"/>
                      <a:ext cx="5997452" cy="8524875"/>
                    </a:xfrm>
                    <a:prstGeom prst="rect">
                      <a:avLst/>
                    </a:prstGeom>
                    <a:noFill/>
                    <a:ln w="9525">
                      <a:noFill/>
                      <a:miter lim="800000"/>
                      <a:headEnd/>
                      <a:tailEnd/>
                    </a:ln>
                  </pic:spPr>
                </pic:pic>
              </a:graphicData>
            </a:graphic>
          </wp:inline>
        </w:drawing>
      </w:r>
    </w:p>
    <w:p w:rsidR="00A574EB" w:rsidRDefault="00A574EB" w:rsidP="00A574EB"/>
    <w:p w:rsidR="00A574EB" w:rsidRDefault="00A574EB" w:rsidP="00A574EB">
      <w:r>
        <w:rPr>
          <w:noProof/>
          <w:lang w:val="it-IT" w:eastAsia="it-IT"/>
        </w:rPr>
        <w:lastRenderedPageBreak/>
        <w:drawing>
          <wp:inline distT="0" distB="0" distL="0" distR="0">
            <wp:extent cx="6063064" cy="8077200"/>
            <wp:effectExtent l="19050" t="0" r="0" b="0"/>
            <wp:docPr id="58" name="Im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6" cstate="print"/>
                    <a:srcRect/>
                    <a:stretch>
                      <a:fillRect/>
                    </a:stretch>
                  </pic:blipFill>
                  <pic:spPr bwMode="auto">
                    <a:xfrm>
                      <a:off x="0" y="0"/>
                      <a:ext cx="6063064" cy="8077200"/>
                    </a:xfrm>
                    <a:prstGeom prst="rect">
                      <a:avLst/>
                    </a:prstGeom>
                    <a:noFill/>
                    <a:ln w="9525">
                      <a:noFill/>
                      <a:miter lim="800000"/>
                      <a:headEnd/>
                      <a:tailEnd/>
                    </a:ln>
                  </pic:spPr>
                </pic:pic>
              </a:graphicData>
            </a:graphic>
          </wp:inline>
        </w:drawing>
      </w:r>
    </w:p>
    <w:p w:rsidR="00A574EB" w:rsidRDefault="00A574EB" w:rsidP="00A574EB">
      <w:pPr>
        <w:rPr>
          <w:lang w:val="en-GB"/>
        </w:rPr>
        <w:sectPr w:rsidR="00A574EB" w:rsidSect="00943FF8">
          <w:footerReference w:type="default" r:id="rId47"/>
          <w:pgSz w:w="11906" w:h="16838"/>
          <w:pgMar w:top="1417" w:right="1134" w:bottom="1134" w:left="1134" w:header="708" w:footer="708" w:gutter="0"/>
          <w:cols w:space="708"/>
          <w:docGrid w:linePitch="360"/>
        </w:sectPr>
      </w:pPr>
    </w:p>
    <w:p w:rsidR="00A574EB" w:rsidRPr="000F7A24" w:rsidRDefault="00A574EB" w:rsidP="005E7468">
      <w:pPr>
        <w:pStyle w:val="Titolo1"/>
      </w:pPr>
      <w:bookmarkStart w:id="3" w:name="_Toc289100967"/>
      <w:bookmarkStart w:id="4" w:name="_Toc350611119"/>
      <w:bookmarkStart w:id="5" w:name="_Toc358033575"/>
      <w:bookmarkStart w:id="6" w:name="_Toc382998021"/>
      <w:r w:rsidRPr="000F7A24">
        <w:lastRenderedPageBreak/>
        <w:t xml:space="preserve">Annex </w:t>
      </w:r>
      <w:r w:rsidR="00C3617C">
        <w:t>2</w:t>
      </w:r>
      <w:r w:rsidRPr="000F7A24">
        <w:t xml:space="preserve">: </w:t>
      </w:r>
      <w:bookmarkEnd w:id="3"/>
      <w:bookmarkEnd w:id="4"/>
      <w:r w:rsidRPr="000F7A24">
        <w:t>Bibliography</w:t>
      </w:r>
      <w:bookmarkEnd w:id="5"/>
      <w:bookmarkEnd w:id="6"/>
    </w:p>
    <w:p w:rsidR="00A574EB" w:rsidRPr="000F7A24" w:rsidRDefault="00A574EB" w:rsidP="00A574EB">
      <w:pPr>
        <w:spacing w:before="0" w:after="0"/>
        <w:rPr>
          <w:rFonts w:ascii="Times New Roman" w:hAnsi="Times New Roman"/>
          <w:b/>
          <w:kern w:val="28"/>
          <w:sz w:val="24"/>
          <w:szCs w:val="24"/>
          <w:u w:val="single"/>
          <w:lang w:eastAsia="pl-PL"/>
        </w:rPr>
      </w:pPr>
    </w:p>
    <w:p w:rsidR="00A574EB" w:rsidRPr="00BC7710" w:rsidRDefault="00A574EB" w:rsidP="00BC7710">
      <w:pPr>
        <w:autoSpaceDE w:val="0"/>
        <w:autoSpaceDN w:val="0"/>
        <w:adjustRightInd w:val="0"/>
        <w:spacing w:before="0" w:after="0"/>
        <w:jc w:val="left"/>
        <w:rPr>
          <w:rFonts w:ascii="Arial" w:hAnsi="Arial" w:cs="Arial"/>
          <w:b/>
          <w:bCs/>
          <w:caps/>
          <w:color w:val="365F92"/>
          <w:sz w:val="24"/>
          <w:szCs w:val="24"/>
        </w:rPr>
      </w:pPr>
      <w:r w:rsidRPr="00BC7710">
        <w:rPr>
          <w:rFonts w:ascii="Arial" w:hAnsi="Arial" w:cs="Arial"/>
          <w:b/>
          <w:bCs/>
          <w:caps/>
          <w:color w:val="365F92"/>
          <w:sz w:val="24"/>
          <w:szCs w:val="24"/>
        </w:rPr>
        <w:t xml:space="preserve">Document on General Development Cooperation Policy </w:t>
      </w:r>
    </w:p>
    <w:p w:rsidR="00A574EB" w:rsidRPr="00BC7710" w:rsidRDefault="00A574EB" w:rsidP="00B54C8F">
      <w:pPr>
        <w:pStyle w:val="Paragrafoelenco"/>
        <w:numPr>
          <w:ilvl w:val="0"/>
          <w:numId w:val="46"/>
        </w:numPr>
        <w:autoSpaceDE w:val="0"/>
        <w:autoSpaceDN w:val="0"/>
        <w:adjustRightInd w:val="0"/>
        <w:spacing w:before="0" w:after="0"/>
        <w:ind w:left="426" w:hanging="426"/>
        <w:jc w:val="left"/>
        <w:rPr>
          <w:rFonts w:ascii="Arial" w:hAnsi="Arial" w:cs="Arial"/>
          <w:color w:val="000000"/>
          <w:sz w:val="22"/>
          <w:szCs w:val="22"/>
        </w:rPr>
      </w:pPr>
      <w:r w:rsidRPr="00BC7710">
        <w:rPr>
          <w:rFonts w:ascii="Arial" w:hAnsi="Arial" w:cs="Arial"/>
          <w:color w:val="000000"/>
          <w:sz w:val="22"/>
          <w:szCs w:val="22"/>
        </w:rPr>
        <w:t>Barcelona Declaration 1995</w:t>
      </w:r>
    </w:p>
    <w:p w:rsidR="00A574EB" w:rsidRPr="00BC7710" w:rsidRDefault="00A574EB" w:rsidP="00B54C8F">
      <w:pPr>
        <w:pStyle w:val="Paragrafoelenco"/>
        <w:numPr>
          <w:ilvl w:val="0"/>
          <w:numId w:val="46"/>
        </w:numPr>
        <w:autoSpaceDE w:val="0"/>
        <w:autoSpaceDN w:val="0"/>
        <w:adjustRightInd w:val="0"/>
        <w:spacing w:before="0" w:after="0"/>
        <w:ind w:left="426" w:hanging="426"/>
        <w:jc w:val="left"/>
        <w:rPr>
          <w:rFonts w:ascii="Arial" w:hAnsi="Arial" w:cs="Arial"/>
          <w:color w:val="000000"/>
          <w:sz w:val="22"/>
          <w:szCs w:val="22"/>
        </w:rPr>
      </w:pPr>
      <w:r w:rsidRPr="00BC7710">
        <w:rPr>
          <w:rFonts w:ascii="Arial" w:hAnsi="Arial" w:cs="Arial"/>
          <w:color w:val="000000"/>
          <w:sz w:val="22"/>
          <w:szCs w:val="22"/>
        </w:rPr>
        <w:t>Oslo II (1995) Israeli-Palestinian Interim Agreement on the West Bank and the Gaza Strip, Washington, D.C., 28 September 1995</w:t>
      </w:r>
    </w:p>
    <w:p w:rsidR="00A574EB" w:rsidRPr="00BC7710" w:rsidRDefault="00A574EB" w:rsidP="00B54C8F">
      <w:pPr>
        <w:pStyle w:val="Paragrafoelenco"/>
        <w:numPr>
          <w:ilvl w:val="0"/>
          <w:numId w:val="46"/>
        </w:numPr>
        <w:spacing w:before="0" w:after="0"/>
        <w:ind w:left="426" w:hanging="426"/>
        <w:rPr>
          <w:rFonts w:ascii="Arial" w:hAnsi="Arial" w:cs="Arial"/>
          <w:sz w:val="22"/>
          <w:szCs w:val="22"/>
          <w:lang w:eastAsia="it-IT"/>
        </w:rPr>
      </w:pPr>
      <w:r w:rsidRPr="00BC7710">
        <w:rPr>
          <w:rFonts w:ascii="Arial" w:hAnsi="Arial" w:cs="Arial"/>
          <w:b/>
          <w:sz w:val="22"/>
          <w:szCs w:val="22"/>
          <w:lang w:eastAsia="it-IT"/>
        </w:rPr>
        <w:t xml:space="preserve">Council of the European Union </w:t>
      </w:r>
      <w:r w:rsidRPr="00BC7710">
        <w:rPr>
          <w:rFonts w:ascii="Arial" w:hAnsi="Arial" w:cs="Arial"/>
          <w:sz w:val="22"/>
          <w:szCs w:val="22"/>
          <w:lang w:eastAsia="it-IT"/>
        </w:rPr>
        <w:t>Regulation No 1257/96, Concerning Humanitarian Aid, 20 June 1996</w:t>
      </w:r>
    </w:p>
    <w:p w:rsidR="00A574EB" w:rsidRPr="00BC7710" w:rsidRDefault="00A574EB" w:rsidP="00B54C8F">
      <w:pPr>
        <w:pStyle w:val="Paragrafoelenco"/>
        <w:numPr>
          <w:ilvl w:val="0"/>
          <w:numId w:val="46"/>
        </w:numPr>
        <w:spacing w:before="0" w:after="0"/>
        <w:ind w:left="426" w:hanging="426"/>
        <w:rPr>
          <w:rFonts w:ascii="Arial" w:hAnsi="Arial" w:cs="Arial"/>
          <w:sz w:val="22"/>
          <w:szCs w:val="22"/>
          <w:lang w:eastAsia="it-IT"/>
        </w:rPr>
      </w:pPr>
      <w:r w:rsidRPr="00BC7710">
        <w:rPr>
          <w:rFonts w:ascii="Arial" w:hAnsi="Arial" w:cs="Arial"/>
          <w:b/>
          <w:bCs/>
          <w:color w:val="000000"/>
          <w:sz w:val="22"/>
          <w:szCs w:val="22"/>
        </w:rPr>
        <w:t>United Nations, 55/2 “</w:t>
      </w:r>
      <w:r w:rsidRPr="00BC7710">
        <w:rPr>
          <w:rFonts w:ascii="Arial" w:hAnsi="Arial" w:cs="Arial"/>
          <w:iCs/>
          <w:color w:val="000000"/>
          <w:sz w:val="22"/>
          <w:szCs w:val="22"/>
        </w:rPr>
        <w:t xml:space="preserve">Resolution adopted by the General Assembly United Nations Millennium Declaration”, </w:t>
      </w:r>
      <w:r w:rsidRPr="00BC7710">
        <w:rPr>
          <w:rFonts w:ascii="Arial" w:hAnsi="Arial" w:cs="Arial"/>
          <w:color w:val="000000"/>
          <w:sz w:val="22"/>
          <w:szCs w:val="22"/>
        </w:rPr>
        <w:t>2000</w:t>
      </w:r>
    </w:p>
    <w:p w:rsidR="00A574EB" w:rsidRPr="00BC7710" w:rsidRDefault="00A574EB" w:rsidP="00B54C8F">
      <w:pPr>
        <w:pStyle w:val="Paragrafoelenco"/>
        <w:numPr>
          <w:ilvl w:val="0"/>
          <w:numId w:val="46"/>
        </w:numPr>
        <w:autoSpaceDE w:val="0"/>
        <w:autoSpaceDN w:val="0"/>
        <w:adjustRightInd w:val="0"/>
        <w:spacing w:before="0" w:after="0"/>
        <w:ind w:left="426" w:hanging="426"/>
        <w:jc w:val="left"/>
        <w:rPr>
          <w:rFonts w:ascii="Arial" w:hAnsi="Arial" w:cs="Arial"/>
          <w:color w:val="000000"/>
          <w:sz w:val="22"/>
          <w:szCs w:val="22"/>
        </w:rPr>
      </w:pPr>
      <w:r w:rsidRPr="00BC7710">
        <w:rPr>
          <w:rFonts w:ascii="Arial" w:hAnsi="Arial" w:cs="Arial"/>
          <w:color w:val="000000"/>
          <w:sz w:val="22"/>
          <w:szCs w:val="22"/>
        </w:rPr>
        <w:t>Paris Declarations on Aid Effectiveness, 2005</w:t>
      </w:r>
    </w:p>
    <w:p w:rsidR="00A574EB" w:rsidRPr="00BC7710" w:rsidRDefault="00A574EB" w:rsidP="00B54C8F">
      <w:pPr>
        <w:pStyle w:val="Paragrafoelenco"/>
        <w:numPr>
          <w:ilvl w:val="0"/>
          <w:numId w:val="46"/>
        </w:numPr>
        <w:autoSpaceDE w:val="0"/>
        <w:autoSpaceDN w:val="0"/>
        <w:adjustRightInd w:val="0"/>
        <w:spacing w:before="0" w:after="0"/>
        <w:ind w:left="426" w:hanging="426"/>
        <w:jc w:val="left"/>
        <w:rPr>
          <w:rFonts w:ascii="Arial" w:hAnsi="Arial" w:cs="Arial"/>
          <w:color w:val="000000"/>
          <w:sz w:val="22"/>
          <w:szCs w:val="22"/>
        </w:rPr>
      </w:pPr>
      <w:r w:rsidRPr="00BC7710">
        <w:rPr>
          <w:rFonts w:ascii="Arial" w:hAnsi="Arial" w:cs="Arial"/>
          <w:color w:val="000000"/>
          <w:sz w:val="22"/>
          <w:szCs w:val="22"/>
        </w:rPr>
        <w:t>Accra Agenda for Action, 2008</w:t>
      </w:r>
    </w:p>
    <w:p w:rsidR="00A574EB" w:rsidRPr="00BC7710" w:rsidRDefault="00A574EB" w:rsidP="00A574EB">
      <w:pPr>
        <w:spacing w:before="0" w:after="0"/>
        <w:rPr>
          <w:rFonts w:ascii="Arial" w:hAnsi="Arial" w:cs="Arial"/>
          <w:b/>
          <w:bCs/>
          <w:caps/>
          <w:color w:val="365F92"/>
          <w:sz w:val="24"/>
          <w:szCs w:val="24"/>
        </w:rPr>
      </w:pPr>
    </w:p>
    <w:p w:rsidR="00A574EB" w:rsidRPr="00BC7710" w:rsidRDefault="00A574EB" w:rsidP="00BC7710">
      <w:pPr>
        <w:spacing w:before="0" w:after="0"/>
        <w:rPr>
          <w:rFonts w:ascii="Arial" w:hAnsi="Arial" w:cs="Arial"/>
          <w:b/>
          <w:bCs/>
          <w:caps/>
          <w:color w:val="365F92"/>
          <w:sz w:val="24"/>
          <w:szCs w:val="24"/>
        </w:rPr>
      </w:pPr>
      <w:r w:rsidRPr="00BC7710">
        <w:rPr>
          <w:rFonts w:ascii="Arial" w:hAnsi="Arial" w:cs="Arial"/>
          <w:b/>
          <w:bCs/>
          <w:caps/>
          <w:color w:val="365F92"/>
          <w:sz w:val="24"/>
          <w:szCs w:val="24"/>
        </w:rPr>
        <w:t xml:space="preserve">EU Documents </w:t>
      </w:r>
    </w:p>
    <w:p w:rsidR="00A574EB" w:rsidRPr="00BC7710" w:rsidRDefault="00A574EB" w:rsidP="00A574EB">
      <w:pPr>
        <w:spacing w:before="0" w:after="0"/>
        <w:rPr>
          <w:rFonts w:ascii="Arial" w:hAnsi="Arial" w:cs="Arial"/>
          <w:b/>
          <w:bCs/>
          <w:color w:val="365F92"/>
          <w:sz w:val="22"/>
          <w:szCs w:val="22"/>
        </w:rPr>
      </w:pPr>
      <w:r w:rsidRPr="00BC7710">
        <w:rPr>
          <w:rFonts w:ascii="Arial" w:hAnsi="Arial" w:cs="Arial"/>
          <w:b/>
          <w:bCs/>
          <w:color w:val="365F92"/>
          <w:sz w:val="22"/>
          <w:szCs w:val="22"/>
        </w:rPr>
        <w:t xml:space="preserve">EU/ Food security thematic </w:t>
      </w:r>
      <w:proofErr w:type="spellStart"/>
      <w:r w:rsidRPr="00BC7710">
        <w:rPr>
          <w:rFonts w:ascii="Arial" w:hAnsi="Arial" w:cs="Arial"/>
          <w:b/>
          <w:bCs/>
          <w:color w:val="365F92"/>
          <w:sz w:val="22"/>
          <w:szCs w:val="22"/>
        </w:rPr>
        <w:t>programme</w:t>
      </w:r>
      <w:proofErr w:type="spellEnd"/>
    </w:p>
    <w:p w:rsidR="00A574EB" w:rsidRPr="00BC7710" w:rsidRDefault="00A574EB" w:rsidP="00B54C8F">
      <w:pPr>
        <w:pStyle w:val="Paragrafoelenco"/>
        <w:numPr>
          <w:ilvl w:val="0"/>
          <w:numId w:val="48"/>
        </w:numPr>
        <w:spacing w:before="0" w:after="0"/>
        <w:ind w:left="426" w:hanging="426"/>
        <w:rPr>
          <w:rFonts w:ascii="Arial" w:hAnsi="Arial" w:cs="Arial"/>
          <w:sz w:val="22"/>
          <w:szCs w:val="22"/>
          <w:lang w:eastAsia="it-IT"/>
        </w:rPr>
      </w:pPr>
      <w:r w:rsidRPr="00BC7710">
        <w:rPr>
          <w:rFonts w:ascii="Arial" w:hAnsi="Arial" w:cs="Arial"/>
          <w:b/>
          <w:bCs/>
          <w:sz w:val="22"/>
          <w:szCs w:val="22"/>
        </w:rPr>
        <w:t xml:space="preserve">European Commission </w:t>
      </w:r>
      <w:r w:rsidRPr="00BC7710">
        <w:rPr>
          <w:rFonts w:ascii="Arial" w:hAnsi="Arial" w:cs="Arial"/>
          <w:sz w:val="22"/>
          <w:szCs w:val="22"/>
          <w:lang w:eastAsia="it-IT"/>
        </w:rPr>
        <w:t xml:space="preserve">Food security thematic </w:t>
      </w:r>
      <w:proofErr w:type="spellStart"/>
      <w:r w:rsidRPr="00BC7710">
        <w:rPr>
          <w:rFonts w:ascii="Arial" w:hAnsi="Arial" w:cs="Arial"/>
          <w:sz w:val="22"/>
          <w:szCs w:val="22"/>
          <w:lang w:eastAsia="it-IT"/>
        </w:rPr>
        <w:t>programme</w:t>
      </w:r>
      <w:proofErr w:type="spellEnd"/>
      <w:r w:rsidRPr="00BC7710">
        <w:rPr>
          <w:rFonts w:ascii="Arial" w:hAnsi="Arial" w:cs="Arial"/>
          <w:sz w:val="22"/>
          <w:szCs w:val="22"/>
          <w:lang w:eastAsia="it-IT"/>
        </w:rPr>
        <w:t xml:space="preserve"> Thematic Strategy Paper and  </w:t>
      </w:r>
      <w:proofErr w:type="spellStart"/>
      <w:r w:rsidRPr="00BC7710">
        <w:rPr>
          <w:rFonts w:ascii="Arial" w:hAnsi="Arial" w:cs="Arial"/>
          <w:sz w:val="22"/>
          <w:szCs w:val="22"/>
          <w:lang w:eastAsia="it-IT"/>
        </w:rPr>
        <w:t>MultiAnnual</w:t>
      </w:r>
      <w:proofErr w:type="spellEnd"/>
      <w:r w:rsidRPr="00BC7710">
        <w:rPr>
          <w:rFonts w:ascii="Arial" w:hAnsi="Arial" w:cs="Arial"/>
          <w:sz w:val="22"/>
          <w:szCs w:val="22"/>
          <w:lang w:eastAsia="it-IT"/>
        </w:rPr>
        <w:t xml:space="preserve"> Indicative </w:t>
      </w:r>
      <w:proofErr w:type="spellStart"/>
      <w:r w:rsidRPr="00BC7710">
        <w:rPr>
          <w:rFonts w:ascii="Arial" w:hAnsi="Arial" w:cs="Arial"/>
          <w:sz w:val="22"/>
          <w:szCs w:val="22"/>
          <w:lang w:eastAsia="it-IT"/>
        </w:rPr>
        <w:t>Programme</w:t>
      </w:r>
      <w:proofErr w:type="spellEnd"/>
      <w:r w:rsidRPr="00BC7710">
        <w:rPr>
          <w:rFonts w:ascii="Arial" w:hAnsi="Arial" w:cs="Arial"/>
          <w:sz w:val="22"/>
          <w:szCs w:val="22"/>
          <w:lang w:eastAsia="it-IT"/>
        </w:rPr>
        <w:t xml:space="preserve"> 2007-2010, 4 May 2007</w:t>
      </w:r>
    </w:p>
    <w:p w:rsidR="00A574EB" w:rsidRPr="00BC7710" w:rsidRDefault="00A574EB" w:rsidP="00B54C8F">
      <w:pPr>
        <w:pStyle w:val="Paragrafoelenco"/>
        <w:numPr>
          <w:ilvl w:val="0"/>
          <w:numId w:val="48"/>
        </w:numPr>
        <w:spacing w:before="0" w:after="0"/>
        <w:ind w:left="426" w:hanging="426"/>
        <w:rPr>
          <w:rFonts w:ascii="Arial" w:hAnsi="Arial" w:cs="Arial"/>
          <w:sz w:val="22"/>
          <w:szCs w:val="22"/>
          <w:lang w:eastAsia="it-IT"/>
        </w:rPr>
      </w:pPr>
      <w:r w:rsidRPr="00BC7710">
        <w:rPr>
          <w:rFonts w:ascii="Arial" w:hAnsi="Arial" w:cs="Arial"/>
          <w:b/>
          <w:bCs/>
          <w:sz w:val="22"/>
          <w:szCs w:val="22"/>
        </w:rPr>
        <w:t xml:space="preserve">European Commission, </w:t>
      </w:r>
      <w:r w:rsidRPr="00BC7710">
        <w:rPr>
          <w:rFonts w:ascii="Arial" w:hAnsi="Arial" w:cs="Arial"/>
          <w:sz w:val="22"/>
          <w:szCs w:val="22"/>
          <w:lang w:eastAsia="it-IT"/>
        </w:rPr>
        <w:t xml:space="preserve">Annual Action </w:t>
      </w:r>
      <w:proofErr w:type="spellStart"/>
      <w:r w:rsidRPr="00BC7710">
        <w:rPr>
          <w:rFonts w:ascii="Arial" w:hAnsi="Arial" w:cs="Arial"/>
          <w:sz w:val="22"/>
          <w:szCs w:val="22"/>
          <w:lang w:eastAsia="it-IT"/>
        </w:rPr>
        <w:t>Programme</w:t>
      </w:r>
      <w:proofErr w:type="spellEnd"/>
      <w:r w:rsidRPr="00BC7710">
        <w:rPr>
          <w:rFonts w:ascii="Arial" w:hAnsi="Arial" w:cs="Arial"/>
          <w:sz w:val="22"/>
          <w:szCs w:val="22"/>
          <w:lang w:eastAsia="it-IT"/>
        </w:rPr>
        <w:t xml:space="preserve"> covered by the programming document “Thematic Strategy Paper and Multiannual Indicative </w:t>
      </w:r>
      <w:proofErr w:type="spellStart"/>
      <w:r w:rsidRPr="00BC7710">
        <w:rPr>
          <w:rFonts w:ascii="Arial" w:hAnsi="Arial" w:cs="Arial"/>
          <w:sz w:val="22"/>
          <w:szCs w:val="22"/>
          <w:lang w:eastAsia="it-IT"/>
        </w:rPr>
        <w:t>Programme</w:t>
      </w:r>
      <w:proofErr w:type="spellEnd"/>
      <w:r w:rsidRPr="00BC7710">
        <w:rPr>
          <w:rFonts w:ascii="Arial" w:hAnsi="Arial" w:cs="Arial"/>
          <w:sz w:val="22"/>
          <w:szCs w:val="22"/>
          <w:lang w:eastAsia="it-IT"/>
        </w:rPr>
        <w:t xml:space="preserve"> 2007-2010” for the Development Cooperation Instrument in </w:t>
      </w:r>
      <w:proofErr w:type="spellStart"/>
      <w:r w:rsidRPr="00BC7710">
        <w:rPr>
          <w:rFonts w:ascii="Arial" w:hAnsi="Arial" w:cs="Arial"/>
          <w:sz w:val="22"/>
          <w:szCs w:val="22"/>
          <w:lang w:eastAsia="it-IT"/>
        </w:rPr>
        <w:t>favour</w:t>
      </w:r>
      <w:proofErr w:type="spellEnd"/>
      <w:r w:rsidRPr="00BC7710">
        <w:rPr>
          <w:rFonts w:ascii="Arial" w:hAnsi="Arial" w:cs="Arial"/>
          <w:sz w:val="22"/>
          <w:szCs w:val="22"/>
          <w:lang w:eastAsia="it-IT"/>
        </w:rPr>
        <w:t xml:space="preserve"> of Food Security for 2009</w:t>
      </w:r>
    </w:p>
    <w:p w:rsidR="00A574EB" w:rsidRPr="00BC7710" w:rsidRDefault="00A574EB" w:rsidP="00B54C8F">
      <w:pPr>
        <w:pStyle w:val="Paragrafoelenco"/>
        <w:numPr>
          <w:ilvl w:val="0"/>
          <w:numId w:val="48"/>
        </w:numPr>
        <w:spacing w:before="0" w:after="0"/>
        <w:ind w:left="426" w:hanging="426"/>
        <w:rPr>
          <w:rFonts w:ascii="Arial" w:hAnsi="Arial" w:cs="Arial"/>
          <w:sz w:val="22"/>
          <w:szCs w:val="22"/>
          <w:lang w:eastAsia="it-IT"/>
        </w:rPr>
      </w:pPr>
      <w:r w:rsidRPr="00BC7710">
        <w:rPr>
          <w:rFonts w:ascii="Arial" w:hAnsi="Arial" w:cs="Arial"/>
          <w:b/>
          <w:bCs/>
          <w:sz w:val="22"/>
          <w:szCs w:val="22"/>
        </w:rPr>
        <w:t xml:space="preserve">European Commission </w:t>
      </w:r>
      <w:r w:rsidRPr="00BC7710">
        <w:rPr>
          <w:rFonts w:ascii="Arial" w:hAnsi="Arial" w:cs="Arial"/>
          <w:sz w:val="22"/>
          <w:szCs w:val="22"/>
          <w:lang w:eastAsia="it-IT"/>
        </w:rPr>
        <w:t xml:space="preserve">Food security thematic </w:t>
      </w:r>
      <w:proofErr w:type="spellStart"/>
      <w:r w:rsidRPr="00BC7710">
        <w:rPr>
          <w:rFonts w:ascii="Arial" w:hAnsi="Arial" w:cs="Arial"/>
          <w:sz w:val="22"/>
          <w:szCs w:val="22"/>
          <w:lang w:eastAsia="it-IT"/>
        </w:rPr>
        <w:t>programme</w:t>
      </w:r>
      <w:proofErr w:type="spellEnd"/>
      <w:r w:rsidRPr="00BC7710">
        <w:rPr>
          <w:rFonts w:ascii="Arial" w:hAnsi="Arial" w:cs="Arial"/>
          <w:sz w:val="22"/>
          <w:szCs w:val="22"/>
          <w:lang w:eastAsia="it-IT"/>
        </w:rPr>
        <w:t xml:space="preserve">" Thematic Strategy Paper and  </w:t>
      </w:r>
      <w:proofErr w:type="spellStart"/>
      <w:r w:rsidRPr="00BC7710">
        <w:rPr>
          <w:rFonts w:ascii="Arial" w:hAnsi="Arial" w:cs="Arial"/>
          <w:sz w:val="22"/>
          <w:szCs w:val="22"/>
          <w:lang w:eastAsia="it-IT"/>
        </w:rPr>
        <w:t>MultiAnnual</w:t>
      </w:r>
      <w:proofErr w:type="spellEnd"/>
      <w:r w:rsidRPr="00BC7710">
        <w:rPr>
          <w:rFonts w:ascii="Arial" w:hAnsi="Arial" w:cs="Arial"/>
          <w:sz w:val="22"/>
          <w:szCs w:val="22"/>
          <w:lang w:eastAsia="it-IT"/>
        </w:rPr>
        <w:t xml:space="preserve"> Indicative </w:t>
      </w:r>
      <w:proofErr w:type="spellStart"/>
      <w:r w:rsidRPr="00BC7710">
        <w:rPr>
          <w:rFonts w:ascii="Arial" w:hAnsi="Arial" w:cs="Arial"/>
          <w:sz w:val="22"/>
          <w:szCs w:val="22"/>
          <w:lang w:eastAsia="it-IT"/>
        </w:rPr>
        <w:t>Programme</w:t>
      </w:r>
      <w:proofErr w:type="spellEnd"/>
      <w:r w:rsidRPr="00BC7710">
        <w:rPr>
          <w:rFonts w:ascii="Arial" w:hAnsi="Arial" w:cs="Arial"/>
          <w:sz w:val="22"/>
          <w:szCs w:val="22"/>
          <w:lang w:eastAsia="it-IT"/>
        </w:rPr>
        <w:t xml:space="preserve"> 2011-2013, 21 December 2010</w:t>
      </w:r>
    </w:p>
    <w:p w:rsidR="00A574EB" w:rsidRPr="00BC7710" w:rsidRDefault="00A574EB" w:rsidP="00A574EB">
      <w:pPr>
        <w:spacing w:before="0" w:after="0"/>
        <w:rPr>
          <w:rFonts w:ascii="Arial" w:hAnsi="Arial" w:cs="Arial"/>
          <w:b/>
          <w:bCs/>
          <w:color w:val="365F92"/>
          <w:sz w:val="22"/>
          <w:szCs w:val="22"/>
        </w:rPr>
      </w:pPr>
    </w:p>
    <w:p w:rsidR="00A574EB" w:rsidRPr="00BC7710" w:rsidRDefault="00A574EB" w:rsidP="00A574EB">
      <w:pPr>
        <w:spacing w:before="0" w:after="0"/>
        <w:rPr>
          <w:rFonts w:ascii="Arial" w:hAnsi="Arial" w:cs="Arial"/>
          <w:b/>
          <w:bCs/>
          <w:color w:val="365F92"/>
          <w:sz w:val="22"/>
          <w:szCs w:val="22"/>
        </w:rPr>
      </w:pPr>
      <w:r w:rsidRPr="00BC7710">
        <w:rPr>
          <w:rFonts w:ascii="Arial" w:hAnsi="Arial" w:cs="Arial"/>
          <w:b/>
          <w:bCs/>
          <w:color w:val="365F92"/>
          <w:sz w:val="22"/>
          <w:szCs w:val="22"/>
        </w:rPr>
        <w:t>ENP Policy</w:t>
      </w:r>
    </w:p>
    <w:p w:rsidR="00A574EB" w:rsidRPr="00BC7710" w:rsidRDefault="00A574EB" w:rsidP="00B54C8F">
      <w:pPr>
        <w:pStyle w:val="Paragrafoelenco"/>
        <w:numPr>
          <w:ilvl w:val="0"/>
          <w:numId w:val="46"/>
        </w:numPr>
        <w:spacing w:before="0" w:after="0"/>
        <w:ind w:left="426" w:hanging="426"/>
        <w:rPr>
          <w:rFonts w:ascii="Arial" w:hAnsi="Arial" w:cs="Arial"/>
          <w:sz w:val="22"/>
          <w:szCs w:val="22"/>
          <w:lang w:eastAsia="it-IT"/>
        </w:rPr>
      </w:pPr>
      <w:r w:rsidRPr="00BC7710">
        <w:rPr>
          <w:rFonts w:ascii="Arial" w:hAnsi="Arial" w:cs="Arial"/>
          <w:b/>
          <w:bCs/>
          <w:sz w:val="22"/>
          <w:szCs w:val="22"/>
        </w:rPr>
        <w:t>European Commission</w:t>
      </w:r>
      <w:r w:rsidRPr="00BC7710">
        <w:rPr>
          <w:rFonts w:ascii="Arial" w:hAnsi="Arial" w:cs="Arial"/>
          <w:sz w:val="22"/>
          <w:szCs w:val="22"/>
          <w:lang w:eastAsia="it-IT"/>
        </w:rPr>
        <w:t xml:space="preserve"> COM (2003) 393 final, Paving the way for a New Neighborhood Instrument, 1 July 2003</w:t>
      </w:r>
    </w:p>
    <w:p w:rsidR="00A574EB" w:rsidRPr="00BC7710" w:rsidRDefault="00A574EB" w:rsidP="00B54C8F">
      <w:pPr>
        <w:pStyle w:val="Paragrafoelenco"/>
        <w:numPr>
          <w:ilvl w:val="0"/>
          <w:numId w:val="46"/>
        </w:numPr>
        <w:spacing w:before="0" w:after="0"/>
        <w:ind w:left="426" w:hanging="426"/>
        <w:rPr>
          <w:rFonts w:ascii="Arial" w:hAnsi="Arial" w:cs="Arial"/>
          <w:sz w:val="22"/>
          <w:szCs w:val="22"/>
          <w:lang w:eastAsia="it-IT"/>
        </w:rPr>
      </w:pPr>
      <w:r w:rsidRPr="00BC7710">
        <w:rPr>
          <w:rFonts w:ascii="Arial" w:hAnsi="Arial" w:cs="Arial"/>
          <w:b/>
          <w:bCs/>
          <w:sz w:val="22"/>
          <w:szCs w:val="22"/>
        </w:rPr>
        <w:t>European Commission</w:t>
      </w:r>
      <w:r w:rsidRPr="00BC7710">
        <w:rPr>
          <w:rFonts w:ascii="Arial" w:hAnsi="Arial" w:cs="Arial"/>
          <w:sz w:val="22"/>
          <w:szCs w:val="22"/>
          <w:lang w:eastAsia="it-IT"/>
        </w:rPr>
        <w:t xml:space="preserve"> SEC(2005) 1521, Implementing and promoting the European Neighborhood Policy -22 November 2005</w:t>
      </w:r>
    </w:p>
    <w:p w:rsidR="00A574EB" w:rsidRPr="00BC7710" w:rsidRDefault="00A574EB" w:rsidP="00B54C8F">
      <w:pPr>
        <w:pStyle w:val="Paragrafoelenco"/>
        <w:numPr>
          <w:ilvl w:val="0"/>
          <w:numId w:val="46"/>
        </w:numPr>
        <w:spacing w:before="0" w:after="0"/>
        <w:ind w:left="426" w:hanging="426"/>
        <w:rPr>
          <w:rFonts w:ascii="Arial" w:hAnsi="Arial" w:cs="Arial"/>
          <w:sz w:val="22"/>
          <w:szCs w:val="22"/>
          <w:lang w:eastAsia="it-IT"/>
        </w:rPr>
      </w:pPr>
      <w:r w:rsidRPr="00BC7710">
        <w:rPr>
          <w:rFonts w:ascii="Arial" w:hAnsi="Arial" w:cs="Arial"/>
          <w:b/>
          <w:bCs/>
          <w:sz w:val="22"/>
          <w:szCs w:val="22"/>
        </w:rPr>
        <w:t xml:space="preserve">European Commission, </w:t>
      </w:r>
      <w:r w:rsidRPr="00BC7710">
        <w:rPr>
          <w:rFonts w:ascii="Arial" w:hAnsi="Arial" w:cs="Arial"/>
          <w:sz w:val="22"/>
          <w:szCs w:val="22"/>
          <w:lang w:eastAsia="it-IT"/>
        </w:rPr>
        <w:t xml:space="preserve">European Neighborhood&amp; Partnership Instrument - Cross-Border Cooperation - Strategy Paper 2007-2013 - Indicative </w:t>
      </w:r>
      <w:proofErr w:type="spellStart"/>
      <w:r w:rsidRPr="00BC7710">
        <w:rPr>
          <w:rFonts w:ascii="Arial" w:hAnsi="Arial" w:cs="Arial"/>
          <w:sz w:val="22"/>
          <w:szCs w:val="22"/>
          <w:lang w:eastAsia="it-IT"/>
        </w:rPr>
        <w:t>Programme</w:t>
      </w:r>
      <w:proofErr w:type="spellEnd"/>
      <w:r w:rsidRPr="00BC7710">
        <w:rPr>
          <w:rFonts w:ascii="Arial" w:hAnsi="Arial" w:cs="Arial"/>
          <w:sz w:val="22"/>
          <w:szCs w:val="22"/>
          <w:lang w:eastAsia="it-IT"/>
        </w:rPr>
        <w:t xml:space="preserve"> 2007-2010 - November 2006</w:t>
      </w:r>
    </w:p>
    <w:p w:rsidR="00A574EB" w:rsidRPr="00BC7710" w:rsidRDefault="00A574EB" w:rsidP="00B54C8F">
      <w:pPr>
        <w:pStyle w:val="Paragrafoelenco"/>
        <w:numPr>
          <w:ilvl w:val="0"/>
          <w:numId w:val="46"/>
        </w:numPr>
        <w:spacing w:before="0" w:after="0"/>
        <w:ind w:left="426" w:hanging="426"/>
        <w:rPr>
          <w:rFonts w:ascii="Arial" w:hAnsi="Arial" w:cs="Arial"/>
          <w:sz w:val="22"/>
          <w:szCs w:val="22"/>
          <w:lang w:eastAsia="it-IT"/>
        </w:rPr>
      </w:pPr>
      <w:r w:rsidRPr="00BC7710">
        <w:rPr>
          <w:rFonts w:ascii="Arial" w:hAnsi="Arial" w:cs="Arial"/>
          <w:b/>
          <w:bCs/>
          <w:sz w:val="22"/>
          <w:szCs w:val="22"/>
        </w:rPr>
        <w:t xml:space="preserve">European Commission </w:t>
      </w:r>
      <w:r w:rsidRPr="00BC7710">
        <w:rPr>
          <w:rFonts w:ascii="Arial" w:hAnsi="Arial" w:cs="Arial"/>
          <w:sz w:val="22"/>
          <w:szCs w:val="22"/>
          <w:lang w:eastAsia="it-IT"/>
        </w:rPr>
        <w:t>COM(2007) 774 final, A Strong European Neighborhood Policy, 05 December 2007</w:t>
      </w:r>
    </w:p>
    <w:p w:rsidR="00A574EB" w:rsidRPr="00BC7710" w:rsidRDefault="00A574EB" w:rsidP="00B54C8F">
      <w:pPr>
        <w:pStyle w:val="Paragrafoelenco"/>
        <w:numPr>
          <w:ilvl w:val="0"/>
          <w:numId w:val="46"/>
        </w:numPr>
        <w:spacing w:before="0" w:after="0"/>
        <w:ind w:left="426" w:hanging="426"/>
        <w:rPr>
          <w:rFonts w:ascii="Arial" w:hAnsi="Arial" w:cs="Arial"/>
          <w:sz w:val="22"/>
          <w:szCs w:val="22"/>
          <w:lang w:eastAsia="it-IT"/>
        </w:rPr>
      </w:pPr>
      <w:r w:rsidRPr="00BC7710">
        <w:rPr>
          <w:rFonts w:ascii="Arial" w:hAnsi="Arial" w:cs="Arial"/>
          <w:b/>
          <w:bCs/>
          <w:sz w:val="22"/>
          <w:szCs w:val="22"/>
        </w:rPr>
        <w:t>European Commission</w:t>
      </w:r>
      <w:r w:rsidRPr="00BC7710">
        <w:rPr>
          <w:rFonts w:ascii="Arial" w:hAnsi="Arial" w:cs="Arial"/>
          <w:sz w:val="22"/>
          <w:szCs w:val="22"/>
          <w:lang w:eastAsia="it-IT"/>
        </w:rPr>
        <w:t xml:space="preserve"> ENPI Regional Strategy Paper (2007-2013) and Regional Indicative </w:t>
      </w:r>
      <w:proofErr w:type="spellStart"/>
      <w:r w:rsidRPr="00BC7710">
        <w:rPr>
          <w:rFonts w:ascii="Arial" w:hAnsi="Arial" w:cs="Arial"/>
          <w:sz w:val="22"/>
          <w:szCs w:val="22"/>
          <w:lang w:eastAsia="it-IT"/>
        </w:rPr>
        <w:t>Programme</w:t>
      </w:r>
      <w:proofErr w:type="spellEnd"/>
      <w:r w:rsidRPr="00BC7710">
        <w:rPr>
          <w:rFonts w:ascii="Arial" w:hAnsi="Arial" w:cs="Arial"/>
          <w:sz w:val="22"/>
          <w:szCs w:val="22"/>
          <w:lang w:eastAsia="it-IT"/>
        </w:rPr>
        <w:t xml:space="preserve"> (2007-2010)</w:t>
      </w:r>
    </w:p>
    <w:p w:rsidR="00A574EB" w:rsidRPr="00BC7710" w:rsidRDefault="00A574EB" w:rsidP="00B54C8F">
      <w:pPr>
        <w:pStyle w:val="Paragrafoelenco"/>
        <w:numPr>
          <w:ilvl w:val="0"/>
          <w:numId w:val="46"/>
        </w:numPr>
        <w:spacing w:before="0" w:after="0"/>
        <w:ind w:left="426" w:hanging="426"/>
        <w:rPr>
          <w:rFonts w:ascii="Arial" w:hAnsi="Arial" w:cs="Arial"/>
          <w:sz w:val="22"/>
          <w:szCs w:val="22"/>
          <w:lang w:eastAsia="it-IT"/>
        </w:rPr>
      </w:pPr>
      <w:r w:rsidRPr="00BC7710">
        <w:rPr>
          <w:rFonts w:ascii="Arial" w:hAnsi="Arial" w:cs="Arial"/>
          <w:b/>
          <w:bCs/>
          <w:sz w:val="22"/>
          <w:szCs w:val="22"/>
        </w:rPr>
        <w:t>European Commission</w:t>
      </w:r>
      <w:r w:rsidRPr="00BC7710">
        <w:rPr>
          <w:rFonts w:ascii="Arial" w:hAnsi="Arial" w:cs="Arial"/>
          <w:sz w:val="22"/>
          <w:szCs w:val="22"/>
          <w:lang w:eastAsia="it-IT"/>
        </w:rPr>
        <w:t xml:space="preserve"> COM(2010) 207, Taking stock of the European Neighborhood Policy, 12 May 2010</w:t>
      </w:r>
    </w:p>
    <w:p w:rsidR="00A574EB" w:rsidRPr="00BC7710" w:rsidRDefault="00A574EB" w:rsidP="00B54C8F">
      <w:pPr>
        <w:pStyle w:val="Paragrafoelenco"/>
        <w:numPr>
          <w:ilvl w:val="0"/>
          <w:numId w:val="46"/>
        </w:numPr>
        <w:spacing w:before="0" w:after="0"/>
        <w:ind w:left="426" w:hanging="426"/>
        <w:rPr>
          <w:rFonts w:ascii="Arial" w:hAnsi="Arial" w:cs="Arial"/>
          <w:b/>
          <w:bCs/>
          <w:sz w:val="22"/>
          <w:szCs w:val="22"/>
        </w:rPr>
      </w:pPr>
      <w:r w:rsidRPr="00BC7710">
        <w:rPr>
          <w:rFonts w:ascii="Arial" w:hAnsi="Arial" w:cs="Arial"/>
          <w:b/>
          <w:sz w:val="22"/>
          <w:szCs w:val="22"/>
          <w:lang w:eastAsia="it-IT"/>
        </w:rPr>
        <w:t>EEAS</w:t>
      </w:r>
      <w:r w:rsidRPr="00BC7710">
        <w:rPr>
          <w:rFonts w:ascii="Arial" w:hAnsi="Arial" w:cs="Arial"/>
          <w:sz w:val="22"/>
          <w:szCs w:val="22"/>
          <w:lang w:eastAsia="it-IT"/>
        </w:rPr>
        <w:t xml:space="preserve"> COM(2011)200 final</w:t>
      </w:r>
      <w:r w:rsidRPr="00BC7710">
        <w:rPr>
          <w:rFonts w:ascii="Arial" w:hAnsi="Arial" w:cs="Arial"/>
          <w:b/>
          <w:sz w:val="22"/>
          <w:szCs w:val="22"/>
          <w:lang w:eastAsia="it-IT"/>
        </w:rPr>
        <w:t xml:space="preserve">, </w:t>
      </w:r>
      <w:r w:rsidRPr="00BC7710">
        <w:rPr>
          <w:rFonts w:ascii="Arial" w:hAnsi="Arial" w:cs="Arial"/>
          <w:sz w:val="22"/>
          <w:szCs w:val="22"/>
          <w:lang w:eastAsia="it-IT"/>
        </w:rPr>
        <w:t>A partnership for democracy and shared prosperity with Southern Mediterranean, 8 March 2011</w:t>
      </w:r>
    </w:p>
    <w:p w:rsidR="00A574EB" w:rsidRPr="00BC7710" w:rsidRDefault="00A574EB" w:rsidP="00B54C8F">
      <w:pPr>
        <w:pStyle w:val="Paragrafoelenco"/>
        <w:numPr>
          <w:ilvl w:val="0"/>
          <w:numId w:val="46"/>
        </w:numPr>
        <w:spacing w:before="0" w:after="0"/>
        <w:ind w:left="426" w:hanging="426"/>
        <w:rPr>
          <w:rFonts w:ascii="Arial" w:hAnsi="Arial" w:cs="Arial"/>
          <w:b/>
          <w:bCs/>
          <w:sz w:val="22"/>
          <w:szCs w:val="22"/>
        </w:rPr>
      </w:pPr>
      <w:r w:rsidRPr="00BC7710">
        <w:rPr>
          <w:rFonts w:ascii="Arial" w:hAnsi="Arial" w:cs="Arial"/>
          <w:b/>
          <w:sz w:val="22"/>
          <w:szCs w:val="22"/>
          <w:lang w:eastAsia="it-IT"/>
        </w:rPr>
        <w:t>EEAS</w:t>
      </w:r>
      <w:r w:rsidRPr="00BC7710">
        <w:rPr>
          <w:rFonts w:ascii="Arial" w:hAnsi="Arial" w:cs="Arial"/>
          <w:sz w:val="22"/>
          <w:szCs w:val="22"/>
          <w:lang w:eastAsia="it-IT"/>
        </w:rPr>
        <w:t xml:space="preserve"> COM(2011)303 final, A new response to a changing Neighborhood, 25 May 2011</w:t>
      </w:r>
    </w:p>
    <w:p w:rsidR="00A574EB" w:rsidRPr="00BC7710" w:rsidRDefault="00A574EB" w:rsidP="00A574EB">
      <w:pPr>
        <w:pStyle w:val="Paragrafoelenco"/>
        <w:spacing w:before="0" w:after="0"/>
        <w:ind w:left="426"/>
        <w:rPr>
          <w:rFonts w:ascii="Arial" w:hAnsi="Arial" w:cs="Arial"/>
          <w:sz w:val="22"/>
          <w:szCs w:val="22"/>
          <w:lang w:eastAsia="it-IT"/>
        </w:rPr>
      </w:pPr>
    </w:p>
    <w:p w:rsidR="00A574EB" w:rsidRPr="00BC7710" w:rsidRDefault="00A574EB" w:rsidP="00A574EB">
      <w:pPr>
        <w:spacing w:before="0" w:after="0"/>
        <w:rPr>
          <w:rFonts w:ascii="Arial" w:hAnsi="Arial" w:cs="Arial"/>
          <w:b/>
          <w:bCs/>
          <w:color w:val="365F92"/>
          <w:sz w:val="22"/>
          <w:szCs w:val="22"/>
        </w:rPr>
      </w:pPr>
      <w:r w:rsidRPr="00BC7710">
        <w:rPr>
          <w:rFonts w:ascii="Arial" w:hAnsi="Arial" w:cs="Arial"/>
          <w:b/>
          <w:bCs/>
          <w:color w:val="365F92"/>
          <w:sz w:val="22"/>
          <w:szCs w:val="22"/>
        </w:rPr>
        <w:t>EU/PA Background documents</w:t>
      </w:r>
    </w:p>
    <w:p w:rsidR="00A574EB" w:rsidRPr="00BC7710" w:rsidRDefault="00A574EB" w:rsidP="00B54C8F">
      <w:pPr>
        <w:pStyle w:val="Paragrafoelenco"/>
        <w:numPr>
          <w:ilvl w:val="0"/>
          <w:numId w:val="47"/>
        </w:numPr>
        <w:spacing w:before="0" w:after="0"/>
        <w:ind w:left="426" w:hanging="426"/>
        <w:rPr>
          <w:rFonts w:ascii="Arial" w:hAnsi="Arial" w:cs="Arial"/>
          <w:sz w:val="22"/>
          <w:szCs w:val="22"/>
          <w:lang w:eastAsia="it-IT"/>
        </w:rPr>
      </w:pPr>
      <w:r w:rsidRPr="00BC7710">
        <w:rPr>
          <w:rFonts w:ascii="Arial" w:hAnsi="Arial" w:cs="Arial"/>
          <w:b/>
          <w:sz w:val="22"/>
          <w:szCs w:val="22"/>
          <w:lang w:eastAsia="it-IT"/>
        </w:rPr>
        <w:t xml:space="preserve">Council of the European Union, </w:t>
      </w:r>
      <w:r w:rsidRPr="00BC7710">
        <w:rPr>
          <w:rFonts w:ascii="Arial" w:hAnsi="Arial" w:cs="Arial"/>
          <w:sz w:val="22"/>
          <w:szCs w:val="22"/>
          <w:lang w:eastAsia="it-IT"/>
        </w:rPr>
        <w:t>Euro-Mediterranean Interim Association Agreement on Trade and Cooperation between the European Community and the Palestine Liberation Organization (PLO) - Brussels, 24 February 1997</w:t>
      </w:r>
    </w:p>
    <w:p w:rsidR="00A574EB" w:rsidRPr="00BC7710" w:rsidRDefault="00A574EB" w:rsidP="00B54C8F">
      <w:pPr>
        <w:pStyle w:val="Paragrafoelenco"/>
        <w:numPr>
          <w:ilvl w:val="0"/>
          <w:numId w:val="47"/>
        </w:numPr>
        <w:spacing w:before="0" w:after="0"/>
        <w:ind w:left="426" w:hanging="426"/>
        <w:rPr>
          <w:rFonts w:ascii="Arial" w:hAnsi="Arial" w:cs="Arial"/>
          <w:sz w:val="22"/>
          <w:szCs w:val="22"/>
        </w:rPr>
      </w:pPr>
      <w:r w:rsidRPr="00BC7710">
        <w:rPr>
          <w:rFonts w:ascii="Arial" w:hAnsi="Arial" w:cs="Arial"/>
          <w:b/>
          <w:sz w:val="22"/>
          <w:szCs w:val="22"/>
        </w:rPr>
        <w:t xml:space="preserve">Council </w:t>
      </w:r>
      <w:r w:rsidRPr="00BC7710">
        <w:rPr>
          <w:rFonts w:ascii="Arial" w:hAnsi="Arial" w:cs="Arial"/>
          <w:b/>
          <w:sz w:val="22"/>
          <w:szCs w:val="22"/>
          <w:lang w:eastAsia="it-IT"/>
        </w:rPr>
        <w:t>of the European Union</w:t>
      </w:r>
      <w:r w:rsidRPr="00BC7710">
        <w:rPr>
          <w:rFonts w:ascii="Arial" w:hAnsi="Arial" w:cs="Arial"/>
          <w:b/>
          <w:sz w:val="22"/>
          <w:szCs w:val="22"/>
        </w:rPr>
        <w:t xml:space="preserve"> Conclusions</w:t>
      </w:r>
      <w:r w:rsidRPr="00BC7710">
        <w:rPr>
          <w:rFonts w:ascii="Arial" w:hAnsi="Arial" w:cs="Arial"/>
          <w:sz w:val="22"/>
          <w:szCs w:val="22"/>
        </w:rPr>
        <w:t xml:space="preserve"> on the </w:t>
      </w:r>
      <w:r w:rsidRPr="00BC7710">
        <w:rPr>
          <w:rFonts w:ascii="Arial" w:hAnsi="Arial" w:cs="Arial"/>
          <w:sz w:val="22"/>
          <w:szCs w:val="22"/>
          <w:lang w:eastAsia="it-IT"/>
        </w:rPr>
        <w:t xml:space="preserve">Middle East Peace Process, 8 December </w:t>
      </w:r>
      <w:r w:rsidRPr="00BC7710">
        <w:rPr>
          <w:rFonts w:ascii="Arial" w:hAnsi="Arial" w:cs="Arial"/>
          <w:sz w:val="22"/>
          <w:szCs w:val="22"/>
        </w:rPr>
        <w:t>2009</w:t>
      </w:r>
    </w:p>
    <w:p w:rsidR="00A574EB" w:rsidRPr="00BC7710" w:rsidRDefault="00A574EB" w:rsidP="00B54C8F">
      <w:pPr>
        <w:pStyle w:val="Paragrafoelenco"/>
        <w:numPr>
          <w:ilvl w:val="0"/>
          <w:numId w:val="47"/>
        </w:numPr>
        <w:spacing w:before="0" w:after="0"/>
        <w:ind w:left="426" w:hanging="426"/>
        <w:rPr>
          <w:rFonts w:ascii="Arial" w:hAnsi="Arial" w:cs="Arial"/>
          <w:sz w:val="22"/>
          <w:szCs w:val="22"/>
        </w:rPr>
      </w:pPr>
      <w:r w:rsidRPr="00BC7710">
        <w:rPr>
          <w:rFonts w:ascii="Arial" w:hAnsi="Arial" w:cs="Arial"/>
          <w:b/>
          <w:sz w:val="22"/>
          <w:szCs w:val="22"/>
        </w:rPr>
        <w:t xml:space="preserve">Council </w:t>
      </w:r>
      <w:r w:rsidRPr="00BC7710">
        <w:rPr>
          <w:rFonts w:ascii="Arial" w:hAnsi="Arial" w:cs="Arial"/>
          <w:b/>
          <w:sz w:val="22"/>
          <w:szCs w:val="22"/>
          <w:lang w:eastAsia="it-IT"/>
        </w:rPr>
        <w:t>of the European Union</w:t>
      </w:r>
      <w:r w:rsidRPr="00BC7710">
        <w:rPr>
          <w:rFonts w:ascii="Arial" w:hAnsi="Arial" w:cs="Arial"/>
          <w:b/>
          <w:sz w:val="22"/>
          <w:szCs w:val="22"/>
        </w:rPr>
        <w:t xml:space="preserve"> Conclusions</w:t>
      </w:r>
      <w:r w:rsidRPr="00BC7710">
        <w:rPr>
          <w:rFonts w:ascii="Arial" w:hAnsi="Arial" w:cs="Arial"/>
          <w:sz w:val="22"/>
          <w:szCs w:val="22"/>
        </w:rPr>
        <w:t xml:space="preserve"> the </w:t>
      </w:r>
      <w:r w:rsidRPr="00BC7710">
        <w:rPr>
          <w:rFonts w:ascii="Arial" w:hAnsi="Arial" w:cs="Arial"/>
          <w:sz w:val="22"/>
          <w:szCs w:val="22"/>
          <w:lang w:eastAsia="it-IT"/>
        </w:rPr>
        <w:t xml:space="preserve">Middle East Peace Process, </w:t>
      </w:r>
      <w:r w:rsidRPr="00BC7710">
        <w:rPr>
          <w:rFonts w:ascii="Arial" w:hAnsi="Arial" w:cs="Arial"/>
          <w:sz w:val="22"/>
          <w:szCs w:val="22"/>
        </w:rPr>
        <w:t>10 December 2012</w:t>
      </w:r>
    </w:p>
    <w:p w:rsidR="00A574EB" w:rsidRPr="00BC7710" w:rsidRDefault="00A574EB" w:rsidP="00B54C8F">
      <w:pPr>
        <w:pStyle w:val="Paragrafoelenco"/>
        <w:numPr>
          <w:ilvl w:val="0"/>
          <w:numId w:val="47"/>
        </w:numPr>
        <w:tabs>
          <w:tab w:val="left" w:pos="4395"/>
        </w:tabs>
        <w:spacing w:before="0" w:after="0"/>
        <w:ind w:left="426" w:hanging="426"/>
        <w:rPr>
          <w:rFonts w:ascii="Arial" w:hAnsi="Arial" w:cs="Arial"/>
          <w:sz w:val="22"/>
          <w:szCs w:val="22"/>
          <w:lang w:eastAsia="it-IT"/>
        </w:rPr>
      </w:pPr>
      <w:r w:rsidRPr="00BC7710">
        <w:rPr>
          <w:rFonts w:ascii="Arial" w:hAnsi="Arial" w:cs="Arial"/>
          <w:b/>
          <w:bCs/>
          <w:sz w:val="22"/>
          <w:szCs w:val="22"/>
        </w:rPr>
        <w:t xml:space="preserve">European Commission </w:t>
      </w:r>
      <w:r w:rsidRPr="00BC7710">
        <w:rPr>
          <w:rFonts w:ascii="Arial" w:hAnsi="Arial" w:cs="Arial"/>
          <w:sz w:val="22"/>
          <w:szCs w:val="22"/>
          <w:lang w:eastAsia="it-IT"/>
        </w:rPr>
        <w:t>SEC(2004)565</w:t>
      </w:r>
      <w:r w:rsidRPr="00BC7710">
        <w:rPr>
          <w:rFonts w:ascii="Arial" w:hAnsi="Arial" w:cs="Arial"/>
          <w:b/>
          <w:bCs/>
          <w:sz w:val="22"/>
          <w:szCs w:val="22"/>
        </w:rPr>
        <w:t>,</w:t>
      </w:r>
      <w:r w:rsidRPr="00BC7710">
        <w:rPr>
          <w:rFonts w:ascii="Arial" w:hAnsi="Arial" w:cs="Arial"/>
          <w:sz w:val="22"/>
          <w:szCs w:val="22"/>
          <w:lang w:eastAsia="it-IT"/>
        </w:rPr>
        <w:t xml:space="preserve"> ENP Country Report Palestinian Authority of the West Bank and Gaza Strip, 12 May 2004 </w:t>
      </w:r>
    </w:p>
    <w:p w:rsidR="00A574EB" w:rsidRPr="00BC7710" w:rsidRDefault="00A574EB" w:rsidP="00B54C8F">
      <w:pPr>
        <w:pStyle w:val="Paragrafoelenco"/>
        <w:numPr>
          <w:ilvl w:val="0"/>
          <w:numId w:val="47"/>
        </w:numPr>
        <w:spacing w:before="0" w:after="0"/>
        <w:ind w:left="426" w:hanging="426"/>
        <w:rPr>
          <w:rFonts w:ascii="Arial" w:hAnsi="Arial" w:cs="Arial"/>
          <w:sz w:val="22"/>
          <w:szCs w:val="22"/>
          <w:lang w:eastAsia="it-IT"/>
        </w:rPr>
      </w:pPr>
      <w:r w:rsidRPr="00BC7710">
        <w:rPr>
          <w:rFonts w:ascii="Arial" w:hAnsi="Arial" w:cs="Arial"/>
          <w:b/>
          <w:bCs/>
          <w:sz w:val="22"/>
          <w:szCs w:val="22"/>
        </w:rPr>
        <w:t xml:space="preserve">European Commission </w:t>
      </w:r>
      <w:r w:rsidRPr="00BC7710">
        <w:rPr>
          <w:rFonts w:ascii="Arial" w:hAnsi="Arial" w:cs="Arial"/>
          <w:sz w:val="22"/>
          <w:szCs w:val="22"/>
        </w:rPr>
        <w:t>COM(2005)458 final</w:t>
      </w:r>
      <w:r w:rsidRPr="00BC7710">
        <w:rPr>
          <w:rFonts w:ascii="Arial" w:hAnsi="Arial" w:cs="Arial"/>
          <w:b/>
          <w:bCs/>
          <w:sz w:val="22"/>
          <w:szCs w:val="22"/>
        </w:rPr>
        <w:t>,</w:t>
      </w:r>
      <w:r w:rsidRPr="00BC7710">
        <w:rPr>
          <w:rFonts w:ascii="Arial" w:hAnsi="Arial" w:cs="Arial"/>
          <w:sz w:val="22"/>
          <w:szCs w:val="22"/>
          <w:lang w:eastAsia="it-IT"/>
        </w:rPr>
        <w:t xml:space="preserve"> EU-Palestinian cooperation beyond disengagement - towards a two-state solution, 5 October 2005</w:t>
      </w:r>
    </w:p>
    <w:p w:rsidR="00A574EB" w:rsidRPr="00BC7710" w:rsidRDefault="00A574EB" w:rsidP="00B54C8F">
      <w:pPr>
        <w:pStyle w:val="Paragrafoelenco"/>
        <w:numPr>
          <w:ilvl w:val="0"/>
          <w:numId w:val="47"/>
        </w:numPr>
        <w:spacing w:before="0" w:after="0"/>
        <w:ind w:left="426" w:hanging="426"/>
        <w:rPr>
          <w:rFonts w:ascii="Arial" w:hAnsi="Arial" w:cs="Arial"/>
          <w:sz w:val="22"/>
          <w:szCs w:val="22"/>
          <w:lang w:eastAsia="it-IT"/>
        </w:rPr>
      </w:pPr>
      <w:r w:rsidRPr="00BC7710">
        <w:rPr>
          <w:rFonts w:ascii="Arial" w:hAnsi="Arial" w:cs="Arial"/>
          <w:b/>
          <w:bCs/>
          <w:sz w:val="22"/>
          <w:szCs w:val="22"/>
        </w:rPr>
        <w:t xml:space="preserve">European Commission, </w:t>
      </w:r>
      <w:r w:rsidRPr="00BC7710">
        <w:rPr>
          <w:rFonts w:ascii="Arial" w:hAnsi="Arial" w:cs="Arial"/>
          <w:bCs/>
          <w:sz w:val="22"/>
          <w:szCs w:val="22"/>
        </w:rPr>
        <w:t>EU/Palestinian Authority Action Plan 2005</w:t>
      </w:r>
    </w:p>
    <w:p w:rsidR="00A574EB" w:rsidRPr="00BC7710" w:rsidRDefault="00A574EB" w:rsidP="00B54C8F">
      <w:pPr>
        <w:pStyle w:val="Paragrafoelenco"/>
        <w:numPr>
          <w:ilvl w:val="0"/>
          <w:numId w:val="47"/>
        </w:numPr>
        <w:spacing w:before="0" w:after="0"/>
        <w:ind w:left="426" w:hanging="426"/>
        <w:rPr>
          <w:rFonts w:ascii="Arial" w:hAnsi="Arial" w:cs="Arial"/>
          <w:sz w:val="22"/>
          <w:szCs w:val="22"/>
          <w:lang w:eastAsia="it-IT"/>
        </w:rPr>
      </w:pPr>
      <w:r w:rsidRPr="00BC7710">
        <w:rPr>
          <w:rFonts w:ascii="Arial" w:hAnsi="Arial" w:cs="Arial"/>
          <w:b/>
          <w:sz w:val="22"/>
          <w:szCs w:val="22"/>
          <w:lang w:eastAsia="it-IT"/>
        </w:rPr>
        <w:t xml:space="preserve">ECHO, </w:t>
      </w:r>
      <w:r w:rsidRPr="00BC7710">
        <w:rPr>
          <w:rFonts w:ascii="Arial" w:hAnsi="Arial" w:cs="Arial"/>
          <w:sz w:val="22"/>
          <w:szCs w:val="22"/>
          <w:lang w:eastAsia="it-IT"/>
        </w:rPr>
        <w:t>Humanitarian Implementation Plan (HIP), Occupied Palestinian Territory, 07 December 2012</w:t>
      </w:r>
    </w:p>
    <w:p w:rsidR="00A574EB" w:rsidRPr="00BC7710" w:rsidRDefault="00A574EB" w:rsidP="00B54C8F">
      <w:pPr>
        <w:pStyle w:val="Paragrafoelenco"/>
        <w:numPr>
          <w:ilvl w:val="0"/>
          <w:numId w:val="47"/>
        </w:numPr>
        <w:spacing w:before="0" w:after="0"/>
        <w:ind w:left="426" w:hanging="426"/>
        <w:rPr>
          <w:rFonts w:ascii="Arial" w:hAnsi="Arial" w:cs="Arial"/>
          <w:sz w:val="22"/>
          <w:szCs w:val="22"/>
          <w:lang w:eastAsia="it-IT"/>
        </w:rPr>
      </w:pPr>
      <w:r w:rsidRPr="00BC7710">
        <w:rPr>
          <w:rFonts w:ascii="Arial" w:hAnsi="Arial" w:cs="Arial"/>
          <w:b/>
          <w:bCs/>
          <w:sz w:val="22"/>
          <w:szCs w:val="22"/>
        </w:rPr>
        <w:lastRenderedPageBreak/>
        <w:t xml:space="preserve">European Commission, </w:t>
      </w:r>
      <w:r w:rsidRPr="00BC7710">
        <w:rPr>
          <w:rFonts w:ascii="Arial" w:hAnsi="Arial" w:cs="Arial"/>
          <w:bCs/>
          <w:sz w:val="22"/>
          <w:szCs w:val="22"/>
        </w:rPr>
        <w:t>EU/Palestinian Authority Action Plan 2013</w:t>
      </w:r>
    </w:p>
    <w:p w:rsidR="00A574EB" w:rsidRPr="00BC7710" w:rsidRDefault="00A574EB" w:rsidP="00B54C8F">
      <w:pPr>
        <w:pStyle w:val="Paragrafoelenco"/>
        <w:numPr>
          <w:ilvl w:val="0"/>
          <w:numId w:val="47"/>
        </w:numPr>
        <w:spacing w:before="0" w:after="0"/>
        <w:ind w:left="426" w:hanging="426"/>
        <w:rPr>
          <w:rFonts w:ascii="Arial" w:hAnsi="Arial" w:cs="Arial"/>
          <w:sz w:val="22"/>
          <w:szCs w:val="22"/>
          <w:lang w:eastAsia="it-IT"/>
        </w:rPr>
      </w:pPr>
      <w:r w:rsidRPr="00BC7710">
        <w:rPr>
          <w:rFonts w:ascii="Arial" w:hAnsi="Arial" w:cs="Arial"/>
          <w:b/>
          <w:sz w:val="22"/>
          <w:szCs w:val="22"/>
          <w:lang w:eastAsia="it-IT"/>
        </w:rPr>
        <w:t>EEAS</w:t>
      </w:r>
      <w:r w:rsidRPr="00BC7710">
        <w:rPr>
          <w:rFonts w:ascii="Arial" w:hAnsi="Arial" w:cs="Arial"/>
          <w:sz w:val="22"/>
          <w:szCs w:val="22"/>
          <w:lang w:eastAsia="it-IT"/>
        </w:rPr>
        <w:t>, Note on Denomination of Palestine, April 2013</w:t>
      </w:r>
    </w:p>
    <w:p w:rsidR="00FC181F" w:rsidRPr="00BC7710" w:rsidRDefault="00FC181F" w:rsidP="00B54C8F">
      <w:pPr>
        <w:pStyle w:val="Paragrafoelenco"/>
        <w:numPr>
          <w:ilvl w:val="0"/>
          <w:numId w:val="47"/>
        </w:numPr>
        <w:spacing w:before="0" w:after="0"/>
        <w:ind w:left="426" w:hanging="426"/>
        <w:rPr>
          <w:rFonts w:ascii="Arial" w:hAnsi="Arial" w:cs="Arial"/>
          <w:sz w:val="22"/>
          <w:szCs w:val="22"/>
          <w:lang w:eastAsia="it-IT"/>
        </w:rPr>
      </w:pPr>
      <w:r w:rsidRPr="00BC7710">
        <w:rPr>
          <w:rFonts w:ascii="Arial" w:hAnsi="Arial" w:cs="Arial"/>
          <w:b/>
          <w:sz w:val="22"/>
          <w:szCs w:val="22"/>
          <w:lang w:eastAsia="it-IT"/>
        </w:rPr>
        <w:t>EU</w:t>
      </w:r>
      <w:r w:rsidRPr="00BC7710">
        <w:rPr>
          <w:rFonts w:ascii="Arial" w:hAnsi="Arial" w:cs="Arial"/>
          <w:sz w:val="22"/>
          <w:szCs w:val="22"/>
          <w:lang w:eastAsia="it-IT"/>
        </w:rPr>
        <w:t xml:space="preserve"> Local Strategy on Development Cooperation, 26 October 2011</w:t>
      </w:r>
    </w:p>
    <w:p w:rsidR="00FC181F" w:rsidRPr="00BC7710" w:rsidRDefault="00FC181F" w:rsidP="00B54C8F">
      <w:pPr>
        <w:pStyle w:val="Paragrafoelenco"/>
        <w:numPr>
          <w:ilvl w:val="0"/>
          <w:numId w:val="56"/>
        </w:numPr>
        <w:spacing w:before="0" w:after="0"/>
        <w:ind w:left="426" w:hanging="426"/>
        <w:jc w:val="left"/>
        <w:rPr>
          <w:rFonts w:ascii="Arial" w:hAnsi="Arial" w:cs="Arial"/>
          <w:color w:val="000000"/>
          <w:sz w:val="22"/>
          <w:szCs w:val="22"/>
          <w:lang w:eastAsia="it-IT"/>
        </w:rPr>
      </w:pPr>
      <w:r w:rsidRPr="00BC7710">
        <w:rPr>
          <w:rFonts w:ascii="Arial" w:hAnsi="Arial" w:cs="Arial"/>
          <w:b/>
          <w:bCs/>
          <w:sz w:val="22"/>
          <w:szCs w:val="22"/>
        </w:rPr>
        <w:t>European Commission</w:t>
      </w:r>
      <w:r w:rsidRPr="00BC7710">
        <w:rPr>
          <w:rFonts w:ascii="Arial" w:hAnsi="Arial" w:cs="Arial"/>
          <w:sz w:val="22"/>
          <w:szCs w:val="22"/>
        </w:rPr>
        <w:t xml:space="preserve">; </w:t>
      </w:r>
      <w:r w:rsidRPr="00BC7710">
        <w:rPr>
          <w:rFonts w:ascii="Arial" w:hAnsi="Arial" w:cs="Arial"/>
          <w:color w:val="000000"/>
          <w:sz w:val="22"/>
          <w:szCs w:val="22"/>
          <w:lang w:eastAsia="it-IT"/>
        </w:rPr>
        <w:t xml:space="preserve">Note of </w:t>
      </w:r>
      <w:proofErr w:type="spellStart"/>
      <w:r w:rsidRPr="00BC7710">
        <w:rPr>
          <w:rFonts w:ascii="Arial" w:hAnsi="Arial" w:cs="Arial"/>
          <w:color w:val="000000"/>
          <w:sz w:val="22"/>
          <w:szCs w:val="22"/>
          <w:lang w:eastAsia="it-IT"/>
        </w:rPr>
        <w:t>Mr</w:t>
      </w:r>
      <w:proofErr w:type="spellEnd"/>
      <w:r w:rsidRPr="00BC7710">
        <w:rPr>
          <w:rFonts w:ascii="Arial" w:hAnsi="Arial" w:cs="Arial"/>
          <w:color w:val="000000"/>
          <w:sz w:val="22"/>
          <w:szCs w:val="22"/>
          <w:lang w:eastAsia="it-IT"/>
        </w:rPr>
        <w:t xml:space="preserve"> </w:t>
      </w:r>
      <w:proofErr w:type="spellStart"/>
      <w:r w:rsidRPr="00BC7710">
        <w:rPr>
          <w:rFonts w:ascii="Arial" w:hAnsi="Arial" w:cs="Arial"/>
          <w:color w:val="000000"/>
          <w:sz w:val="22"/>
          <w:szCs w:val="22"/>
          <w:lang w:eastAsia="it-IT"/>
        </w:rPr>
        <w:t>Landaburu</w:t>
      </w:r>
      <w:proofErr w:type="spellEnd"/>
      <w:r w:rsidRPr="00BC7710">
        <w:rPr>
          <w:rFonts w:ascii="Arial" w:hAnsi="Arial" w:cs="Arial"/>
          <w:color w:val="000000"/>
          <w:sz w:val="22"/>
          <w:szCs w:val="22"/>
          <w:lang w:eastAsia="it-IT"/>
        </w:rPr>
        <w:t xml:space="preserve"> to Commissioner </w:t>
      </w:r>
      <w:proofErr w:type="spellStart"/>
      <w:r w:rsidRPr="00BC7710">
        <w:rPr>
          <w:rFonts w:ascii="Arial" w:hAnsi="Arial" w:cs="Arial"/>
          <w:color w:val="000000"/>
          <w:sz w:val="22"/>
          <w:szCs w:val="22"/>
          <w:lang w:eastAsia="it-IT"/>
        </w:rPr>
        <w:t>Ferrero-Waldner</w:t>
      </w:r>
      <w:proofErr w:type="spellEnd"/>
      <w:r w:rsidRPr="00BC7710">
        <w:rPr>
          <w:rFonts w:ascii="Arial" w:hAnsi="Arial" w:cs="Arial"/>
          <w:color w:val="000000"/>
          <w:sz w:val="22"/>
          <w:szCs w:val="22"/>
          <w:lang w:eastAsia="it-IT"/>
        </w:rPr>
        <w:t xml:space="preserve"> ; 17 December 2012</w:t>
      </w:r>
    </w:p>
    <w:p w:rsidR="00FC181F" w:rsidRPr="00BC7710" w:rsidRDefault="00FC181F" w:rsidP="00B54C8F">
      <w:pPr>
        <w:pStyle w:val="Paragrafoelenco"/>
        <w:numPr>
          <w:ilvl w:val="0"/>
          <w:numId w:val="56"/>
        </w:numPr>
        <w:spacing w:before="0" w:after="0"/>
        <w:ind w:left="426" w:hanging="426"/>
        <w:jc w:val="left"/>
        <w:rPr>
          <w:rFonts w:ascii="Arial" w:hAnsi="Arial" w:cs="Arial"/>
          <w:color w:val="000000"/>
          <w:sz w:val="22"/>
          <w:szCs w:val="22"/>
          <w:lang w:eastAsia="it-IT"/>
        </w:rPr>
      </w:pPr>
      <w:r w:rsidRPr="00BC7710">
        <w:rPr>
          <w:rFonts w:ascii="Arial" w:hAnsi="Arial" w:cs="Arial"/>
          <w:b/>
          <w:bCs/>
          <w:sz w:val="22"/>
          <w:szCs w:val="22"/>
        </w:rPr>
        <w:t>European Commission</w:t>
      </w:r>
      <w:r w:rsidRPr="00BC7710">
        <w:rPr>
          <w:rFonts w:ascii="Arial" w:hAnsi="Arial" w:cs="Arial"/>
          <w:sz w:val="22"/>
          <w:szCs w:val="22"/>
        </w:rPr>
        <w:t xml:space="preserve">; </w:t>
      </w:r>
      <w:r w:rsidRPr="00BC7710">
        <w:rPr>
          <w:rFonts w:ascii="Arial" w:hAnsi="Arial" w:cs="Arial"/>
          <w:color w:val="000000"/>
          <w:sz w:val="22"/>
          <w:szCs w:val="22"/>
          <w:lang w:eastAsia="it-IT"/>
        </w:rPr>
        <w:t xml:space="preserve">Order for Service for the </w:t>
      </w:r>
      <w:proofErr w:type="spellStart"/>
      <w:r w:rsidRPr="00BC7710">
        <w:rPr>
          <w:rFonts w:ascii="Arial" w:hAnsi="Arial" w:cs="Arial"/>
          <w:color w:val="000000"/>
          <w:sz w:val="22"/>
          <w:szCs w:val="22"/>
          <w:lang w:eastAsia="it-IT"/>
        </w:rPr>
        <w:t>oPT</w:t>
      </w:r>
      <w:proofErr w:type="spellEnd"/>
      <w:r w:rsidRPr="00BC7710">
        <w:rPr>
          <w:rFonts w:ascii="Arial" w:hAnsi="Arial" w:cs="Arial"/>
          <w:color w:val="000000"/>
          <w:sz w:val="22"/>
          <w:szCs w:val="22"/>
          <w:lang w:eastAsia="it-IT"/>
        </w:rPr>
        <w:t xml:space="preserve"> and the PA 2008; </w:t>
      </w:r>
    </w:p>
    <w:p w:rsidR="00FC181F" w:rsidRPr="00BC7710" w:rsidRDefault="00FC181F" w:rsidP="00B54C8F">
      <w:pPr>
        <w:pStyle w:val="Paragrafoelenco"/>
        <w:numPr>
          <w:ilvl w:val="0"/>
          <w:numId w:val="56"/>
        </w:numPr>
        <w:spacing w:before="0" w:after="0"/>
        <w:ind w:left="426" w:hanging="426"/>
        <w:jc w:val="left"/>
        <w:rPr>
          <w:rFonts w:ascii="Arial" w:hAnsi="Arial" w:cs="Arial"/>
          <w:color w:val="000000"/>
          <w:sz w:val="22"/>
          <w:szCs w:val="22"/>
          <w:lang w:eastAsia="it-IT"/>
        </w:rPr>
      </w:pPr>
      <w:r w:rsidRPr="00BC7710">
        <w:rPr>
          <w:rFonts w:ascii="Arial" w:hAnsi="Arial" w:cs="Arial"/>
          <w:b/>
          <w:bCs/>
          <w:sz w:val="22"/>
          <w:szCs w:val="22"/>
        </w:rPr>
        <w:t>European Commission</w:t>
      </w:r>
      <w:r w:rsidRPr="00BC7710">
        <w:rPr>
          <w:rFonts w:ascii="Arial" w:hAnsi="Arial" w:cs="Arial"/>
          <w:sz w:val="22"/>
          <w:szCs w:val="22"/>
        </w:rPr>
        <w:t xml:space="preserve">; </w:t>
      </w:r>
      <w:r w:rsidRPr="00BC7710">
        <w:rPr>
          <w:rFonts w:ascii="Arial" w:hAnsi="Arial" w:cs="Arial"/>
          <w:color w:val="000000"/>
          <w:sz w:val="22"/>
          <w:szCs w:val="22"/>
          <w:lang w:eastAsia="it-IT"/>
        </w:rPr>
        <w:t xml:space="preserve">Order for Service for the </w:t>
      </w:r>
      <w:proofErr w:type="spellStart"/>
      <w:r w:rsidRPr="00BC7710">
        <w:rPr>
          <w:rFonts w:ascii="Arial" w:hAnsi="Arial" w:cs="Arial"/>
          <w:color w:val="000000"/>
          <w:sz w:val="22"/>
          <w:szCs w:val="22"/>
          <w:lang w:eastAsia="it-IT"/>
        </w:rPr>
        <w:t>oPT</w:t>
      </w:r>
      <w:proofErr w:type="spellEnd"/>
      <w:r w:rsidRPr="00BC7710">
        <w:rPr>
          <w:rFonts w:ascii="Arial" w:hAnsi="Arial" w:cs="Arial"/>
          <w:color w:val="000000"/>
          <w:sz w:val="22"/>
          <w:szCs w:val="22"/>
          <w:lang w:eastAsia="it-IT"/>
        </w:rPr>
        <w:t xml:space="preserve"> and the PA 2009 - I tranche; </w:t>
      </w:r>
    </w:p>
    <w:p w:rsidR="00FC181F" w:rsidRPr="00BC7710" w:rsidRDefault="00FC181F" w:rsidP="00B54C8F">
      <w:pPr>
        <w:pStyle w:val="Paragrafoelenco"/>
        <w:numPr>
          <w:ilvl w:val="0"/>
          <w:numId w:val="56"/>
        </w:numPr>
        <w:spacing w:before="0" w:after="0"/>
        <w:ind w:left="426" w:hanging="426"/>
        <w:jc w:val="left"/>
        <w:rPr>
          <w:rFonts w:ascii="Arial" w:hAnsi="Arial" w:cs="Arial"/>
          <w:color w:val="000000"/>
          <w:sz w:val="22"/>
          <w:szCs w:val="22"/>
          <w:lang w:eastAsia="it-IT"/>
        </w:rPr>
      </w:pPr>
      <w:r w:rsidRPr="00BC7710">
        <w:rPr>
          <w:rFonts w:ascii="Arial" w:hAnsi="Arial" w:cs="Arial"/>
          <w:b/>
          <w:bCs/>
          <w:sz w:val="22"/>
          <w:szCs w:val="22"/>
        </w:rPr>
        <w:t>European Commission</w:t>
      </w:r>
      <w:r w:rsidRPr="00BC7710">
        <w:rPr>
          <w:rFonts w:ascii="Arial" w:hAnsi="Arial" w:cs="Arial"/>
          <w:sz w:val="22"/>
          <w:szCs w:val="22"/>
        </w:rPr>
        <w:t xml:space="preserve">; </w:t>
      </w:r>
      <w:r w:rsidRPr="00BC7710">
        <w:rPr>
          <w:rFonts w:ascii="Arial" w:hAnsi="Arial" w:cs="Arial"/>
          <w:color w:val="000000"/>
          <w:sz w:val="22"/>
          <w:szCs w:val="22"/>
          <w:lang w:eastAsia="it-IT"/>
        </w:rPr>
        <w:t xml:space="preserve">Order for Service for the </w:t>
      </w:r>
      <w:proofErr w:type="spellStart"/>
      <w:r w:rsidRPr="00BC7710">
        <w:rPr>
          <w:rFonts w:ascii="Arial" w:hAnsi="Arial" w:cs="Arial"/>
          <w:color w:val="000000"/>
          <w:sz w:val="22"/>
          <w:szCs w:val="22"/>
          <w:lang w:eastAsia="it-IT"/>
        </w:rPr>
        <w:t>oPT</w:t>
      </w:r>
      <w:proofErr w:type="spellEnd"/>
      <w:r w:rsidRPr="00BC7710">
        <w:rPr>
          <w:rFonts w:ascii="Arial" w:hAnsi="Arial" w:cs="Arial"/>
          <w:color w:val="000000"/>
          <w:sz w:val="22"/>
          <w:szCs w:val="22"/>
          <w:lang w:eastAsia="it-IT"/>
        </w:rPr>
        <w:t xml:space="preserve"> and the PA 2009 - II tranche; </w:t>
      </w:r>
      <w:r w:rsidRPr="00BC7710">
        <w:rPr>
          <w:rFonts w:ascii="Arial" w:hAnsi="Arial" w:cs="Arial"/>
          <w:b/>
          <w:bCs/>
          <w:sz w:val="22"/>
          <w:szCs w:val="22"/>
        </w:rPr>
        <w:t>European Commission</w:t>
      </w:r>
      <w:r w:rsidRPr="00BC7710">
        <w:rPr>
          <w:rFonts w:ascii="Arial" w:hAnsi="Arial" w:cs="Arial"/>
          <w:sz w:val="22"/>
          <w:szCs w:val="22"/>
        </w:rPr>
        <w:t xml:space="preserve">; </w:t>
      </w:r>
      <w:r w:rsidRPr="00BC7710">
        <w:rPr>
          <w:rFonts w:ascii="Arial" w:hAnsi="Arial" w:cs="Arial"/>
          <w:color w:val="000000"/>
          <w:sz w:val="22"/>
          <w:szCs w:val="22"/>
          <w:lang w:eastAsia="it-IT"/>
        </w:rPr>
        <w:t xml:space="preserve">Order for Service for the </w:t>
      </w:r>
      <w:proofErr w:type="spellStart"/>
      <w:r w:rsidRPr="00BC7710">
        <w:rPr>
          <w:rFonts w:ascii="Arial" w:hAnsi="Arial" w:cs="Arial"/>
          <w:color w:val="000000"/>
          <w:sz w:val="22"/>
          <w:szCs w:val="22"/>
          <w:lang w:eastAsia="it-IT"/>
        </w:rPr>
        <w:t>oPT</w:t>
      </w:r>
      <w:proofErr w:type="spellEnd"/>
      <w:r w:rsidRPr="00BC7710">
        <w:rPr>
          <w:rFonts w:ascii="Arial" w:hAnsi="Arial" w:cs="Arial"/>
          <w:color w:val="000000"/>
          <w:sz w:val="22"/>
          <w:szCs w:val="22"/>
          <w:lang w:eastAsia="it-IT"/>
        </w:rPr>
        <w:t xml:space="preserve"> and the PA 2010 - I tranche</w:t>
      </w:r>
    </w:p>
    <w:p w:rsidR="00FC181F" w:rsidRPr="00BC7710" w:rsidRDefault="00FC181F" w:rsidP="00B54C8F">
      <w:pPr>
        <w:pStyle w:val="Paragrafoelenco"/>
        <w:numPr>
          <w:ilvl w:val="0"/>
          <w:numId w:val="56"/>
        </w:numPr>
        <w:spacing w:before="0" w:after="0"/>
        <w:ind w:left="426" w:hanging="426"/>
        <w:jc w:val="left"/>
        <w:rPr>
          <w:rFonts w:ascii="Arial" w:hAnsi="Arial" w:cs="Arial"/>
          <w:color w:val="000000"/>
          <w:sz w:val="22"/>
          <w:szCs w:val="22"/>
          <w:lang w:eastAsia="it-IT"/>
        </w:rPr>
      </w:pPr>
      <w:r w:rsidRPr="00BC7710">
        <w:rPr>
          <w:rFonts w:ascii="Arial" w:hAnsi="Arial" w:cs="Arial"/>
          <w:b/>
          <w:bCs/>
          <w:sz w:val="22"/>
          <w:szCs w:val="22"/>
        </w:rPr>
        <w:t>European Commission</w:t>
      </w:r>
      <w:r w:rsidRPr="00BC7710">
        <w:rPr>
          <w:rFonts w:ascii="Arial" w:hAnsi="Arial" w:cs="Arial"/>
          <w:sz w:val="22"/>
          <w:szCs w:val="22"/>
        </w:rPr>
        <w:t xml:space="preserve">; </w:t>
      </w:r>
      <w:r w:rsidRPr="00BC7710">
        <w:rPr>
          <w:rFonts w:ascii="Arial" w:hAnsi="Arial" w:cs="Arial"/>
          <w:color w:val="000000"/>
          <w:sz w:val="22"/>
          <w:szCs w:val="22"/>
          <w:lang w:eastAsia="it-IT"/>
        </w:rPr>
        <w:t xml:space="preserve">Order for Service for the </w:t>
      </w:r>
      <w:proofErr w:type="spellStart"/>
      <w:r w:rsidRPr="00BC7710">
        <w:rPr>
          <w:rFonts w:ascii="Arial" w:hAnsi="Arial" w:cs="Arial"/>
          <w:color w:val="000000"/>
          <w:sz w:val="22"/>
          <w:szCs w:val="22"/>
          <w:lang w:eastAsia="it-IT"/>
        </w:rPr>
        <w:t>oPT</w:t>
      </w:r>
      <w:proofErr w:type="spellEnd"/>
      <w:r w:rsidRPr="00BC7710">
        <w:rPr>
          <w:rFonts w:ascii="Arial" w:hAnsi="Arial" w:cs="Arial"/>
          <w:color w:val="000000"/>
          <w:sz w:val="22"/>
          <w:szCs w:val="22"/>
          <w:lang w:eastAsia="it-IT"/>
        </w:rPr>
        <w:t xml:space="preserve"> and the PA 2010 - II tranche </w:t>
      </w:r>
    </w:p>
    <w:p w:rsidR="00FC181F" w:rsidRPr="00BC7710" w:rsidRDefault="00FC181F" w:rsidP="00B54C8F">
      <w:pPr>
        <w:pStyle w:val="Paragrafoelenco"/>
        <w:numPr>
          <w:ilvl w:val="0"/>
          <w:numId w:val="56"/>
        </w:numPr>
        <w:spacing w:before="0" w:after="0"/>
        <w:ind w:left="426" w:hanging="426"/>
        <w:jc w:val="left"/>
        <w:rPr>
          <w:rFonts w:ascii="Arial" w:hAnsi="Arial" w:cs="Arial"/>
          <w:color w:val="000000"/>
          <w:sz w:val="22"/>
          <w:szCs w:val="22"/>
          <w:lang w:eastAsia="it-IT"/>
        </w:rPr>
      </w:pPr>
      <w:r w:rsidRPr="00BC7710">
        <w:rPr>
          <w:rFonts w:ascii="Arial" w:hAnsi="Arial" w:cs="Arial"/>
          <w:b/>
          <w:bCs/>
          <w:sz w:val="22"/>
          <w:szCs w:val="22"/>
        </w:rPr>
        <w:t>European Commission</w:t>
      </w:r>
      <w:r w:rsidRPr="00BC7710">
        <w:rPr>
          <w:rFonts w:ascii="Arial" w:hAnsi="Arial" w:cs="Arial"/>
          <w:sz w:val="22"/>
          <w:szCs w:val="22"/>
        </w:rPr>
        <w:t xml:space="preserve">; </w:t>
      </w:r>
      <w:r w:rsidRPr="00BC7710">
        <w:rPr>
          <w:rFonts w:ascii="Arial" w:hAnsi="Arial" w:cs="Arial"/>
          <w:color w:val="000000"/>
          <w:sz w:val="22"/>
          <w:szCs w:val="22"/>
          <w:lang w:eastAsia="it-IT"/>
        </w:rPr>
        <w:t xml:space="preserve">Order for Service for the </w:t>
      </w:r>
      <w:proofErr w:type="spellStart"/>
      <w:r w:rsidRPr="00BC7710">
        <w:rPr>
          <w:rFonts w:ascii="Arial" w:hAnsi="Arial" w:cs="Arial"/>
          <w:color w:val="000000"/>
          <w:sz w:val="22"/>
          <w:szCs w:val="22"/>
          <w:lang w:eastAsia="it-IT"/>
        </w:rPr>
        <w:t>oPT</w:t>
      </w:r>
      <w:proofErr w:type="spellEnd"/>
      <w:r w:rsidRPr="00BC7710">
        <w:rPr>
          <w:rFonts w:ascii="Arial" w:hAnsi="Arial" w:cs="Arial"/>
          <w:color w:val="000000"/>
          <w:sz w:val="22"/>
          <w:szCs w:val="22"/>
          <w:lang w:eastAsia="it-IT"/>
        </w:rPr>
        <w:t xml:space="preserve"> and the PA 2010 - II tranche - annex</w:t>
      </w:r>
    </w:p>
    <w:p w:rsidR="00FC181F" w:rsidRPr="00BC7710" w:rsidRDefault="00FC181F" w:rsidP="00B54C8F">
      <w:pPr>
        <w:pStyle w:val="Paragrafoelenco"/>
        <w:numPr>
          <w:ilvl w:val="0"/>
          <w:numId w:val="56"/>
        </w:numPr>
        <w:spacing w:before="0" w:after="0"/>
        <w:ind w:left="426" w:hanging="426"/>
        <w:jc w:val="left"/>
        <w:rPr>
          <w:rFonts w:ascii="Arial" w:hAnsi="Arial" w:cs="Arial"/>
          <w:color w:val="000000"/>
          <w:sz w:val="22"/>
          <w:szCs w:val="22"/>
          <w:lang w:eastAsia="it-IT"/>
        </w:rPr>
      </w:pPr>
      <w:r w:rsidRPr="00BC7710">
        <w:rPr>
          <w:rFonts w:ascii="Arial" w:hAnsi="Arial" w:cs="Arial"/>
          <w:b/>
          <w:bCs/>
          <w:sz w:val="22"/>
          <w:szCs w:val="22"/>
        </w:rPr>
        <w:t>European Commission</w:t>
      </w:r>
      <w:r w:rsidRPr="00BC7710">
        <w:rPr>
          <w:rFonts w:ascii="Arial" w:hAnsi="Arial" w:cs="Arial"/>
          <w:sz w:val="22"/>
          <w:szCs w:val="22"/>
        </w:rPr>
        <w:t xml:space="preserve">; </w:t>
      </w:r>
      <w:r w:rsidRPr="00BC7710">
        <w:rPr>
          <w:rFonts w:ascii="Arial" w:hAnsi="Arial" w:cs="Arial"/>
          <w:color w:val="000000"/>
          <w:sz w:val="22"/>
          <w:szCs w:val="22"/>
          <w:lang w:eastAsia="it-IT"/>
        </w:rPr>
        <w:t xml:space="preserve">Order for Service for the </w:t>
      </w:r>
      <w:proofErr w:type="spellStart"/>
      <w:r w:rsidRPr="00BC7710">
        <w:rPr>
          <w:rFonts w:ascii="Arial" w:hAnsi="Arial" w:cs="Arial"/>
          <w:color w:val="000000"/>
          <w:sz w:val="22"/>
          <w:szCs w:val="22"/>
          <w:lang w:eastAsia="it-IT"/>
        </w:rPr>
        <w:t>oPT</w:t>
      </w:r>
      <w:proofErr w:type="spellEnd"/>
      <w:r w:rsidRPr="00BC7710">
        <w:rPr>
          <w:rFonts w:ascii="Arial" w:hAnsi="Arial" w:cs="Arial"/>
          <w:color w:val="000000"/>
          <w:sz w:val="22"/>
          <w:szCs w:val="22"/>
          <w:lang w:eastAsia="it-IT"/>
        </w:rPr>
        <w:t xml:space="preserve"> and the PA 2011 - I tranche </w:t>
      </w:r>
    </w:p>
    <w:p w:rsidR="00FC181F" w:rsidRPr="00BC7710" w:rsidRDefault="00FC181F" w:rsidP="00B54C8F">
      <w:pPr>
        <w:pStyle w:val="Paragrafoelenco"/>
        <w:numPr>
          <w:ilvl w:val="0"/>
          <w:numId w:val="56"/>
        </w:numPr>
        <w:spacing w:before="0" w:after="0"/>
        <w:ind w:left="426" w:hanging="426"/>
        <w:jc w:val="left"/>
        <w:rPr>
          <w:rFonts w:ascii="Arial" w:hAnsi="Arial" w:cs="Arial"/>
          <w:color w:val="000000"/>
          <w:sz w:val="22"/>
          <w:szCs w:val="22"/>
          <w:lang w:eastAsia="it-IT"/>
        </w:rPr>
      </w:pPr>
      <w:r w:rsidRPr="00BC7710">
        <w:rPr>
          <w:rFonts w:ascii="Arial" w:hAnsi="Arial" w:cs="Arial"/>
          <w:b/>
          <w:bCs/>
          <w:sz w:val="22"/>
          <w:szCs w:val="22"/>
        </w:rPr>
        <w:t>European Commission</w:t>
      </w:r>
      <w:r w:rsidRPr="00BC7710">
        <w:rPr>
          <w:rFonts w:ascii="Arial" w:hAnsi="Arial" w:cs="Arial"/>
          <w:sz w:val="22"/>
          <w:szCs w:val="22"/>
        </w:rPr>
        <w:t xml:space="preserve">; </w:t>
      </w:r>
      <w:r w:rsidRPr="00BC7710">
        <w:rPr>
          <w:rFonts w:ascii="Arial" w:hAnsi="Arial" w:cs="Arial"/>
          <w:color w:val="000000"/>
          <w:sz w:val="22"/>
          <w:szCs w:val="22"/>
          <w:lang w:eastAsia="it-IT"/>
        </w:rPr>
        <w:t xml:space="preserve">Order for Service for the </w:t>
      </w:r>
      <w:proofErr w:type="spellStart"/>
      <w:r w:rsidRPr="00BC7710">
        <w:rPr>
          <w:rFonts w:ascii="Arial" w:hAnsi="Arial" w:cs="Arial"/>
          <w:color w:val="000000"/>
          <w:sz w:val="22"/>
          <w:szCs w:val="22"/>
          <w:lang w:eastAsia="it-IT"/>
        </w:rPr>
        <w:t>oPT</w:t>
      </w:r>
      <w:proofErr w:type="spellEnd"/>
      <w:r w:rsidRPr="00BC7710">
        <w:rPr>
          <w:rFonts w:ascii="Arial" w:hAnsi="Arial" w:cs="Arial"/>
          <w:color w:val="000000"/>
          <w:sz w:val="22"/>
          <w:szCs w:val="22"/>
          <w:lang w:eastAsia="it-IT"/>
        </w:rPr>
        <w:t xml:space="preserve"> and the PA 2011 - II tranche </w:t>
      </w:r>
    </w:p>
    <w:p w:rsidR="00FC181F" w:rsidRPr="00BC7710" w:rsidRDefault="00FC181F" w:rsidP="00B54C8F">
      <w:pPr>
        <w:pStyle w:val="Paragrafoelenco"/>
        <w:numPr>
          <w:ilvl w:val="0"/>
          <w:numId w:val="56"/>
        </w:numPr>
        <w:spacing w:before="0" w:after="0"/>
        <w:ind w:left="426" w:hanging="426"/>
        <w:jc w:val="left"/>
        <w:rPr>
          <w:rFonts w:ascii="Arial" w:hAnsi="Arial" w:cs="Arial"/>
          <w:color w:val="000000"/>
          <w:sz w:val="22"/>
          <w:szCs w:val="22"/>
          <w:lang w:eastAsia="it-IT"/>
        </w:rPr>
      </w:pPr>
      <w:r w:rsidRPr="00BC7710">
        <w:rPr>
          <w:rFonts w:ascii="Arial" w:hAnsi="Arial" w:cs="Arial"/>
          <w:b/>
          <w:bCs/>
          <w:sz w:val="22"/>
          <w:szCs w:val="22"/>
        </w:rPr>
        <w:t>European Commission</w:t>
      </w:r>
      <w:r w:rsidRPr="00BC7710">
        <w:rPr>
          <w:rFonts w:ascii="Arial" w:hAnsi="Arial" w:cs="Arial"/>
          <w:sz w:val="22"/>
          <w:szCs w:val="22"/>
        </w:rPr>
        <w:t xml:space="preserve">; </w:t>
      </w:r>
      <w:r w:rsidRPr="00BC7710">
        <w:rPr>
          <w:rFonts w:ascii="Arial" w:hAnsi="Arial" w:cs="Arial"/>
          <w:color w:val="000000"/>
          <w:sz w:val="22"/>
          <w:szCs w:val="22"/>
          <w:lang w:eastAsia="it-IT"/>
        </w:rPr>
        <w:t xml:space="preserve">Order for Service for the </w:t>
      </w:r>
      <w:proofErr w:type="spellStart"/>
      <w:r w:rsidRPr="00BC7710">
        <w:rPr>
          <w:rFonts w:ascii="Arial" w:hAnsi="Arial" w:cs="Arial"/>
          <w:color w:val="000000"/>
          <w:sz w:val="22"/>
          <w:szCs w:val="22"/>
          <w:lang w:eastAsia="it-IT"/>
        </w:rPr>
        <w:t>oPT</w:t>
      </w:r>
      <w:proofErr w:type="spellEnd"/>
      <w:r w:rsidRPr="00BC7710">
        <w:rPr>
          <w:rFonts w:ascii="Arial" w:hAnsi="Arial" w:cs="Arial"/>
          <w:color w:val="000000"/>
          <w:sz w:val="22"/>
          <w:szCs w:val="22"/>
          <w:lang w:eastAsia="it-IT"/>
        </w:rPr>
        <w:t xml:space="preserve"> and the PA 2012 - I tranche </w:t>
      </w:r>
    </w:p>
    <w:p w:rsidR="00FC181F" w:rsidRPr="00BC7710" w:rsidRDefault="00FC181F" w:rsidP="00B54C8F">
      <w:pPr>
        <w:pStyle w:val="Paragrafoelenco"/>
        <w:numPr>
          <w:ilvl w:val="0"/>
          <w:numId w:val="56"/>
        </w:numPr>
        <w:spacing w:before="0" w:after="0"/>
        <w:ind w:left="426" w:hanging="426"/>
        <w:jc w:val="left"/>
        <w:rPr>
          <w:rFonts w:ascii="Arial" w:hAnsi="Arial" w:cs="Arial"/>
          <w:sz w:val="22"/>
          <w:szCs w:val="22"/>
          <w:lang w:eastAsia="it-IT"/>
        </w:rPr>
      </w:pPr>
      <w:r w:rsidRPr="00BC7710">
        <w:rPr>
          <w:rFonts w:ascii="Arial" w:hAnsi="Arial" w:cs="Arial"/>
          <w:b/>
          <w:bCs/>
          <w:sz w:val="22"/>
          <w:szCs w:val="22"/>
        </w:rPr>
        <w:t>European Commission</w:t>
      </w:r>
      <w:r w:rsidRPr="00BC7710">
        <w:rPr>
          <w:rFonts w:ascii="Arial" w:hAnsi="Arial" w:cs="Arial"/>
          <w:sz w:val="22"/>
          <w:szCs w:val="22"/>
        </w:rPr>
        <w:t xml:space="preserve">; </w:t>
      </w:r>
      <w:r w:rsidRPr="00BC7710">
        <w:rPr>
          <w:rFonts w:ascii="Arial" w:hAnsi="Arial" w:cs="Arial"/>
          <w:color w:val="000000"/>
          <w:sz w:val="22"/>
          <w:szCs w:val="22"/>
          <w:lang w:eastAsia="it-IT"/>
        </w:rPr>
        <w:t xml:space="preserve">Order for Service for the </w:t>
      </w:r>
      <w:proofErr w:type="spellStart"/>
      <w:r w:rsidRPr="00BC7710">
        <w:rPr>
          <w:rFonts w:ascii="Arial" w:hAnsi="Arial" w:cs="Arial"/>
          <w:color w:val="000000"/>
          <w:sz w:val="22"/>
          <w:szCs w:val="22"/>
          <w:lang w:eastAsia="it-IT"/>
        </w:rPr>
        <w:t>oPT</w:t>
      </w:r>
      <w:proofErr w:type="spellEnd"/>
      <w:r w:rsidRPr="00BC7710">
        <w:rPr>
          <w:rFonts w:ascii="Arial" w:hAnsi="Arial" w:cs="Arial"/>
          <w:color w:val="000000"/>
          <w:sz w:val="22"/>
          <w:szCs w:val="22"/>
          <w:lang w:eastAsia="it-IT"/>
        </w:rPr>
        <w:t xml:space="preserve"> and the PA 2012 - II tranche</w:t>
      </w:r>
    </w:p>
    <w:p w:rsidR="00A574EB" w:rsidRPr="00BC7710" w:rsidRDefault="00A574EB" w:rsidP="00A574EB">
      <w:pPr>
        <w:pStyle w:val="Paragrafoelenco"/>
        <w:spacing w:before="0" w:after="0"/>
        <w:ind w:left="426"/>
        <w:rPr>
          <w:rFonts w:ascii="Arial" w:hAnsi="Arial" w:cs="Arial"/>
          <w:sz w:val="22"/>
          <w:szCs w:val="22"/>
          <w:lang w:eastAsia="it-IT"/>
        </w:rPr>
      </w:pPr>
    </w:p>
    <w:p w:rsidR="00A574EB" w:rsidRPr="00BC7710" w:rsidRDefault="00A574EB" w:rsidP="00A574EB">
      <w:pPr>
        <w:spacing w:before="0" w:after="0"/>
        <w:rPr>
          <w:rFonts w:ascii="Arial" w:hAnsi="Arial" w:cs="Arial"/>
          <w:sz w:val="22"/>
          <w:szCs w:val="22"/>
          <w:lang w:eastAsia="it-IT"/>
        </w:rPr>
      </w:pPr>
      <w:r w:rsidRPr="00BC7710">
        <w:rPr>
          <w:rFonts w:ascii="Arial" w:hAnsi="Arial" w:cs="Arial"/>
          <w:b/>
          <w:bCs/>
          <w:color w:val="365F92"/>
          <w:sz w:val="22"/>
          <w:szCs w:val="22"/>
        </w:rPr>
        <w:t xml:space="preserve">EU/PA Annual </w:t>
      </w:r>
      <w:proofErr w:type="spellStart"/>
      <w:r w:rsidRPr="00BC7710">
        <w:rPr>
          <w:rFonts w:ascii="Arial" w:hAnsi="Arial" w:cs="Arial"/>
          <w:b/>
          <w:bCs/>
          <w:color w:val="365F92"/>
          <w:sz w:val="22"/>
          <w:szCs w:val="22"/>
        </w:rPr>
        <w:t>Programmes</w:t>
      </w:r>
      <w:proofErr w:type="spellEnd"/>
    </w:p>
    <w:p w:rsidR="00A574EB" w:rsidRPr="00BC7710" w:rsidRDefault="00A574EB" w:rsidP="00B54C8F">
      <w:pPr>
        <w:pStyle w:val="Paragrafoelenco"/>
        <w:numPr>
          <w:ilvl w:val="0"/>
          <w:numId w:val="47"/>
        </w:numPr>
        <w:spacing w:before="0" w:after="0"/>
        <w:ind w:left="426" w:hanging="426"/>
        <w:rPr>
          <w:rFonts w:ascii="Arial" w:hAnsi="Arial" w:cs="Arial"/>
          <w:sz w:val="22"/>
          <w:szCs w:val="22"/>
          <w:lang w:eastAsia="it-IT"/>
        </w:rPr>
      </w:pPr>
      <w:r w:rsidRPr="00BC7710">
        <w:rPr>
          <w:rFonts w:ascii="Arial" w:hAnsi="Arial" w:cs="Arial"/>
          <w:b/>
          <w:bCs/>
          <w:sz w:val="22"/>
          <w:szCs w:val="22"/>
        </w:rPr>
        <w:t xml:space="preserve">European Commission, </w:t>
      </w:r>
      <w:r w:rsidRPr="00BC7710">
        <w:rPr>
          <w:rFonts w:ascii="Arial" w:hAnsi="Arial" w:cs="Arial"/>
          <w:bCs/>
          <w:sz w:val="22"/>
          <w:szCs w:val="22"/>
        </w:rPr>
        <w:t xml:space="preserve">Annual Action </w:t>
      </w:r>
      <w:proofErr w:type="spellStart"/>
      <w:r w:rsidRPr="00BC7710">
        <w:rPr>
          <w:rFonts w:ascii="Arial" w:hAnsi="Arial" w:cs="Arial"/>
          <w:bCs/>
          <w:sz w:val="22"/>
          <w:szCs w:val="22"/>
        </w:rPr>
        <w:t>Programme</w:t>
      </w:r>
      <w:proofErr w:type="spellEnd"/>
      <w:r w:rsidRPr="00BC7710">
        <w:rPr>
          <w:rFonts w:ascii="Arial" w:hAnsi="Arial" w:cs="Arial"/>
          <w:bCs/>
          <w:sz w:val="22"/>
          <w:szCs w:val="22"/>
        </w:rPr>
        <w:t>, Implementing Decision and Action Fiches (Part I,II,III), 2008</w:t>
      </w:r>
    </w:p>
    <w:p w:rsidR="00A574EB" w:rsidRPr="00BC7710" w:rsidRDefault="00A574EB" w:rsidP="00B54C8F">
      <w:pPr>
        <w:pStyle w:val="Paragrafoelenco"/>
        <w:numPr>
          <w:ilvl w:val="0"/>
          <w:numId w:val="47"/>
        </w:numPr>
        <w:spacing w:before="0" w:after="0"/>
        <w:ind w:left="426" w:hanging="426"/>
        <w:rPr>
          <w:rFonts w:ascii="Arial" w:hAnsi="Arial" w:cs="Arial"/>
          <w:sz w:val="22"/>
          <w:szCs w:val="22"/>
          <w:lang w:eastAsia="it-IT"/>
        </w:rPr>
      </w:pPr>
      <w:r w:rsidRPr="00BC7710">
        <w:rPr>
          <w:rFonts w:ascii="Arial" w:hAnsi="Arial" w:cs="Arial"/>
          <w:b/>
          <w:bCs/>
          <w:sz w:val="22"/>
          <w:szCs w:val="22"/>
        </w:rPr>
        <w:t>European Commission,</w:t>
      </w:r>
      <w:r w:rsidRPr="00BC7710">
        <w:rPr>
          <w:rFonts w:ascii="Arial" w:hAnsi="Arial" w:cs="Arial"/>
          <w:bCs/>
          <w:sz w:val="22"/>
          <w:szCs w:val="22"/>
        </w:rPr>
        <w:t xml:space="preserve"> Annual Action </w:t>
      </w:r>
      <w:proofErr w:type="spellStart"/>
      <w:r w:rsidRPr="00BC7710">
        <w:rPr>
          <w:rFonts w:ascii="Arial" w:hAnsi="Arial" w:cs="Arial"/>
          <w:bCs/>
          <w:sz w:val="22"/>
          <w:szCs w:val="22"/>
        </w:rPr>
        <w:t>Programme</w:t>
      </w:r>
      <w:proofErr w:type="spellEnd"/>
      <w:r w:rsidRPr="00BC7710">
        <w:rPr>
          <w:rFonts w:ascii="Arial" w:hAnsi="Arial" w:cs="Arial"/>
          <w:bCs/>
          <w:sz w:val="22"/>
          <w:szCs w:val="22"/>
        </w:rPr>
        <w:t>, Implementing Decision and Action Fiches (Part I,II,III), 2009</w:t>
      </w:r>
    </w:p>
    <w:p w:rsidR="00A574EB" w:rsidRPr="00BC7710" w:rsidRDefault="00A574EB" w:rsidP="00B54C8F">
      <w:pPr>
        <w:pStyle w:val="Paragrafoelenco"/>
        <w:numPr>
          <w:ilvl w:val="0"/>
          <w:numId w:val="47"/>
        </w:numPr>
        <w:spacing w:before="0" w:after="0"/>
        <w:ind w:left="426" w:hanging="426"/>
        <w:rPr>
          <w:rFonts w:ascii="Arial" w:hAnsi="Arial" w:cs="Arial"/>
          <w:sz w:val="22"/>
          <w:szCs w:val="22"/>
          <w:lang w:eastAsia="it-IT"/>
        </w:rPr>
      </w:pPr>
      <w:r w:rsidRPr="00BC7710">
        <w:rPr>
          <w:rFonts w:ascii="Arial" w:hAnsi="Arial" w:cs="Arial"/>
          <w:b/>
          <w:bCs/>
          <w:sz w:val="22"/>
          <w:szCs w:val="22"/>
        </w:rPr>
        <w:t>European Commission,</w:t>
      </w:r>
      <w:r w:rsidRPr="00BC7710">
        <w:rPr>
          <w:rFonts w:ascii="Arial" w:hAnsi="Arial" w:cs="Arial"/>
          <w:bCs/>
          <w:sz w:val="22"/>
          <w:szCs w:val="22"/>
        </w:rPr>
        <w:t xml:space="preserve"> Annual Action </w:t>
      </w:r>
      <w:proofErr w:type="spellStart"/>
      <w:r w:rsidRPr="00BC7710">
        <w:rPr>
          <w:rFonts w:ascii="Arial" w:hAnsi="Arial" w:cs="Arial"/>
          <w:bCs/>
          <w:sz w:val="22"/>
          <w:szCs w:val="22"/>
        </w:rPr>
        <w:t>Programme</w:t>
      </w:r>
      <w:proofErr w:type="spellEnd"/>
      <w:r w:rsidRPr="00BC7710">
        <w:rPr>
          <w:rFonts w:ascii="Arial" w:hAnsi="Arial" w:cs="Arial"/>
          <w:bCs/>
          <w:sz w:val="22"/>
          <w:szCs w:val="22"/>
        </w:rPr>
        <w:t>, Implementing Decision and Action Fiches (Part I,II,III), 2010</w:t>
      </w:r>
    </w:p>
    <w:p w:rsidR="00A574EB" w:rsidRPr="00BC7710" w:rsidRDefault="00A574EB" w:rsidP="00B54C8F">
      <w:pPr>
        <w:pStyle w:val="Paragrafoelenco"/>
        <w:numPr>
          <w:ilvl w:val="0"/>
          <w:numId w:val="47"/>
        </w:numPr>
        <w:spacing w:before="0" w:after="0"/>
        <w:ind w:left="426" w:hanging="426"/>
        <w:rPr>
          <w:rFonts w:ascii="Arial" w:hAnsi="Arial" w:cs="Arial"/>
          <w:sz w:val="22"/>
          <w:szCs w:val="22"/>
          <w:lang w:eastAsia="it-IT"/>
        </w:rPr>
      </w:pPr>
      <w:r w:rsidRPr="00BC7710">
        <w:rPr>
          <w:rFonts w:ascii="Arial" w:hAnsi="Arial" w:cs="Arial"/>
          <w:b/>
          <w:bCs/>
          <w:sz w:val="22"/>
          <w:szCs w:val="22"/>
        </w:rPr>
        <w:t>European Commission,</w:t>
      </w:r>
      <w:r w:rsidRPr="00BC7710">
        <w:rPr>
          <w:rFonts w:ascii="Arial" w:hAnsi="Arial" w:cs="Arial"/>
          <w:bCs/>
          <w:sz w:val="22"/>
          <w:szCs w:val="22"/>
        </w:rPr>
        <w:t xml:space="preserve"> Annual Action </w:t>
      </w:r>
      <w:proofErr w:type="spellStart"/>
      <w:r w:rsidRPr="00BC7710">
        <w:rPr>
          <w:rFonts w:ascii="Arial" w:hAnsi="Arial" w:cs="Arial"/>
          <w:bCs/>
          <w:sz w:val="22"/>
          <w:szCs w:val="22"/>
        </w:rPr>
        <w:t>Programme</w:t>
      </w:r>
      <w:proofErr w:type="spellEnd"/>
      <w:r w:rsidRPr="00BC7710">
        <w:rPr>
          <w:rFonts w:ascii="Arial" w:hAnsi="Arial" w:cs="Arial"/>
          <w:bCs/>
          <w:sz w:val="22"/>
          <w:szCs w:val="22"/>
        </w:rPr>
        <w:t>, Implementing Decision and Action Fiches (Part I,II,III, IV), 2011</w:t>
      </w:r>
    </w:p>
    <w:p w:rsidR="00A574EB" w:rsidRPr="00BC7710" w:rsidRDefault="00A574EB" w:rsidP="00B54C8F">
      <w:pPr>
        <w:pStyle w:val="Paragrafoelenco"/>
        <w:numPr>
          <w:ilvl w:val="0"/>
          <w:numId w:val="47"/>
        </w:numPr>
        <w:spacing w:before="0" w:after="0"/>
        <w:ind w:left="426" w:hanging="426"/>
        <w:rPr>
          <w:rFonts w:ascii="Arial" w:hAnsi="Arial" w:cs="Arial"/>
          <w:sz w:val="22"/>
          <w:szCs w:val="22"/>
          <w:lang w:eastAsia="it-IT"/>
        </w:rPr>
      </w:pPr>
      <w:r w:rsidRPr="00BC7710">
        <w:rPr>
          <w:rFonts w:ascii="Arial" w:hAnsi="Arial" w:cs="Arial"/>
          <w:b/>
          <w:bCs/>
          <w:sz w:val="22"/>
          <w:szCs w:val="22"/>
        </w:rPr>
        <w:t>European Commission,</w:t>
      </w:r>
      <w:r w:rsidRPr="00BC7710">
        <w:rPr>
          <w:rFonts w:ascii="Arial" w:hAnsi="Arial" w:cs="Arial"/>
          <w:bCs/>
          <w:sz w:val="22"/>
          <w:szCs w:val="22"/>
        </w:rPr>
        <w:t xml:space="preserve"> Annual Action </w:t>
      </w:r>
      <w:proofErr w:type="spellStart"/>
      <w:r w:rsidRPr="00BC7710">
        <w:rPr>
          <w:rFonts w:ascii="Arial" w:hAnsi="Arial" w:cs="Arial"/>
          <w:bCs/>
          <w:sz w:val="22"/>
          <w:szCs w:val="22"/>
        </w:rPr>
        <w:t>Programme</w:t>
      </w:r>
      <w:proofErr w:type="spellEnd"/>
      <w:r w:rsidRPr="00BC7710">
        <w:rPr>
          <w:rFonts w:ascii="Arial" w:hAnsi="Arial" w:cs="Arial"/>
          <w:bCs/>
          <w:sz w:val="22"/>
          <w:szCs w:val="22"/>
        </w:rPr>
        <w:t>, Implementing Decision and Action Fiches (Part I,II), 2012</w:t>
      </w:r>
    </w:p>
    <w:p w:rsidR="00A574EB" w:rsidRPr="00BC7710" w:rsidRDefault="00A574EB" w:rsidP="00A574EB">
      <w:pPr>
        <w:spacing w:before="0" w:after="0"/>
        <w:rPr>
          <w:rFonts w:ascii="Arial" w:hAnsi="Arial" w:cs="Arial"/>
          <w:b/>
          <w:bCs/>
          <w:color w:val="365F92"/>
          <w:sz w:val="22"/>
          <w:szCs w:val="22"/>
        </w:rPr>
      </w:pPr>
    </w:p>
    <w:p w:rsidR="00A574EB" w:rsidRPr="00BC7710" w:rsidRDefault="00A574EB" w:rsidP="00A574EB">
      <w:pPr>
        <w:spacing w:before="0" w:after="0"/>
        <w:rPr>
          <w:rFonts w:ascii="Arial" w:hAnsi="Arial" w:cs="Arial"/>
          <w:b/>
          <w:bCs/>
          <w:color w:val="365F92"/>
          <w:sz w:val="22"/>
          <w:szCs w:val="22"/>
        </w:rPr>
      </w:pPr>
      <w:r w:rsidRPr="00BC7710">
        <w:rPr>
          <w:rFonts w:ascii="Arial" w:hAnsi="Arial" w:cs="Arial"/>
          <w:b/>
          <w:bCs/>
          <w:color w:val="365F92"/>
          <w:sz w:val="22"/>
          <w:szCs w:val="22"/>
        </w:rPr>
        <w:t>EU/PA Progress Reports</w:t>
      </w:r>
    </w:p>
    <w:p w:rsidR="00A574EB" w:rsidRPr="00BC7710" w:rsidRDefault="00A574EB" w:rsidP="00B54C8F">
      <w:pPr>
        <w:pStyle w:val="Paragrafoelenco"/>
        <w:numPr>
          <w:ilvl w:val="0"/>
          <w:numId w:val="49"/>
        </w:numPr>
        <w:autoSpaceDE w:val="0"/>
        <w:autoSpaceDN w:val="0"/>
        <w:adjustRightInd w:val="0"/>
        <w:spacing w:before="0" w:after="0"/>
        <w:ind w:left="426" w:hanging="426"/>
        <w:rPr>
          <w:rFonts w:ascii="Arial" w:hAnsi="Arial" w:cs="Arial"/>
          <w:b/>
          <w:bCs/>
          <w:color w:val="365F92"/>
          <w:sz w:val="22"/>
          <w:szCs w:val="22"/>
        </w:rPr>
      </w:pPr>
      <w:r w:rsidRPr="00BC7710">
        <w:rPr>
          <w:rFonts w:ascii="Arial" w:hAnsi="Arial" w:cs="Arial"/>
          <w:b/>
          <w:bCs/>
          <w:sz w:val="22"/>
          <w:szCs w:val="22"/>
        </w:rPr>
        <w:t>European Commission</w:t>
      </w:r>
      <w:r w:rsidRPr="00BC7710">
        <w:rPr>
          <w:rFonts w:ascii="Arial" w:hAnsi="Arial" w:cs="Arial"/>
          <w:sz w:val="22"/>
          <w:szCs w:val="22"/>
        </w:rPr>
        <w:t xml:space="preserve"> SEC(2008) 400</w:t>
      </w:r>
      <w:r w:rsidRPr="00BC7710">
        <w:rPr>
          <w:rFonts w:ascii="Arial" w:hAnsi="Arial" w:cs="Arial"/>
          <w:bCs/>
          <w:sz w:val="22"/>
          <w:szCs w:val="22"/>
        </w:rPr>
        <w:t>Implementation of the European Neighborhood Policy in 2007’Progress Report the occupied Palestinian territory</w:t>
      </w:r>
      <w:r w:rsidRPr="00BC7710">
        <w:rPr>
          <w:rFonts w:ascii="Arial" w:hAnsi="Arial" w:cs="Arial"/>
          <w:b/>
          <w:bCs/>
          <w:sz w:val="22"/>
          <w:szCs w:val="22"/>
        </w:rPr>
        <w:t xml:space="preserve">, </w:t>
      </w:r>
      <w:r w:rsidRPr="00BC7710">
        <w:rPr>
          <w:rFonts w:ascii="Arial" w:hAnsi="Arial" w:cs="Arial"/>
          <w:sz w:val="22"/>
          <w:szCs w:val="22"/>
        </w:rPr>
        <w:t>3 April 2008</w:t>
      </w:r>
    </w:p>
    <w:p w:rsidR="00A574EB" w:rsidRPr="00BC7710" w:rsidRDefault="00A574EB" w:rsidP="00B54C8F">
      <w:pPr>
        <w:pStyle w:val="Paragrafoelenco"/>
        <w:numPr>
          <w:ilvl w:val="0"/>
          <w:numId w:val="49"/>
        </w:numPr>
        <w:autoSpaceDE w:val="0"/>
        <w:autoSpaceDN w:val="0"/>
        <w:adjustRightInd w:val="0"/>
        <w:spacing w:before="0" w:after="0"/>
        <w:ind w:left="426" w:hanging="426"/>
        <w:rPr>
          <w:rFonts w:ascii="Arial" w:hAnsi="Arial" w:cs="Arial"/>
          <w:b/>
          <w:bCs/>
          <w:color w:val="365F92"/>
          <w:sz w:val="22"/>
          <w:szCs w:val="22"/>
        </w:rPr>
      </w:pPr>
      <w:r w:rsidRPr="00BC7710">
        <w:rPr>
          <w:rFonts w:ascii="Arial" w:hAnsi="Arial" w:cs="Arial"/>
          <w:b/>
          <w:bCs/>
          <w:sz w:val="22"/>
          <w:szCs w:val="22"/>
        </w:rPr>
        <w:t>European Commission</w:t>
      </w:r>
      <w:r w:rsidRPr="00BC7710">
        <w:rPr>
          <w:rFonts w:ascii="Arial" w:hAnsi="Arial" w:cs="Arial"/>
          <w:sz w:val="22"/>
          <w:szCs w:val="22"/>
        </w:rPr>
        <w:t xml:space="preserve"> SEC(2009) 519/2 </w:t>
      </w:r>
      <w:r w:rsidRPr="00BC7710">
        <w:rPr>
          <w:rFonts w:ascii="Arial" w:hAnsi="Arial" w:cs="Arial"/>
          <w:bCs/>
          <w:sz w:val="22"/>
          <w:szCs w:val="22"/>
        </w:rPr>
        <w:t>Implementation of the European Neighborhood Policy in 2008’Progress Report the occupied Palestinian territory</w:t>
      </w:r>
      <w:r w:rsidRPr="00BC7710">
        <w:rPr>
          <w:rFonts w:ascii="Arial" w:hAnsi="Arial" w:cs="Arial"/>
          <w:b/>
          <w:bCs/>
          <w:sz w:val="22"/>
          <w:szCs w:val="22"/>
        </w:rPr>
        <w:t xml:space="preserve">, </w:t>
      </w:r>
      <w:r w:rsidRPr="00BC7710">
        <w:rPr>
          <w:rFonts w:ascii="Arial" w:hAnsi="Arial" w:cs="Arial"/>
          <w:bCs/>
          <w:sz w:val="22"/>
          <w:szCs w:val="22"/>
        </w:rPr>
        <w:t>2</w:t>
      </w:r>
      <w:r w:rsidRPr="00BC7710">
        <w:rPr>
          <w:rFonts w:ascii="Arial" w:hAnsi="Arial" w:cs="Arial"/>
          <w:sz w:val="22"/>
          <w:szCs w:val="22"/>
        </w:rPr>
        <w:t>3 April 2009</w:t>
      </w:r>
    </w:p>
    <w:p w:rsidR="00A574EB" w:rsidRPr="00BC7710" w:rsidRDefault="00A574EB" w:rsidP="00B54C8F">
      <w:pPr>
        <w:pStyle w:val="Paragrafoelenco"/>
        <w:numPr>
          <w:ilvl w:val="0"/>
          <w:numId w:val="49"/>
        </w:numPr>
        <w:autoSpaceDE w:val="0"/>
        <w:autoSpaceDN w:val="0"/>
        <w:adjustRightInd w:val="0"/>
        <w:spacing w:before="0" w:after="0"/>
        <w:ind w:left="426" w:hanging="426"/>
        <w:rPr>
          <w:rFonts w:ascii="Arial" w:hAnsi="Arial" w:cs="Arial"/>
          <w:sz w:val="22"/>
          <w:szCs w:val="22"/>
        </w:rPr>
      </w:pPr>
      <w:r w:rsidRPr="00BC7710">
        <w:rPr>
          <w:rFonts w:ascii="Arial" w:hAnsi="Arial" w:cs="Arial"/>
          <w:b/>
          <w:bCs/>
          <w:sz w:val="22"/>
          <w:szCs w:val="22"/>
        </w:rPr>
        <w:t>European Commission</w:t>
      </w:r>
      <w:r w:rsidRPr="00BC7710">
        <w:rPr>
          <w:rFonts w:ascii="Arial" w:hAnsi="Arial" w:cs="Arial"/>
          <w:sz w:val="22"/>
          <w:szCs w:val="22"/>
        </w:rPr>
        <w:t xml:space="preserve"> SEC(2010) 515 </w:t>
      </w:r>
      <w:r w:rsidRPr="00BC7710">
        <w:rPr>
          <w:rFonts w:ascii="Arial" w:hAnsi="Arial" w:cs="Arial"/>
          <w:bCs/>
          <w:sz w:val="22"/>
          <w:szCs w:val="22"/>
        </w:rPr>
        <w:t>Implementation of the European Neighborhood Policy in 2009’Progress Report the occupied Palestinian territory</w:t>
      </w:r>
      <w:r w:rsidRPr="00BC7710">
        <w:rPr>
          <w:rFonts w:ascii="Arial" w:hAnsi="Arial" w:cs="Arial"/>
          <w:b/>
          <w:bCs/>
          <w:sz w:val="22"/>
          <w:szCs w:val="22"/>
        </w:rPr>
        <w:t xml:space="preserve">, </w:t>
      </w:r>
      <w:r w:rsidRPr="00BC7710">
        <w:rPr>
          <w:rFonts w:ascii="Arial" w:hAnsi="Arial" w:cs="Arial"/>
          <w:sz w:val="22"/>
          <w:szCs w:val="22"/>
        </w:rPr>
        <w:t>12 May 2010</w:t>
      </w:r>
    </w:p>
    <w:p w:rsidR="00A574EB" w:rsidRPr="00BC7710" w:rsidRDefault="00A574EB" w:rsidP="00B54C8F">
      <w:pPr>
        <w:pStyle w:val="Paragrafoelenco"/>
        <w:numPr>
          <w:ilvl w:val="0"/>
          <w:numId w:val="49"/>
        </w:numPr>
        <w:autoSpaceDE w:val="0"/>
        <w:autoSpaceDN w:val="0"/>
        <w:adjustRightInd w:val="0"/>
        <w:spacing w:before="0" w:after="0"/>
        <w:ind w:left="426" w:hanging="426"/>
        <w:rPr>
          <w:rFonts w:ascii="Arial" w:hAnsi="Arial" w:cs="Arial"/>
          <w:sz w:val="22"/>
          <w:szCs w:val="22"/>
        </w:rPr>
      </w:pPr>
      <w:r w:rsidRPr="00BC7710">
        <w:rPr>
          <w:rFonts w:ascii="Arial" w:hAnsi="Arial" w:cs="Arial"/>
          <w:b/>
          <w:bCs/>
          <w:sz w:val="22"/>
          <w:szCs w:val="22"/>
        </w:rPr>
        <w:t>European Commission</w:t>
      </w:r>
      <w:r w:rsidRPr="00BC7710">
        <w:rPr>
          <w:rFonts w:ascii="Arial" w:hAnsi="Arial" w:cs="Arial"/>
          <w:sz w:val="22"/>
          <w:szCs w:val="22"/>
        </w:rPr>
        <w:t xml:space="preserve"> SEC(2011) 644 </w:t>
      </w:r>
      <w:r w:rsidRPr="00BC7710">
        <w:rPr>
          <w:rFonts w:ascii="Arial" w:hAnsi="Arial" w:cs="Arial"/>
          <w:bCs/>
          <w:sz w:val="22"/>
          <w:szCs w:val="22"/>
        </w:rPr>
        <w:t>Implementation of the European Neighborhood Policy in 2010’ Country Report the occupied Palestinian territory</w:t>
      </w:r>
      <w:r w:rsidRPr="00BC7710">
        <w:rPr>
          <w:rFonts w:ascii="Arial" w:hAnsi="Arial" w:cs="Arial"/>
          <w:b/>
          <w:bCs/>
          <w:sz w:val="22"/>
          <w:szCs w:val="22"/>
        </w:rPr>
        <w:t xml:space="preserve">, </w:t>
      </w:r>
      <w:r w:rsidRPr="00BC7710">
        <w:rPr>
          <w:rFonts w:ascii="Arial" w:hAnsi="Arial" w:cs="Arial"/>
          <w:sz w:val="22"/>
          <w:szCs w:val="22"/>
        </w:rPr>
        <w:t>25 May 2011</w:t>
      </w:r>
    </w:p>
    <w:p w:rsidR="00A574EB" w:rsidRPr="00BC7710" w:rsidRDefault="00A574EB" w:rsidP="00B54C8F">
      <w:pPr>
        <w:pStyle w:val="Paragrafoelenco"/>
        <w:numPr>
          <w:ilvl w:val="0"/>
          <w:numId w:val="49"/>
        </w:numPr>
        <w:autoSpaceDE w:val="0"/>
        <w:autoSpaceDN w:val="0"/>
        <w:adjustRightInd w:val="0"/>
        <w:spacing w:before="0" w:after="0"/>
        <w:ind w:left="426" w:hanging="426"/>
        <w:rPr>
          <w:rFonts w:ascii="Arial" w:hAnsi="Arial" w:cs="Arial"/>
          <w:sz w:val="22"/>
          <w:szCs w:val="22"/>
        </w:rPr>
      </w:pPr>
      <w:r w:rsidRPr="00BC7710">
        <w:rPr>
          <w:rFonts w:ascii="Arial" w:hAnsi="Arial" w:cs="Arial"/>
          <w:b/>
          <w:bCs/>
          <w:sz w:val="22"/>
          <w:szCs w:val="22"/>
        </w:rPr>
        <w:t>European Commission</w:t>
      </w:r>
      <w:r w:rsidRPr="00BC7710">
        <w:rPr>
          <w:rFonts w:ascii="Arial" w:hAnsi="Arial" w:cs="Arial"/>
          <w:sz w:val="22"/>
          <w:szCs w:val="22"/>
        </w:rPr>
        <w:t xml:space="preserve"> SWD(2012)120 final </w:t>
      </w:r>
      <w:r w:rsidRPr="00BC7710">
        <w:rPr>
          <w:rFonts w:ascii="Arial" w:hAnsi="Arial" w:cs="Arial"/>
          <w:bCs/>
          <w:sz w:val="22"/>
          <w:szCs w:val="22"/>
        </w:rPr>
        <w:t>Implementation of the European Neighborhood Policy in 2011’ Progress Report the occupied Palestinian territory</w:t>
      </w:r>
      <w:r w:rsidRPr="00BC7710">
        <w:rPr>
          <w:rFonts w:ascii="Arial" w:hAnsi="Arial" w:cs="Arial"/>
          <w:b/>
          <w:bCs/>
          <w:sz w:val="22"/>
          <w:szCs w:val="22"/>
        </w:rPr>
        <w:t xml:space="preserve">, </w:t>
      </w:r>
      <w:r w:rsidRPr="00BC7710">
        <w:rPr>
          <w:rFonts w:ascii="Arial" w:hAnsi="Arial" w:cs="Arial"/>
          <w:sz w:val="22"/>
          <w:szCs w:val="22"/>
        </w:rPr>
        <w:t>15 May 2012</w:t>
      </w:r>
    </w:p>
    <w:p w:rsidR="00A574EB" w:rsidRPr="00BC7710" w:rsidRDefault="00A574EB" w:rsidP="00B54C8F">
      <w:pPr>
        <w:pStyle w:val="Paragrafoelenco"/>
        <w:numPr>
          <w:ilvl w:val="0"/>
          <w:numId w:val="49"/>
        </w:numPr>
        <w:autoSpaceDE w:val="0"/>
        <w:autoSpaceDN w:val="0"/>
        <w:adjustRightInd w:val="0"/>
        <w:spacing w:before="0" w:after="0"/>
        <w:ind w:left="426" w:hanging="426"/>
        <w:rPr>
          <w:rFonts w:ascii="Arial" w:hAnsi="Arial" w:cs="Arial"/>
          <w:sz w:val="22"/>
          <w:szCs w:val="22"/>
        </w:rPr>
      </w:pPr>
      <w:r w:rsidRPr="00BC7710">
        <w:rPr>
          <w:rFonts w:ascii="Arial" w:hAnsi="Arial" w:cs="Arial"/>
          <w:b/>
          <w:bCs/>
          <w:sz w:val="22"/>
          <w:szCs w:val="22"/>
        </w:rPr>
        <w:t>European Commission</w:t>
      </w:r>
      <w:r w:rsidRPr="00BC7710">
        <w:rPr>
          <w:rFonts w:ascii="Arial" w:hAnsi="Arial" w:cs="Arial"/>
          <w:sz w:val="22"/>
          <w:szCs w:val="22"/>
        </w:rPr>
        <w:t xml:space="preserve"> SWD(2013) 82 final </w:t>
      </w:r>
      <w:r w:rsidRPr="00BC7710">
        <w:rPr>
          <w:rFonts w:ascii="Arial" w:hAnsi="Arial" w:cs="Arial"/>
          <w:bCs/>
          <w:sz w:val="22"/>
          <w:szCs w:val="22"/>
        </w:rPr>
        <w:t>Implementation of the European Neighborhood Policy in 2012’ Progress Report the occupied Palestinian territory</w:t>
      </w:r>
      <w:r w:rsidRPr="00BC7710">
        <w:rPr>
          <w:rFonts w:ascii="Arial" w:hAnsi="Arial" w:cs="Arial"/>
          <w:b/>
          <w:bCs/>
          <w:sz w:val="22"/>
          <w:szCs w:val="22"/>
        </w:rPr>
        <w:t xml:space="preserve">, </w:t>
      </w:r>
      <w:r w:rsidRPr="00BC7710">
        <w:rPr>
          <w:rFonts w:ascii="Arial" w:hAnsi="Arial" w:cs="Arial"/>
          <w:bCs/>
          <w:sz w:val="22"/>
          <w:szCs w:val="22"/>
        </w:rPr>
        <w:t>20 March</w:t>
      </w:r>
      <w:r w:rsidRPr="00BC7710">
        <w:rPr>
          <w:rFonts w:ascii="Arial" w:hAnsi="Arial" w:cs="Arial"/>
          <w:sz w:val="22"/>
          <w:szCs w:val="22"/>
        </w:rPr>
        <w:t xml:space="preserve"> 2013</w:t>
      </w:r>
    </w:p>
    <w:p w:rsidR="00A574EB" w:rsidRPr="00BC7710" w:rsidRDefault="00A574EB" w:rsidP="00A574EB">
      <w:pPr>
        <w:autoSpaceDE w:val="0"/>
        <w:autoSpaceDN w:val="0"/>
        <w:adjustRightInd w:val="0"/>
        <w:spacing w:before="0" w:after="0"/>
        <w:jc w:val="left"/>
        <w:rPr>
          <w:rFonts w:ascii="Arial" w:hAnsi="Arial" w:cs="Arial"/>
          <w:b/>
          <w:color w:val="1F497D" w:themeColor="text2"/>
          <w:sz w:val="22"/>
          <w:szCs w:val="22"/>
        </w:rPr>
      </w:pPr>
    </w:p>
    <w:p w:rsidR="00A574EB" w:rsidRPr="00BC7710" w:rsidRDefault="00A574EB" w:rsidP="00A574EB">
      <w:pPr>
        <w:autoSpaceDE w:val="0"/>
        <w:autoSpaceDN w:val="0"/>
        <w:adjustRightInd w:val="0"/>
        <w:spacing w:before="0" w:after="0"/>
        <w:jc w:val="left"/>
        <w:rPr>
          <w:rFonts w:ascii="Arial" w:hAnsi="Arial" w:cs="Arial"/>
          <w:b/>
          <w:color w:val="1F497D" w:themeColor="text2"/>
          <w:sz w:val="22"/>
          <w:szCs w:val="22"/>
        </w:rPr>
      </w:pPr>
      <w:r w:rsidRPr="00BC7710">
        <w:rPr>
          <w:rFonts w:ascii="Arial" w:hAnsi="Arial" w:cs="Arial"/>
          <w:b/>
          <w:color w:val="1F497D" w:themeColor="text2"/>
          <w:sz w:val="22"/>
          <w:szCs w:val="22"/>
        </w:rPr>
        <w:t>EU Reports and other documents</w:t>
      </w:r>
    </w:p>
    <w:p w:rsidR="00A574EB" w:rsidRPr="00BC7710" w:rsidRDefault="00A574EB" w:rsidP="00B54C8F">
      <w:pPr>
        <w:pStyle w:val="Paragrafoelenco"/>
        <w:numPr>
          <w:ilvl w:val="0"/>
          <w:numId w:val="49"/>
        </w:numPr>
        <w:autoSpaceDE w:val="0"/>
        <w:autoSpaceDN w:val="0"/>
        <w:adjustRightInd w:val="0"/>
        <w:spacing w:before="0" w:after="0"/>
        <w:ind w:left="426" w:hanging="426"/>
        <w:rPr>
          <w:rFonts w:ascii="Arial" w:hAnsi="Arial" w:cs="Arial"/>
          <w:b/>
          <w:color w:val="1F497D" w:themeColor="text2"/>
          <w:sz w:val="22"/>
          <w:szCs w:val="22"/>
        </w:rPr>
      </w:pPr>
      <w:r w:rsidRPr="00BC7710">
        <w:rPr>
          <w:rFonts w:ascii="Arial" w:hAnsi="Arial" w:cs="Arial"/>
          <w:b/>
          <w:sz w:val="22"/>
          <w:szCs w:val="22"/>
          <w:lang w:val="en-GB" w:eastAsia="it-IT"/>
        </w:rPr>
        <w:t>European Commission</w:t>
      </w:r>
      <w:r w:rsidRPr="00BC7710">
        <w:rPr>
          <w:rFonts w:ascii="Arial" w:hAnsi="Arial" w:cs="Arial"/>
          <w:sz w:val="22"/>
          <w:szCs w:val="22"/>
          <w:lang w:eastAsia="it-IT"/>
        </w:rPr>
        <w:t xml:space="preserve">, Our </w:t>
      </w:r>
      <w:proofErr w:type="spellStart"/>
      <w:r w:rsidRPr="00BC7710">
        <w:rPr>
          <w:rFonts w:ascii="Arial" w:hAnsi="Arial" w:cs="Arial"/>
          <w:sz w:val="22"/>
          <w:szCs w:val="22"/>
          <w:lang w:eastAsia="it-IT"/>
        </w:rPr>
        <w:t>Neighbours</w:t>
      </w:r>
      <w:proofErr w:type="spellEnd"/>
      <w:r w:rsidRPr="00BC7710">
        <w:rPr>
          <w:rFonts w:ascii="Arial" w:hAnsi="Arial" w:cs="Arial"/>
          <w:sz w:val="22"/>
          <w:szCs w:val="22"/>
          <w:lang w:eastAsia="it-IT"/>
        </w:rPr>
        <w:t xml:space="preserve">: Panorama of Regional </w:t>
      </w:r>
      <w:proofErr w:type="spellStart"/>
      <w:r w:rsidRPr="00BC7710">
        <w:rPr>
          <w:rFonts w:ascii="Arial" w:hAnsi="Arial" w:cs="Arial"/>
          <w:sz w:val="22"/>
          <w:szCs w:val="22"/>
          <w:lang w:eastAsia="it-IT"/>
        </w:rPr>
        <w:t>Programmes</w:t>
      </w:r>
      <w:proofErr w:type="spellEnd"/>
      <w:r w:rsidRPr="00BC7710">
        <w:rPr>
          <w:rFonts w:ascii="Arial" w:hAnsi="Arial" w:cs="Arial"/>
          <w:sz w:val="22"/>
          <w:szCs w:val="22"/>
          <w:lang w:eastAsia="it-IT"/>
        </w:rPr>
        <w:t xml:space="preserve"> and Projects in the Mediterranean Countries, 02 July 2005</w:t>
      </w:r>
    </w:p>
    <w:p w:rsidR="00A574EB" w:rsidRPr="00BC7710" w:rsidRDefault="00A574EB" w:rsidP="00B54C8F">
      <w:pPr>
        <w:pStyle w:val="Paragrafoelenco"/>
        <w:numPr>
          <w:ilvl w:val="0"/>
          <w:numId w:val="49"/>
        </w:numPr>
        <w:autoSpaceDE w:val="0"/>
        <w:autoSpaceDN w:val="0"/>
        <w:adjustRightInd w:val="0"/>
        <w:spacing w:before="0" w:after="0"/>
        <w:ind w:left="426" w:hanging="426"/>
        <w:rPr>
          <w:rFonts w:ascii="Arial" w:hAnsi="Arial" w:cs="Arial"/>
          <w:b/>
          <w:color w:val="1F497D" w:themeColor="text2"/>
          <w:sz w:val="22"/>
          <w:szCs w:val="22"/>
        </w:rPr>
      </w:pPr>
      <w:r w:rsidRPr="00BC7710">
        <w:rPr>
          <w:rFonts w:ascii="Arial" w:hAnsi="Arial" w:cs="Arial"/>
          <w:b/>
          <w:sz w:val="22"/>
          <w:szCs w:val="22"/>
          <w:lang w:val="en-GB" w:eastAsia="it-IT"/>
        </w:rPr>
        <w:t>European Commission,</w:t>
      </w:r>
      <w:r w:rsidRPr="00BC7710">
        <w:rPr>
          <w:rFonts w:ascii="Arial" w:hAnsi="Arial" w:cs="Arial"/>
          <w:sz w:val="22"/>
          <w:szCs w:val="22"/>
          <w:lang w:eastAsia="it-IT"/>
        </w:rPr>
        <w:t xml:space="preserve">ENP Economic Review of EU </w:t>
      </w:r>
      <w:proofErr w:type="spellStart"/>
      <w:r w:rsidRPr="00BC7710">
        <w:rPr>
          <w:rFonts w:ascii="Arial" w:hAnsi="Arial" w:cs="Arial"/>
          <w:sz w:val="22"/>
          <w:szCs w:val="22"/>
          <w:lang w:eastAsia="it-IT"/>
        </w:rPr>
        <w:t>Neighbour</w:t>
      </w:r>
      <w:proofErr w:type="spellEnd"/>
      <w:r w:rsidRPr="00BC7710">
        <w:rPr>
          <w:rFonts w:ascii="Arial" w:hAnsi="Arial" w:cs="Arial"/>
          <w:sz w:val="22"/>
          <w:szCs w:val="22"/>
          <w:lang w:eastAsia="it-IT"/>
        </w:rPr>
        <w:t xml:space="preserve"> Countries - occasional papers 40, August 2008</w:t>
      </w:r>
    </w:p>
    <w:p w:rsidR="00A574EB" w:rsidRPr="00BC7710" w:rsidRDefault="00A574EB" w:rsidP="00B54C8F">
      <w:pPr>
        <w:pStyle w:val="Paragrafoelenco"/>
        <w:numPr>
          <w:ilvl w:val="0"/>
          <w:numId w:val="49"/>
        </w:numPr>
        <w:autoSpaceDE w:val="0"/>
        <w:autoSpaceDN w:val="0"/>
        <w:adjustRightInd w:val="0"/>
        <w:spacing w:before="0" w:after="0"/>
        <w:ind w:left="426" w:hanging="426"/>
        <w:rPr>
          <w:rFonts w:ascii="Arial" w:hAnsi="Arial" w:cs="Arial"/>
          <w:b/>
          <w:color w:val="1F497D" w:themeColor="text2"/>
          <w:sz w:val="22"/>
          <w:szCs w:val="22"/>
        </w:rPr>
      </w:pPr>
      <w:r w:rsidRPr="00BC7710">
        <w:rPr>
          <w:rFonts w:ascii="Arial" w:hAnsi="Arial" w:cs="Arial"/>
          <w:b/>
          <w:sz w:val="22"/>
          <w:szCs w:val="22"/>
          <w:lang w:val="en-GB" w:eastAsia="it-IT"/>
        </w:rPr>
        <w:t>European Commission</w:t>
      </w:r>
      <w:r w:rsidRPr="00BC7710">
        <w:rPr>
          <w:rFonts w:ascii="Arial" w:hAnsi="Arial" w:cs="Arial"/>
          <w:sz w:val="22"/>
          <w:szCs w:val="22"/>
          <w:lang w:val="en-GB" w:eastAsia="it-IT"/>
        </w:rPr>
        <w:t xml:space="preserve">, </w:t>
      </w:r>
      <w:r w:rsidRPr="00BC7710">
        <w:rPr>
          <w:rFonts w:ascii="Arial" w:hAnsi="Arial" w:cs="Arial"/>
          <w:sz w:val="22"/>
          <w:szCs w:val="22"/>
          <w:lang w:eastAsia="it-IT"/>
        </w:rPr>
        <w:t xml:space="preserve">Damage Assessment and Needs Identification in the Gaza Strip, Submitted by </w:t>
      </w:r>
      <w:proofErr w:type="spellStart"/>
      <w:r w:rsidRPr="00BC7710">
        <w:rPr>
          <w:rFonts w:ascii="Arial" w:hAnsi="Arial" w:cs="Arial"/>
          <w:sz w:val="22"/>
          <w:szCs w:val="22"/>
          <w:lang w:eastAsia="it-IT"/>
        </w:rPr>
        <w:t>Eunida</w:t>
      </w:r>
      <w:proofErr w:type="spellEnd"/>
      <w:r w:rsidRPr="00BC7710">
        <w:rPr>
          <w:rFonts w:ascii="Arial" w:hAnsi="Arial" w:cs="Arial"/>
          <w:sz w:val="22"/>
          <w:szCs w:val="22"/>
          <w:lang w:eastAsia="it-IT"/>
        </w:rPr>
        <w:t xml:space="preserve">, march 2009 </w:t>
      </w:r>
    </w:p>
    <w:p w:rsidR="00A574EB" w:rsidRPr="00BC7710" w:rsidRDefault="00A574EB" w:rsidP="00B54C8F">
      <w:pPr>
        <w:pStyle w:val="Paragrafoelenco"/>
        <w:numPr>
          <w:ilvl w:val="0"/>
          <w:numId w:val="49"/>
        </w:numPr>
        <w:autoSpaceDE w:val="0"/>
        <w:autoSpaceDN w:val="0"/>
        <w:adjustRightInd w:val="0"/>
        <w:spacing w:before="0" w:after="0"/>
        <w:ind w:left="426" w:hanging="426"/>
        <w:rPr>
          <w:rFonts w:ascii="Arial" w:hAnsi="Arial" w:cs="Arial"/>
          <w:b/>
          <w:color w:val="1F497D" w:themeColor="text2"/>
          <w:sz w:val="22"/>
          <w:szCs w:val="22"/>
        </w:rPr>
      </w:pPr>
      <w:r w:rsidRPr="00BC7710">
        <w:rPr>
          <w:rFonts w:ascii="Arial" w:hAnsi="Arial" w:cs="Arial"/>
          <w:b/>
          <w:sz w:val="22"/>
          <w:szCs w:val="22"/>
          <w:lang w:val="en-GB" w:eastAsia="it-IT"/>
        </w:rPr>
        <w:t xml:space="preserve">European Commission, </w:t>
      </w:r>
      <w:r w:rsidRPr="00BC7710">
        <w:rPr>
          <w:rFonts w:ascii="Arial" w:hAnsi="Arial" w:cs="Arial"/>
          <w:sz w:val="22"/>
          <w:szCs w:val="22"/>
          <w:lang w:eastAsia="it-IT"/>
        </w:rPr>
        <w:t>Sector Strategy Fiche – Security Updated, October 2010</w:t>
      </w:r>
    </w:p>
    <w:p w:rsidR="00A574EB" w:rsidRPr="00BC7710" w:rsidRDefault="00A574EB" w:rsidP="00B54C8F">
      <w:pPr>
        <w:pStyle w:val="Paragrafoelenco"/>
        <w:numPr>
          <w:ilvl w:val="0"/>
          <w:numId w:val="49"/>
        </w:numPr>
        <w:autoSpaceDE w:val="0"/>
        <w:autoSpaceDN w:val="0"/>
        <w:adjustRightInd w:val="0"/>
        <w:spacing w:before="0" w:after="0"/>
        <w:ind w:left="426" w:hanging="426"/>
        <w:rPr>
          <w:rFonts w:ascii="Arial" w:hAnsi="Arial" w:cs="Arial"/>
          <w:b/>
          <w:color w:val="1F497D" w:themeColor="text2"/>
          <w:sz w:val="22"/>
          <w:szCs w:val="22"/>
        </w:rPr>
      </w:pPr>
      <w:r w:rsidRPr="00BC7710">
        <w:rPr>
          <w:rFonts w:ascii="Arial" w:hAnsi="Arial" w:cs="Arial"/>
          <w:b/>
          <w:sz w:val="22"/>
          <w:szCs w:val="22"/>
          <w:lang w:val="en-GB" w:eastAsia="it-IT"/>
        </w:rPr>
        <w:t xml:space="preserve">European Commission, </w:t>
      </w:r>
      <w:r w:rsidRPr="00BC7710">
        <w:rPr>
          <w:rFonts w:ascii="Arial" w:hAnsi="Arial" w:cs="Arial"/>
          <w:sz w:val="22"/>
          <w:szCs w:val="22"/>
          <w:lang w:eastAsia="it-IT"/>
        </w:rPr>
        <w:t xml:space="preserve">Mapping Study of Civil Society </w:t>
      </w:r>
      <w:proofErr w:type="spellStart"/>
      <w:r w:rsidRPr="00BC7710">
        <w:rPr>
          <w:rFonts w:ascii="Arial" w:hAnsi="Arial" w:cs="Arial"/>
          <w:sz w:val="22"/>
          <w:szCs w:val="22"/>
          <w:lang w:eastAsia="it-IT"/>
        </w:rPr>
        <w:t>Organisations</w:t>
      </w:r>
      <w:proofErr w:type="spellEnd"/>
      <w:r w:rsidRPr="00BC7710">
        <w:rPr>
          <w:rFonts w:ascii="Arial" w:hAnsi="Arial" w:cs="Arial"/>
          <w:sz w:val="22"/>
          <w:szCs w:val="22"/>
          <w:lang w:eastAsia="it-IT"/>
        </w:rPr>
        <w:t xml:space="preserve"> in the occupied Palestinian territory - Final report, submitted by </w:t>
      </w:r>
      <w:proofErr w:type="spellStart"/>
      <w:r w:rsidRPr="00BC7710">
        <w:rPr>
          <w:rFonts w:ascii="Arial" w:hAnsi="Arial" w:cs="Arial"/>
          <w:sz w:val="22"/>
          <w:szCs w:val="22"/>
          <w:lang w:eastAsia="it-IT"/>
        </w:rPr>
        <w:t>Soges</w:t>
      </w:r>
      <w:proofErr w:type="spellEnd"/>
      <w:r w:rsidRPr="00BC7710">
        <w:rPr>
          <w:rFonts w:ascii="Arial" w:hAnsi="Arial" w:cs="Arial"/>
          <w:sz w:val="22"/>
          <w:szCs w:val="22"/>
          <w:lang w:eastAsia="it-IT"/>
        </w:rPr>
        <w:t>,  18 April 2011</w:t>
      </w:r>
    </w:p>
    <w:p w:rsidR="00A574EB" w:rsidRPr="00BC7710" w:rsidRDefault="00A574EB" w:rsidP="00B54C8F">
      <w:pPr>
        <w:pStyle w:val="Paragrafoelenco"/>
        <w:numPr>
          <w:ilvl w:val="0"/>
          <w:numId w:val="49"/>
        </w:numPr>
        <w:autoSpaceDE w:val="0"/>
        <w:autoSpaceDN w:val="0"/>
        <w:adjustRightInd w:val="0"/>
        <w:spacing w:before="0" w:after="0"/>
        <w:ind w:left="426" w:hanging="426"/>
        <w:rPr>
          <w:rFonts w:ascii="Arial" w:hAnsi="Arial" w:cs="Arial"/>
          <w:b/>
          <w:color w:val="1F497D" w:themeColor="text2"/>
          <w:sz w:val="22"/>
          <w:szCs w:val="22"/>
        </w:rPr>
      </w:pPr>
      <w:r w:rsidRPr="00BC7710">
        <w:rPr>
          <w:rFonts w:ascii="Arial" w:hAnsi="Arial" w:cs="Arial"/>
          <w:b/>
          <w:sz w:val="22"/>
          <w:szCs w:val="22"/>
          <w:lang w:val="en-GB" w:eastAsia="it-IT"/>
        </w:rPr>
        <w:t xml:space="preserve">European Commission, Press release, </w:t>
      </w:r>
      <w:r w:rsidRPr="00BC7710">
        <w:rPr>
          <w:rFonts w:ascii="Arial" w:hAnsi="Arial" w:cs="Arial"/>
          <w:sz w:val="22"/>
          <w:szCs w:val="22"/>
          <w:lang w:eastAsia="it-IT"/>
        </w:rPr>
        <w:t>Palestinian people and local business at the heart of the Commission's new assistance package, 22 August 2011</w:t>
      </w:r>
    </w:p>
    <w:p w:rsidR="00A574EB" w:rsidRPr="00BC7710" w:rsidRDefault="00A574EB" w:rsidP="00B54C8F">
      <w:pPr>
        <w:pStyle w:val="Paragrafoelenco"/>
        <w:numPr>
          <w:ilvl w:val="0"/>
          <w:numId w:val="49"/>
        </w:numPr>
        <w:autoSpaceDE w:val="0"/>
        <w:autoSpaceDN w:val="0"/>
        <w:adjustRightInd w:val="0"/>
        <w:spacing w:before="0" w:after="0"/>
        <w:ind w:left="426" w:hanging="426"/>
        <w:rPr>
          <w:rFonts w:ascii="Arial" w:hAnsi="Arial" w:cs="Arial"/>
          <w:b/>
          <w:color w:val="1F497D" w:themeColor="text2"/>
          <w:sz w:val="22"/>
          <w:szCs w:val="22"/>
        </w:rPr>
      </w:pPr>
      <w:r w:rsidRPr="00BC7710">
        <w:rPr>
          <w:rFonts w:ascii="Arial" w:hAnsi="Arial" w:cs="Arial"/>
          <w:b/>
          <w:sz w:val="22"/>
          <w:szCs w:val="22"/>
          <w:lang w:val="en-GB" w:eastAsia="it-IT"/>
        </w:rPr>
        <w:t>European Commission,</w:t>
      </w:r>
      <w:r w:rsidRPr="00BC7710">
        <w:rPr>
          <w:rFonts w:ascii="Arial" w:hAnsi="Arial" w:cs="Arial"/>
          <w:sz w:val="22"/>
          <w:szCs w:val="22"/>
          <w:lang w:eastAsia="it-IT"/>
        </w:rPr>
        <w:t xml:space="preserve"> EU support to the private sector, and trade in the </w:t>
      </w:r>
      <w:proofErr w:type="spellStart"/>
      <w:r w:rsidRPr="00BC7710">
        <w:rPr>
          <w:rFonts w:ascii="Arial" w:hAnsi="Arial" w:cs="Arial"/>
          <w:sz w:val="22"/>
          <w:szCs w:val="22"/>
          <w:lang w:eastAsia="it-IT"/>
        </w:rPr>
        <w:t>oPT</w:t>
      </w:r>
      <w:proofErr w:type="spellEnd"/>
    </w:p>
    <w:p w:rsidR="00FC181F" w:rsidRPr="00BC7710" w:rsidRDefault="00FC181F" w:rsidP="00B54C8F">
      <w:pPr>
        <w:pStyle w:val="Paragrafoelenco"/>
        <w:numPr>
          <w:ilvl w:val="0"/>
          <w:numId w:val="49"/>
        </w:numPr>
        <w:autoSpaceDE w:val="0"/>
        <w:autoSpaceDN w:val="0"/>
        <w:adjustRightInd w:val="0"/>
        <w:spacing w:before="0" w:after="0"/>
        <w:ind w:left="425" w:hanging="425"/>
        <w:rPr>
          <w:rFonts w:ascii="Arial" w:hAnsi="Arial" w:cs="Arial"/>
          <w:b/>
          <w:color w:val="1F497D" w:themeColor="text2"/>
          <w:sz w:val="22"/>
          <w:szCs w:val="22"/>
        </w:rPr>
      </w:pPr>
      <w:r w:rsidRPr="00BC7710">
        <w:rPr>
          <w:rFonts w:ascii="Arial" w:hAnsi="Arial" w:cs="Arial"/>
          <w:b/>
          <w:sz w:val="22"/>
          <w:szCs w:val="22"/>
          <w:lang w:val="en-GB" w:eastAsia="it-IT"/>
        </w:rPr>
        <w:lastRenderedPageBreak/>
        <w:t xml:space="preserve">European Union press release </w:t>
      </w:r>
      <w:r w:rsidRPr="00BC7710">
        <w:rPr>
          <w:rFonts w:ascii="Arial" w:hAnsi="Arial" w:cs="Arial"/>
          <w:sz w:val="22"/>
          <w:szCs w:val="22"/>
          <w:lang w:val="en-GB" w:eastAsia="it-IT"/>
        </w:rPr>
        <w:t>EU and Germany provide EUR 40M to build new Waste Water Treatment Plant in Nablus (press release) 8 September 2013</w:t>
      </w:r>
    </w:p>
    <w:p w:rsidR="00FC181F" w:rsidRPr="00BC7710" w:rsidRDefault="00FC181F" w:rsidP="00B54C8F">
      <w:pPr>
        <w:pStyle w:val="ZCommittee"/>
        <w:numPr>
          <w:ilvl w:val="0"/>
          <w:numId w:val="49"/>
        </w:numPr>
        <w:ind w:left="425" w:hanging="425"/>
        <w:jc w:val="left"/>
        <w:rPr>
          <w:i w:val="0"/>
          <w:lang w:val="en-GB" w:eastAsia="it-IT"/>
        </w:rPr>
      </w:pPr>
      <w:r w:rsidRPr="00BC7710">
        <w:rPr>
          <w:b/>
          <w:i w:val="0"/>
          <w:lang w:val="en-GB" w:eastAsia="it-IT"/>
        </w:rPr>
        <w:t>EU parliament</w:t>
      </w:r>
      <w:r w:rsidRPr="00BC7710">
        <w:rPr>
          <w:i w:val="0"/>
          <w:lang w:val="en-GB" w:eastAsia="it-IT"/>
        </w:rPr>
        <w:t xml:space="preserve"> - Delegation for relations with the Palestinian Legislative Council 9th </w:t>
      </w:r>
      <w:proofErr w:type="spellStart"/>
      <w:r w:rsidRPr="00BC7710">
        <w:rPr>
          <w:i w:val="0"/>
          <w:lang w:val="en-GB" w:eastAsia="it-IT"/>
        </w:rPr>
        <w:t>Interparliamentary</w:t>
      </w:r>
      <w:proofErr w:type="spellEnd"/>
      <w:r w:rsidRPr="00BC7710">
        <w:rPr>
          <w:i w:val="0"/>
          <w:lang w:val="en-GB" w:eastAsia="it-IT"/>
        </w:rPr>
        <w:t xml:space="preserve"> - December 2009</w:t>
      </w:r>
    </w:p>
    <w:p w:rsidR="00FC181F" w:rsidRPr="00BC7710" w:rsidRDefault="00FC181F" w:rsidP="00B54C8F">
      <w:pPr>
        <w:pStyle w:val="Paragrafoelenco"/>
        <w:numPr>
          <w:ilvl w:val="0"/>
          <w:numId w:val="57"/>
        </w:numPr>
        <w:spacing w:before="0" w:after="0"/>
        <w:ind w:left="426" w:hanging="426"/>
        <w:jc w:val="left"/>
        <w:rPr>
          <w:rFonts w:ascii="Arial" w:hAnsi="Arial" w:cs="Arial"/>
          <w:sz w:val="22"/>
          <w:szCs w:val="22"/>
          <w:lang w:val="en-GB" w:eastAsia="it-IT"/>
        </w:rPr>
      </w:pPr>
      <w:r w:rsidRPr="00BC7710">
        <w:rPr>
          <w:rFonts w:ascii="Arial" w:hAnsi="Arial" w:cs="Arial"/>
          <w:b/>
          <w:sz w:val="22"/>
          <w:szCs w:val="22"/>
          <w:lang w:val="en-GB" w:eastAsia="it-IT"/>
        </w:rPr>
        <w:t>EU parliament</w:t>
      </w:r>
      <w:r w:rsidRPr="00BC7710">
        <w:rPr>
          <w:rFonts w:ascii="Arial" w:hAnsi="Arial" w:cs="Arial"/>
          <w:sz w:val="22"/>
          <w:szCs w:val="22"/>
          <w:lang w:val="en-GB" w:eastAsia="it-IT"/>
        </w:rPr>
        <w:t>-</w:t>
      </w:r>
      <w:r w:rsidRPr="00BC7710">
        <w:rPr>
          <w:rFonts w:ascii="Arial" w:hAnsi="Arial" w:cs="Arial"/>
          <w:i/>
          <w:sz w:val="22"/>
          <w:szCs w:val="22"/>
          <w:lang w:val="en-GB" w:eastAsia="it-IT"/>
        </w:rPr>
        <w:t xml:space="preserve"> </w:t>
      </w:r>
      <w:r w:rsidRPr="00BC7710">
        <w:rPr>
          <w:rFonts w:ascii="Arial" w:hAnsi="Arial" w:cs="Arial"/>
          <w:sz w:val="22"/>
          <w:szCs w:val="22"/>
          <w:lang w:val="en-GB" w:eastAsia="it-IT"/>
        </w:rPr>
        <w:t>Delegation for relations with the Palestinian Legislative Council Working group visit to OPT - April 11</w:t>
      </w:r>
    </w:p>
    <w:p w:rsidR="00FC181F" w:rsidRPr="00BC7710" w:rsidRDefault="00FC181F" w:rsidP="00B54C8F">
      <w:pPr>
        <w:pStyle w:val="Paragrafoelenco"/>
        <w:numPr>
          <w:ilvl w:val="0"/>
          <w:numId w:val="57"/>
        </w:numPr>
        <w:spacing w:before="0" w:after="0"/>
        <w:ind w:left="426" w:hanging="426"/>
        <w:jc w:val="left"/>
        <w:rPr>
          <w:rFonts w:ascii="Arial" w:hAnsi="Arial" w:cs="Arial"/>
          <w:sz w:val="22"/>
          <w:szCs w:val="22"/>
          <w:lang w:val="en-GB" w:eastAsia="it-IT"/>
        </w:rPr>
      </w:pPr>
      <w:r w:rsidRPr="00BC7710">
        <w:rPr>
          <w:rFonts w:ascii="Arial" w:hAnsi="Arial" w:cs="Arial"/>
          <w:b/>
          <w:sz w:val="22"/>
          <w:szCs w:val="22"/>
          <w:lang w:val="en-GB" w:eastAsia="it-IT"/>
        </w:rPr>
        <w:t>EU parliament</w:t>
      </w:r>
      <w:r w:rsidRPr="00BC7710">
        <w:rPr>
          <w:rFonts w:ascii="Arial" w:hAnsi="Arial" w:cs="Arial"/>
          <w:sz w:val="22"/>
          <w:szCs w:val="22"/>
          <w:lang w:val="en-GB" w:eastAsia="it-IT"/>
        </w:rPr>
        <w:t>- Delegation for relations with the Palestinian Legislative Council Working group visit to OPT-November 2011</w:t>
      </w:r>
    </w:p>
    <w:p w:rsidR="00FC181F" w:rsidRPr="00BC7710" w:rsidRDefault="00FC181F" w:rsidP="00B54C8F">
      <w:pPr>
        <w:pStyle w:val="Paragrafoelenco"/>
        <w:numPr>
          <w:ilvl w:val="0"/>
          <w:numId w:val="57"/>
        </w:numPr>
        <w:spacing w:before="0" w:after="0"/>
        <w:ind w:left="426" w:hanging="426"/>
        <w:jc w:val="left"/>
        <w:rPr>
          <w:rFonts w:ascii="Arial" w:hAnsi="Arial" w:cs="Arial"/>
          <w:sz w:val="22"/>
          <w:szCs w:val="22"/>
          <w:lang w:val="en-GB" w:eastAsia="it-IT"/>
        </w:rPr>
      </w:pPr>
      <w:r w:rsidRPr="00BC7710">
        <w:rPr>
          <w:rFonts w:ascii="Arial" w:hAnsi="Arial" w:cs="Arial"/>
          <w:b/>
          <w:sz w:val="22"/>
          <w:szCs w:val="22"/>
          <w:lang w:val="en-GB" w:eastAsia="it-IT"/>
        </w:rPr>
        <w:t>EU parliament</w:t>
      </w:r>
      <w:r w:rsidRPr="00BC7710">
        <w:rPr>
          <w:rFonts w:ascii="Arial" w:hAnsi="Arial" w:cs="Arial"/>
          <w:sz w:val="22"/>
          <w:szCs w:val="22"/>
          <w:lang w:val="en-GB" w:eastAsia="it-IT"/>
        </w:rPr>
        <w:t xml:space="preserve">- Delegation for relations with the Palestinian Legislative Council 9th </w:t>
      </w:r>
      <w:proofErr w:type="spellStart"/>
      <w:r w:rsidRPr="00BC7710">
        <w:rPr>
          <w:rFonts w:ascii="Arial" w:hAnsi="Arial" w:cs="Arial"/>
          <w:sz w:val="22"/>
          <w:szCs w:val="22"/>
          <w:lang w:val="en-GB" w:eastAsia="it-IT"/>
        </w:rPr>
        <w:t>Interparliamentary</w:t>
      </w:r>
      <w:proofErr w:type="spellEnd"/>
      <w:r w:rsidRPr="00BC7710">
        <w:rPr>
          <w:rFonts w:ascii="Arial" w:hAnsi="Arial" w:cs="Arial"/>
          <w:sz w:val="22"/>
          <w:szCs w:val="22"/>
          <w:lang w:val="en-GB" w:eastAsia="it-IT"/>
        </w:rPr>
        <w:t xml:space="preserve"> </w:t>
      </w:r>
      <w:proofErr w:type="spellStart"/>
      <w:r w:rsidRPr="00BC7710">
        <w:rPr>
          <w:rFonts w:ascii="Arial" w:hAnsi="Arial" w:cs="Arial"/>
          <w:sz w:val="22"/>
          <w:szCs w:val="22"/>
          <w:lang w:val="en-GB" w:eastAsia="it-IT"/>
        </w:rPr>
        <w:t>Decemebr</w:t>
      </w:r>
      <w:proofErr w:type="spellEnd"/>
      <w:r w:rsidRPr="00BC7710">
        <w:rPr>
          <w:rFonts w:ascii="Arial" w:hAnsi="Arial" w:cs="Arial"/>
          <w:sz w:val="22"/>
          <w:szCs w:val="22"/>
          <w:lang w:val="en-GB" w:eastAsia="it-IT"/>
        </w:rPr>
        <w:t xml:space="preserve"> 2010</w:t>
      </w:r>
    </w:p>
    <w:p w:rsidR="00FC181F" w:rsidRPr="00BC7710" w:rsidRDefault="00FC181F" w:rsidP="00B54C8F">
      <w:pPr>
        <w:pStyle w:val="Paragrafoelenco"/>
        <w:numPr>
          <w:ilvl w:val="0"/>
          <w:numId w:val="57"/>
        </w:numPr>
        <w:spacing w:before="0" w:after="0"/>
        <w:ind w:left="426" w:hanging="426"/>
        <w:jc w:val="left"/>
        <w:rPr>
          <w:rFonts w:ascii="Arial" w:hAnsi="Arial" w:cs="Arial"/>
          <w:sz w:val="22"/>
          <w:szCs w:val="22"/>
          <w:lang w:val="en-GB" w:eastAsia="it-IT"/>
        </w:rPr>
      </w:pPr>
      <w:r w:rsidRPr="00BC7710">
        <w:rPr>
          <w:rFonts w:ascii="Arial" w:hAnsi="Arial" w:cs="Arial"/>
          <w:b/>
          <w:sz w:val="22"/>
          <w:szCs w:val="22"/>
          <w:lang w:val="en-GB" w:eastAsia="it-IT"/>
        </w:rPr>
        <w:t>EU parliament</w:t>
      </w:r>
      <w:r w:rsidRPr="00BC7710">
        <w:rPr>
          <w:rFonts w:ascii="Arial" w:hAnsi="Arial" w:cs="Arial"/>
          <w:sz w:val="22"/>
          <w:szCs w:val="22"/>
          <w:lang w:val="en-GB" w:eastAsia="it-IT"/>
        </w:rPr>
        <w:t>- Delegation for relations with the Palestinian Legislative Council Working group visit to OPT-November 2012</w:t>
      </w:r>
    </w:p>
    <w:p w:rsidR="00FC181F" w:rsidRPr="00BC7710" w:rsidRDefault="00FC181F" w:rsidP="00B54C8F">
      <w:pPr>
        <w:pStyle w:val="Paragrafoelenco"/>
        <w:numPr>
          <w:ilvl w:val="0"/>
          <w:numId w:val="57"/>
        </w:numPr>
        <w:spacing w:before="0" w:after="0"/>
        <w:ind w:left="426" w:hanging="426"/>
        <w:jc w:val="left"/>
        <w:rPr>
          <w:rFonts w:ascii="Arial" w:hAnsi="Arial" w:cs="Arial"/>
          <w:sz w:val="22"/>
          <w:szCs w:val="22"/>
          <w:lang w:val="en-GB" w:eastAsia="it-IT"/>
        </w:rPr>
      </w:pPr>
      <w:r w:rsidRPr="00BC7710">
        <w:rPr>
          <w:rFonts w:ascii="Arial" w:hAnsi="Arial" w:cs="Arial"/>
          <w:b/>
          <w:sz w:val="22"/>
          <w:szCs w:val="22"/>
          <w:lang w:val="en-GB" w:eastAsia="it-IT"/>
        </w:rPr>
        <w:t>EU parliament</w:t>
      </w:r>
      <w:r w:rsidRPr="00BC7710">
        <w:rPr>
          <w:rFonts w:ascii="Arial" w:hAnsi="Arial" w:cs="Arial"/>
          <w:sz w:val="22"/>
          <w:szCs w:val="22"/>
          <w:lang w:val="en-GB" w:eastAsia="it-IT"/>
        </w:rPr>
        <w:t>- Delegation for relations with the Palestinian Legislative Council Working group visit to OPT-May 2013</w:t>
      </w:r>
    </w:p>
    <w:p w:rsidR="00725733" w:rsidRPr="004D0E04" w:rsidRDefault="00725733" w:rsidP="00B54C8F">
      <w:pPr>
        <w:pStyle w:val="Paragrafoelenco"/>
        <w:numPr>
          <w:ilvl w:val="0"/>
          <w:numId w:val="100"/>
        </w:numPr>
        <w:autoSpaceDE w:val="0"/>
        <w:autoSpaceDN w:val="0"/>
        <w:adjustRightInd w:val="0"/>
        <w:spacing w:before="0" w:after="0"/>
        <w:ind w:left="426" w:hanging="426"/>
        <w:contextualSpacing w:val="0"/>
        <w:rPr>
          <w:rFonts w:ascii="Arial" w:hAnsi="Arial" w:cs="Arial"/>
          <w:bCs/>
          <w:sz w:val="22"/>
          <w:szCs w:val="22"/>
          <w:lang w:eastAsia="it-IT"/>
        </w:rPr>
      </w:pPr>
      <w:proofErr w:type="spellStart"/>
      <w:r w:rsidRPr="004D0E04">
        <w:rPr>
          <w:rFonts w:ascii="Arial" w:hAnsi="Arial" w:cs="Arial"/>
          <w:b/>
          <w:bCs/>
          <w:sz w:val="22"/>
          <w:szCs w:val="22"/>
          <w:lang w:eastAsia="it-IT"/>
        </w:rPr>
        <w:t>EuropeAid</w:t>
      </w:r>
      <w:proofErr w:type="spellEnd"/>
      <w:r w:rsidRPr="004D0E04">
        <w:rPr>
          <w:rFonts w:ascii="Arial" w:hAnsi="Arial" w:cs="Arial"/>
          <w:bCs/>
          <w:sz w:val="22"/>
          <w:szCs w:val="22"/>
          <w:lang w:eastAsia="it-IT"/>
        </w:rPr>
        <w:t>, External Assistance Management Report (EAMR), delegation West Bank and Gaza Strip 2012</w:t>
      </w:r>
    </w:p>
    <w:p w:rsidR="00725733" w:rsidRPr="004D0E04" w:rsidRDefault="004D0E04" w:rsidP="00B54C8F">
      <w:pPr>
        <w:pStyle w:val="Paragrafoelenco"/>
        <w:numPr>
          <w:ilvl w:val="0"/>
          <w:numId w:val="100"/>
        </w:numPr>
        <w:autoSpaceDE w:val="0"/>
        <w:autoSpaceDN w:val="0"/>
        <w:adjustRightInd w:val="0"/>
        <w:spacing w:before="0" w:after="0"/>
        <w:ind w:left="426" w:hanging="426"/>
        <w:contextualSpacing w:val="0"/>
        <w:rPr>
          <w:rFonts w:ascii="Arial" w:hAnsi="Arial" w:cs="Arial"/>
          <w:bCs/>
          <w:sz w:val="22"/>
          <w:szCs w:val="22"/>
          <w:lang w:eastAsia="it-IT"/>
        </w:rPr>
      </w:pPr>
      <w:r w:rsidRPr="00BC7710">
        <w:rPr>
          <w:rFonts w:ascii="Arial" w:hAnsi="Arial" w:cs="Arial"/>
          <w:b/>
          <w:sz w:val="22"/>
          <w:szCs w:val="22"/>
          <w:lang w:val="en-GB" w:eastAsia="it-IT"/>
        </w:rPr>
        <w:t>European Commission</w:t>
      </w:r>
      <w:r w:rsidR="00725733" w:rsidRPr="004D0E04">
        <w:rPr>
          <w:rFonts w:ascii="Arial" w:hAnsi="Arial" w:cs="Arial"/>
          <w:b/>
          <w:bCs/>
          <w:sz w:val="22"/>
          <w:szCs w:val="22"/>
          <w:lang w:eastAsia="it-IT"/>
        </w:rPr>
        <w:t xml:space="preserve"> </w:t>
      </w:r>
      <w:r w:rsidR="00725733" w:rsidRPr="004D0E04">
        <w:rPr>
          <w:rFonts w:ascii="Arial" w:hAnsi="Arial" w:cs="Arial"/>
          <w:bCs/>
          <w:sz w:val="22"/>
          <w:szCs w:val="22"/>
          <w:lang w:eastAsia="it-IT"/>
        </w:rPr>
        <w:t xml:space="preserve">Single Support Framework (SSF) European Union Representative Office in Jerusalem (EUREP Office) 2014/2015 (progress draft October 2013) </w:t>
      </w:r>
    </w:p>
    <w:p w:rsidR="00725733" w:rsidRPr="004D0E04" w:rsidRDefault="004D0E04" w:rsidP="00B54C8F">
      <w:pPr>
        <w:pStyle w:val="Paragrafoelenco"/>
        <w:numPr>
          <w:ilvl w:val="0"/>
          <w:numId w:val="100"/>
        </w:numPr>
        <w:spacing w:before="0" w:after="0"/>
        <w:ind w:left="426" w:hanging="426"/>
        <w:contextualSpacing w:val="0"/>
        <w:rPr>
          <w:rFonts w:ascii="Arial" w:hAnsi="Arial" w:cs="Arial"/>
          <w:bCs/>
          <w:sz w:val="22"/>
          <w:szCs w:val="22"/>
          <w:lang w:eastAsia="it-IT"/>
        </w:rPr>
      </w:pPr>
      <w:r w:rsidRPr="00BC7710">
        <w:rPr>
          <w:rFonts w:ascii="Arial" w:hAnsi="Arial" w:cs="Arial"/>
          <w:b/>
          <w:sz w:val="22"/>
          <w:szCs w:val="22"/>
          <w:lang w:val="en-GB" w:eastAsia="it-IT"/>
        </w:rPr>
        <w:t>European Commission</w:t>
      </w:r>
      <w:r w:rsidRPr="004D0E04">
        <w:rPr>
          <w:rFonts w:ascii="Arial" w:hAnsi="Arial" w:cs="Arial"/>
          <w:b/>
          <w:bCs/>
          <w:sz w:val="22"/>
          <w:szCs w:val="22"/>
          <w:lang w:eastAsia="it-IT"/>
        </w:rPr>
        <w:t xml:space="preserve"> </w:t>
      </w:r>
      <w:r w:rsidR="00725733" w:rsidRPr="004D0E04">
        <w:rPr>
          <w:rFonts w:ascii="Arial" w:hAnsi="Arial" w:cs="Arial"/>
          <w:bCs/>
          <w:sz w:val="22"/>
          <w:szCs w:val="22"/>
          <w:lang w:eastAsia="it-IT"/>
        </w:rPr>
        <w:t>Local Strategy on Development Cooperation Occupied Palestinian Territories (</w:t>
      </w:r>
      <w:proofErr w:type="spellStart"/>
      <w:r w:rsidR="00725733" w:rsidRPr="004D0E04">
        <w:rPr>
          <w:rFonts w:ascii="Arial" w:hAnsi="Arial" w:cs="Arial"/>
          <w:bCs/>
          <w:sz w:val="22"/>
          <w:szCs w:val="22"/>
          <w:lang w:eastAsia="it-IT"/>
        </w:rPr>
        <w:t>oPt</w:t>
      </w:r>
      <w:proofErr w:type="spellEnd"/>
      <w:r w:rsidR="00725733" w:rsidRPr="004D0E04">
        <w:rPr>
          <w:rFonts w:ascii="Arial" w:hAnsi="Arial" w:cs="Arial"/>
          <w:bCs/>
          <w:sz w:val="22"/>
          <w:szCs w:val="22"/>
          <w:lang w:eastAsia="it-IT"/>
        </w:rPr>
        <w:t>) (June 2013)</w:t>
      </w:r>
    </w:p>
    <w:p w:rsidR="00725733" w:rsidRPr="004D0E04" w:rsidRDefault="004D0E04" w:rsidP="00B54C8F">
      <w:pPr>
        <w:pStyle w:val="Paragrafoelenco"/>
        <w:numPr>
          <w:ilvl w:val="0"/>
          <w:numId w:val="100"/>
        </w:numPr>
        <w:autoSpaceDE w:val="0"/>
        <w:autoSpaceDN w:val="0"/>
        <w:adjustRightInd w:val="0"/>
        <w:spacing w:before="0" w:after="0"/>
        <w:ind w:left="426" w:hanging="426"/>
        <w:rPr>
          <w:rFonts w:ascii="Arial" w:hAnsi="Arial" w:cs="Arial"/>
          <w:bCs/>
          <w:sz w:val="22"/>
          <w:szCs w:val="22"/>
          <w:lang w:eastAsia="it-IT"/>
        </w:rPr>
      </w:pPr>
      <w:r w:rsidRPr="00BC7710">
        <w:rPr>
          <w:rFonts w:ascii="Arial" w:hAnsi="Arial" w:cs="Arial"/>
          <w:b/>
          <w:sz w:val="22"/>
          <w:szCs w:val="22"/>
          <w:lang w:val="en-GB" w:eastAsia="it-IT"/>
        </w:rPr>
        <w:t>European Commission</w:t>
      </w:r>
      <w:r w:rsidRPr="004D0E04">
        <w:rPr>
          <w:rFonts w:ascii="Arial" w:hAnsi="Arial" w:cs="Arial"/>
          <w:b/>
          <w:bCs/>
          <w:sz w:val="22"/>
          <w:szCs w:val="22"/>
          <w:lang w:eastAsia="it-IT"/>
        </w:rPr>
        <w:t xml:space="preserve"> </w:t>
      </w:r>
      <w:r w:rsidR="00725733" w:rsidRPr="004D0E04">
        <w:rPr>
          <w:rFonts w:ascii="Arial" w:hAnsi="Arial" w:cs="Arial"/>
          <w:b/>
          <w:bCs/>
          <w:sz w:val="22"/>
          <w:szCs w:val="22"/>
          <w:lang w:eastAsia="it-IT"/>
        </w:rPr>
        <w:t>PEGASE</w:t>
      </w:r>
      <w:r w:rsidR="00725733" w:rsidRPr="004D0E04">
        <w:rPr>
          <w:rFonts w:ascii="Arial" w:hAnsi="Arial" w:cs="Arial"/>
          <w:bCs/>
          <w:sz w:val="22"/>
          <w:szCs w:val="22"/>
          <w:lang w:eastAsia="it-IT"/>
        </w:rPr>
        <w:t xml:space="preserve"> </w:t>
      </w:r>
      <w:proofErr w:type="spellStart"/>
      <w:r w:rsidR="00725733" w:rsidRPr="004D0E04">
        <w:rPr>
          <w:rFonts w:ascii="Arial" w:hAnsi="Arial" w:cs="Arial"/>
          <w:bCs/>
          <w:sz w:val="22"/>
          <w:szCs w:val="22"/>
          <w:lang w:eastAsia="it-IT"/>
        </w:rPr>
        <w:t>programmes</w:t>
      </w:r>
      <w:proofErr w:type="spellEnd"/>
      <w:r w:rsidR="00725733" w:rsidRPr="004D0E04">
        <w:rPr>
          <w:rFonts w:ascii="Arial" w:hAnsi="Arial" w:cs="Arial"/>
          <w:bCs/>
          <w:sz w:val="22"/>
          <w:szCs w:val="22"/>
          <w:lang w:eastAsia="it-IT"/>
        </w:rPr>
        <w:t xml:space="preserve"> of Direct Financial Support to the recurrent costs of the Palestinian Authority, August 2013</w:t>
      </w:r>
    </w:p>
    <w:p w:rsidR="00725733" w:rsidRPr="004D0E04" w:rsidRDefault="004D0E04" w:rsidP="00B54C8F">
      <w:pPr>
        <w:pStyle w:val="Paragrafoelenco"/>
        <w:numPr>
          <w:ilvl w:val="0"/>
          <w:numId w:val="100"/>
        </w:numPr>
        <w:autoSpaceDE w:val="0"/>
        <w:autoSpaceDN w:val="0"/>
        <w:adjustRightInd w:val="0"/>
        <w:spacing w:before="0" w:after="0"/>
        <w:ind w:left="426" w:hanging="426"/>
        <w:rPr>
          <w:rFonts w:ascii="Arial" w:hAnsi="Arial" w:cs="Arial"/>
          <w:bCs/>
          <w:sz w:val="22"/>
          <w:szCs w:val="22"/>
          <w:lang w:eastAsia="it-IT"/>
        </w:rPr>
      </w:pPr>
      <w:r w:rsidRPr="00BC7710">
        <w:rPr>
          <w:rFonts w:ascii="Arial" w:hAnsi="Arial" w:cs="Arial"/>
          <w:b/>
          <w:sz w:val="22"/>
          <w:szCs w:val="22"/>
          <w:lang w:val="en-GB" w:eastAsia="it-IT"/>
        </w:rPr>
        <w:t>European Commission</w:t>
      </w:r>
      <w:r w:rsidR="00725733" w:rsidRPr="004D0E04">
        <w:rPr>
          <w:rFonts w:ascii="Arial" w:hAnsi="Arial" w:cs="Arial"/>
          <w:bCs/>
          <w:sz w:val="22"/>
          <w:szCs w:val="22"/>
          <w:lang w:eastAsia="it-IT"/>
        </w:rPr>
        <w:t xml:space="preserve"> Note to the attention of </w:t>
      </w:r>
      <w:proofErr w:type="spellStart"/>
      <w:r w:rsidR="00725733" w:rsidRPr="004D0E04">
        <w:rPr>
          <w:rFonts w:ascii="Arial" w:hAnsi="Arial" w:cs="Arial"/>
          <w:bCs/>
          <w:sz w:val="22"/>
          <w:szCs w:val="22"/>
          <w:lang w:eastAsia="it-IT"/>
        </w:rPr>
        <w:t>Mr</w:t>
      </w:r>
      <w:proofErr w:type="spellEnd"/>
      <w:r w:rsidR="00725733" w:rsidRPr="004D0E04">
        <w:rPr>
          <w:rFonts w:ascii="Arial" w:hAnsi="Arial" w:cs="Arial"/>
          <w:bCs/>
          <w:sz w:val="22"/>
          <w:szCs w:val="22"/>
          <w:lang w:eastAsia="it-IT"/>
        </w:rPr>
        <w:t xml:space="preserve"> Patrick Child, director EEAS; </w:t>
      </w:r>
      <w:proofErr w:type="spellStart"/>
      <w:r w:rsidR="00725733" w:rsidRPr="004D0E04">
        <w:rPr>
          <w:rFonts w:ascii="Arial" w:hAnsi="Arial" w:cs="Arial"/>
          <w:bCs/>
          <w:sz w:val="22"/>
          <w:szCs w:val="22"/>
          <w:lang w:eastAsia="it-IT"/>
        </w:rPr>
        <w:t>Mr</w:t>
      </w:r>
      <w:proofErr w:type="spellEnd"/>
      <w:r w:rsidR="00725733" w:rsidRPr="004D0E04">
        <w:rPr>
          <w:rFonts w:ascii="Arial" w:hAnsi="Arial" w:cs="Arial"/>
          <w:bCs/>
          <w:sz w:val="22"/>
          <w:szCs w:val="22"/>
          <w:lang w:eastAsia="it-IT"/>
        </w:rPr>
        <w:t xml:space="preserve"> </w:t>
      </w:r>
      <w:proofErr w:type="spellStart"/>
      <w:r w:rsidR="00725733" w:rsidRPr="004D0E04">
        <w:rPr>
          <w:rFonts w:ascii="Arial" w:hAnsi="Arial" w:cs="Arial"/>
          <w:bCs/>
          <w:sz w:val="22"/>
          <w:szCs w:val="22"/>
          <w:lang w:eastAsia="it-IT"/>
        </w:rPr>
        <w:t>Marcu</w:t>
      </w:r>
      <w:proofErr w:type="spellEnd"/>
      <w:r w:rsidR="00725733" w:rsidRPr="004D0E04">
        <w:rPr>
          <w:rFonts w:ascii="Arial" w:hAnsi="Arial" w:cs="Arial"/>
          <w:bCs/>
          <w:sz w:val="22"/>
          <w:szCs w:val="22"/>
          <w:lang w:eastAsia="it-IT"/>
        </w:rPr>
        <w:t xml:space="preserve"> </w:t>
      </w:r>
      <w:proofErr w:type="spellStart"/>
      <w:r w:rsidR="00725733" w:rsidRPr="004D0E04">
        <w:rPr>
          <w:rFonts w:ascii="Arial" w:hAnsi="Arial" w:cs="Arial"/>
          <w:bCs/>
          <w:sz w:val="22"/>
          <w:szCs w:val="22"/>
          <w:lang w:eastAsia="it-IT"/>
        </w:rPr>
        <w:t>Cornaro</w:t>
      </w:r>
      <w:proofErr w:type="spellEnd"/>
      <w:r w:rsidR="00725733" w:rsidRPr="004D0E04">
        <w:rPr>
          <w:rFonts w:ascii="Arial" w:hAnsi="Arial" w:cs="Arial"/>
          <w:bCs/>
          <w:sz w:val="22"/>
          <w:szCs w:val="22"/>
          <w:lang w:eastAsia="it-IT"/>
        </w:rPr>
        <w:t xml:space="preserve">, </w:t>
      </w:r>
      <w:proofErr w:type="spellStart"/>
      <w:r w:rsidR="00725733" w:rsidRPr="004D0E04">
        <w:rPr>
          <w:rFonts w:ascii="Arial" w:hAnsi="Arial" w:cs="Arial"/>
          <w:bCs/>
          <w:sz w:val="22"/>
          <w:szCs w:val="22"/>
          <w:lang w:eastAsia="it-IT"/>
        </w:rPr>
        <w:t>Directror</w:t>
      </w:r>
      <w:proofErr w:type="spellEnd"/>
      <w:r w:rsidR="00725733" w:rsidRPr="004D0E04">
        <w:rPr>
          <w:rFonts w:ascii="Arial" w:hAnsi="Arial" w:cs="Arial"/>
          <w:bCs/>
          <w:sz w:val="22"/>
          <w:szCs w:val="22"/>
          <w:lang w:eastAsia="it-IT"/>
        </w:rPr>
        <w:t xml:space="preserve"> DEVCO/A, Shortage </w:t>
      </w:r>
      <w:proofErr w:type="spellStart"/>
      <w:r w:rsidR="00725733" w:rsidRPr="004D0E04">
        <w:rPr>
          <w:rFonts w:ascii="Arial" w:hAnsi="Arial" w:cs="Arial"/>
          <w:bCs/>
          <w:sz w:val="22"/>
          <w:szCs w:val="22"/>
          <w:lang w:eastAsia="it-IT"/>
        </w:rPr>
        <w:t>ofoperation</w:t>
      </w:r>
      <w:proofErr w:type="spellEnd"/>
      <w:r w:rsidR="00725733" w:rsidRPr="004D0E04">
        <w:rPr>
          <w:rFonts w:ascii="Arial" w:hAnsi="Arial" w:cs="Arial"/>
          <w:bCs/>
          <w:sz w:val="22"/>
          <w:szCs w:val="22"/>
          <w:lang w:eastAsia="it-IT"/>
        </w:rPr>
        <w:t xml:space="preserve"> </w:t>
      </w:r>
      <w:proofErr w:type="spellStart"/>
      <w:r w:rsidR="00725733" w:rsidRPr="004D0E04">
        <w:rPr>
          <w:rFonts w:ascii="Arial" w:hAnsi="Arial" w:cs="Arial"/>
          <w:bCs/>
          <w:sz w:val="22"/>
          <w:szCs w:val="22"/>
          <w:lang w:eastAsia="it-IT"/>
        </w:rPr>
        <w:t>himan</w:t>
      </w:r>
      <w:proofErr w:type="spellEnd"/>
      <w:r w:rsidR="00725733" w:rsidRPr="004D0E04">
        <w:rPr>
          <w:rFonts w:ascii="Arial" w:hAnsi="Arial" w:cs="Arial"/>
          <w:bCs/>
          <w:sz w:val="22"/>
          <w:szCs w:val="22"/>
          <w:lang w:eastAsia="it-IT"/>
        </w:rPr>
        <w:t xml:space="preserve"> resources in EUREP, February 2011</w:t>
      </w:r>
    </w:p>
    <w:p w:rsidR="00725733" w:rsidRPr="004D0E04" w:rsidRDefault="004D0E04" w:rsidP="00B54C8F">
      <w:pPr>
        <w:pStyle w:val="Paragrafoelenco"/>
        <w:numPr>
          <w:ilvl w:val="0"/>
          <w:numId w:val="100"/>
        </w:numPr>
        <w:autoSpaceDE w:val="0"/>
        <w:autoSpaceDN w:val="0"/>
        <w:adjustRightInd w:val="0"/>
        <w:spacing w:before="0" w:after="0"/>
        <w:ind w:left="426" w:hanging="426"/>
        <w:rPr>
          <w:rFonts w:ascii="Arial" w:hAnsi="Arial" w:cs="Arial"/>
          <w:bCs/>
          <w:sz w:val="22"/>
          <w:szCs w:val="22"/>
          <w:lang w:eastAsia="it-IT"/>
        </w:rPr>
      </w:pPr>
      <w:r w:rsidRPr="00BC7710">
        <w:rPr>
          <w:rFonts w:ascii="Arial" w:hAnsi="Arial" w:cs="Arial"/>
          <w:b/>
          <w:sz w:val="22"/>
          <w:szCs w:val="22"/>
          <w:lang w:val="en-GB" w:eastAsia="it-IT"/>
        </w:rPr>
        <w:t>European Commission</w:t>
      </w:r>
      <w:r w:rsidR="00725733" w:rsidRPr="004D0E04">
        <w:rPr>
          <w:rFonts w:ascii="Arial" w:hAnsi="Arial" w:cs="Arial"/>
          <w:bCs/>
          <w:sz w:val="22"/>
          <w:szCs w:val="22"/>
          <w:lang w:eastAsia="it-IT"/>
        </w:rPr>
        <w:t xml:space="preserve"> , New Vision Management Consulting Report Of Evaluation of the EU EIDHR-CBSS Program, February 2011Final</w:t>
      </w:r>
    </w:p>
    <w:p w:rsidR="00725733" w:rsidRPr="004D0E04" w:rsidRDefault="004D0E04" w:rsidP="00B54C8F">
      <w:pPr>
        <w:pStyle w:val="Paragrafoelenco"/>
        <w:numPr>
          <w:ilvl w:val="0"/>
          <w:numId w:val="100"/>
        </w:numPr>
        <w:spacing w:before="0" w:after="0"/>
        <w:ind w:left="426" w:hanging="426"/>
        <w:rPr>
          <w:rFonts w:ascii="Arial" w:hAnsi="Arial" w:cs="Arial"/>
          <w:bCs/>
          <w:sz w:val="22"/>
          <w:szCs w:val="22"/>
          <w:lang w:eastAsia="it-IT"/>
        </w:rPr>
      </w:pPr>
      <w:r w:rsidRPr="00BC7710">
        <w:rPr>
          <w:rFonts w:ascii="Arial" w:hAnsi="Arial" w:cs="Arial"/>
          <w:b/>
          <w:sz w:val="22"/>
          <w:szCs w:val="22"/>
          <w:lang w:val="en-GB" w:eastAsia="it-IT"/>
        </w:rPr>
        <w:t>European Commission</w:t>
      </w:r>
      <w:r w:rsidR="00725733" w:rsidRPr="004D0E04">
        <w:rPr>
          <w:rFonts w:ascii="Arial" w:hAnsi="Arial" w:cs="Arial"/>
          <w:bCs/>
          <w:sz w:val="22"/>
          <w:szCs w:val="22"/>
          <w:lang w:eastAsia="it-IT"/>
        </w:rPr>
        <w:t xml:space="preserve"> Country Human Rights Strategy and Priorities, Date of approval by HOMs: 1/6/2011, update 13/12/2012</w:t>
      </w:r>
    </w:p>
    <w:p w:rsidR="00725733" w:rsidRPr="004D0E04" w:rsidRDefault="004D0E04" w:rsidP="00B54C8F">
      <w:pPr>
        <w:pStyle w:val="Intestazione"/>
        <w:numPr>
          <w:ilvl w:val="0"/>
          <w:numId w:val="100"/>
        </w:numPr>
        <w:spacing w:before="0" w:after="0"/>
        <w:ind w:left="426" w:hanging="426"/>
        <w:rPr>
          <w:rFonts w:ascii="Arial" w:hAnsi="Arial" w:cs="Arial"/>
          <w:bCs/>
          <w:sz w:val="22"/>
          <w:szCs w:val="22"/>
          <w:lang w:val="fr-FR" w:eastAsia="it-IT"/>
        </w:rPr>
      </w:pPr>
      <w:r w:rsidRPr="00BC7710">
        <w:rPr>
          <w:rFonts w:ascii="Arial" w:hAnsi="Arial" w:cs="Arial"/>
          <w:b/>
          <w:sz w:val="22"/>
          <w:szCs w:val="22"/>
          <w:lang w:val="en-GB" w:eastAsia="it-IT"/>
        </w:rPr>
        <w:t>European Commission</w:t>
      </w:r>
      <w:r w:rsidR="00725733" w:rsidRPr="004D0E04">
        <w:rPr>
          <w:rFonts w:ascii="Arial" w:hAnsi="Arial" w:cs="Arial"/>
          <w:b/>
          <w:bCs/>
          <w:sz w:val="22"/>
          <w:szCs w:val="22"/>
          <w:lang w:val="fr-FR" w:eastAsia="it-IT"/>
        </w:rPr>
        <w:t xml:space="preserve"> </w:t>
      </w:r>
      <w:r w:rsidR="00725733" w:rsidRPr="004D0E04">
        <w:rPr>
          <w:rFonts w:ascii="Arial" w:hAnsi="Arial" w:cs="Arial"/>
          <w:bCs/>
          <w:sz w:val="22"/>
          <w:szCs w:val="22"/>
          <w:lang w:val="fr-FR" w:eastAsia="it-IT"/>
        </w:rPr>
        <w:t xml:space="preserve">UNRWA - EU communications and </w:t>
      </w:r>
      <w:proofErr w:type="spellStart"/>
      <w:r w:rsidR="00725733" w:rsidRPr="004D0E04">
        <w:rPr>
          <w:rFonts w:ascii="Arial" w:hAnsi="Arial" w:cs="Arial"/>
          <w:bCs/>
          <w:sz w:val="22"/>
          <w:szCs w:val="22"/>
          <w:lang w:val="fr-FR" w:eastAsia="it-IT"/>
        </w:rPr>
        <w:t>visibility</w:t>
      </w:r>
      <w:proofErr w:type="spellEnd"/>
      <w:r w:rsidR="00725733" w:rsidRPr="004D0E04">
        <w:rPr>
          <w:rFonts w:ascii="Arial" w:hAnsi="Arial" w:cs="Arial"/>
          <w:bCs/>
          <w:sz w:val="22"/>
          <w:szCs w:val="22"/>
          <w:lang w:val="fr-FR" w:eastAsia="it-IT"/>
        </w:rPr>
        <w:t xml:space="preserve"> plan 2013</w:t>
      </w:r>
    </w:p>
    <w:p w:rsidR="00725733" w:rsidRPr="004D0E04" w:rsidRDefault="004D0E04" w:rsidP="00B54C8F">
      <w:pPr>
        <w:pStyle w:val="Paragrafoelenco"/>
        <w:numPr>
          <w:ilvl w:val="0"/>
          <w:numId w:val="100"/>
        </w:numPr>
        <w:spacing w:before="0" w:after="0"/>
        <w:ind w:left="426" w:hanging="426"/>
        <w:contextualSpacing w:val="0"/>
        <w:rPr>
          <w:rFonts w:ascii="Arial" w:hAnsi="Arial" w:cs="Arial"/>
          <w:bCs/>
          <w:sz w:val="22"/>
          <w:szCs w:val="22"/>
          <w:lang w:eastAsia="it-IT"/>
        </w:rPr>
      </w:pPr>
      <w:r w:rsidRPr="00BC7710">
        <w:rPr>
          <w:rFonts w:ascii="Arial" w:hAnsi="Arial" w:cs="Arial"/>
          <w:b/>
          <w:sz w:val="22"/>
          <w:szCs w:val="22"/>
          <w:lang w:val="en-GB" w:eastAsia="it-IT"/>
        </w:rPr>
        <w:t>European Commission</w:t>
      </w:r>
      <w:r w:rsidR="00725733" w:rsidRPr="004D0E04">
        <w:rPr>
          <w:rFonts w:ascii="Arial" w:hAnsi="Arial" w:cs="Arial"/>
          <w:bCs/>
          <w:sz w:val="22"/>
          <w:szCs w:val="22"/>
          <w:lang w:eastAsia="it-IT"/>
        </w:rPr>
        <w:t xml:space="preserve"> Delegations’ Information and Communication </w:t>
      </w:r>
      <w:r>
        <w:rPr>
          <w:rFonts w:ascii="Arial" w:hAnsi="Arial" w:cs="Arial"/>
          <w:bCs/>
          <w:sz w:val="22"/>
          <w:szCs w:val="22"/>
          <w:lang w:eastAsia="it-IT"/>
        </w:rPr>
        <w:t xml:space="preserve">Annual Report </w:t>
      </w:r>
      <w:r w:rsidR="00725733" w:rsidRPr="004D0E04">
        <w:rPr>
          <w:rFonts w:ascii="Arial" w:hAnsi="Arial" w:cs="Arial"/>
          <w:bCs/>
          <w:sz w:val="22"/>
          <w:szCs w:val="22"/>
          <w:lang w:eastAsia="it-IT"/>
        </w:rPr>
        <w:t xml:space="preserve">(2012) &amp; forward </w:t>
      </w:r>
      <w:r>
        <w:rPr>
          <w:rFonts w:ascii="Arial" w:hAnsi="Arial" w:cs="Arial"/>
          <w:bCs/>
          <w:sz w:val="22"/>
          <w:szCs w:val="22"/>
          <w:lang w:eastAsia="it-IT"/>
        </w:rPr>
        <w:t>planning</w:t>
      </w:r>
      <w:r w:rsidR="00725733" w:rsidRPr="004D0E04">
        <w:rPr>
          <w:rFonts w:ascii="Arial" w:hAnsi="Arial" w:cs="Arial"/>
          <w:bCs/>
          <w:sz w:val="22"/>
          <w:szCs w:val="22"/>
          <w:lang w:eastAsia="it-IT"/>
        </w:rPr>
        <w:t xml:space="preserve"> (2013) </w:t>
      </w:r>
    </w:p>
    <w:p w:rsidR="00725733" w:rsidRPr="009828E1" w:rsidRDefault="009828E1" w:rsidP="00B54C8F">
      <w:pPr>
        <w:pStyle w:val="Paragrafoelenco"/>
        <w:numPr>
          <w:ilvl w:val="0"/>
          <w:numId w:val="100"/>
        </w:numPr>
        <w:autoSpaceDE w:val="0"/>
        <w:autoSpaceDN w:val="0"/>
        <w:adjustRightInd w:val="0"/>
        <w:spacing w:before="0" w:after="0"/>
        <w:ind w:left="426" w:hanging="426"/>
        <w:jc w:val="left"/>
        <w:rPr>
          <w:rFonts w:ascii="Arial" w:hAnsi="Arial" w:cs="Arial"/>
          <w:b/>
          <w:bCs/>
          <w:color w:val="365F92"/>
          <w:sz w:val="22"/>
          <w:szCs w:val="22"/>
        </w:rPr>
      </w:pPr>
      <w:r w:rsidRPr="009828E1">
        <w:rPr>
          <w:rFonts w:ascii="Arial" w:hAnsi="Arial" w:cs="Arial"/>
          <w:b/>
          <w:bCs/>
          <w:sz w:val="22"/>
          <w:szCs w:val="22"/>
        </w:rPr>
        <w:t>European Court of Auditors</w:t>
      </w:r>
      <w:r w:rsidRPr="009828E1">
        <w:rPr>
          <w:rFonts w:ascii="Arial" w:hAnsi="Arial" w:cs="Arial"/>
          <w:bCs/>
          <w:sz w:val="22"/>
          <w:szCs w:val="22"/>
        </w:rPr>
        <w:t>, EU direct financial support to the PA, 2013</w:t>
      </w:r>
    </w:p>
    <w:p w:rsidR="00725733" w:rsidRDefault="00725733" w:rsidP="00A574EB">
      <w:pPr>
        <w:autoSpaceDE w:val="0"/>
        <w:autoSpaceDN w:val="0"/>
        <w:adjustRightInd w:val="0"/>
        <w:spacing w:before="0" w:after="0"/>
        <w:jc w:val="left"/>
        <w:rPr>
          <w:rFonts w:ascii="Arial" w:hAnsi="Arial" w:cs="Arial"/>
          <w:b/>
          <w:bCs/>
          <w:color w:val="365F92"/>
          <w:sz w:val="22"/>
          <w:szCs w:val="22"/>
          <w:lang w:val="en-GB"/>
        </w:rPr>
      </w:pPr>
    </w:p>
    <w:p w:rsidR="00A574EB" w:rsidRPr="00BC7710" w:rsidRDefault="00A574EB" w:rsidP="00BC7710">
      <w:pPr>
        <w:spacing w:before="0" w:after="0"/>
        <w:rPr>
          <w:rFonts w:ascii="Arial" w:hAnsi="Arial" w:cs="Arial"/>
          <w:b/>
          <w:bCs/>
          <w:caps/>
          <w:color w:val="365F92"/>
          <w:sz w:val="24"/>
          <w:szCs w:val="24"/>
        </w:rPr>
      </w:pPr>
      <w:r w:rsidRPr="00BC7710">
        <w:rPr>
          <w:rFonts w:ascii="Arial" w:hAnsi="Arial" w:cs="Arial"/>
          <w:b/>
          <w:bCs/>
          <w:caps/>
          <w:color w:val="365F92"/>
          <w:sz w:val="24"/>
          <w:szCs w:val="24"/>
        </w:rPr>
        <w:t xml:space="preserve">Palestinian authority Documents  </w:t>
      </w:r>
    </w:p>
    <w:p w:rsidR="00A574EB" w:rsidRPr="00BC7710" w:rsidRDefault="00A574EB" w:rsidP="00B54C8F">
      <w:pPr>
        <w:pStyle w:val="Paragrafoelenco"/>
        <w:numPr>
          <w:ilvl w:val="0"/>
          <w:numId w:val="49"/>
        </w:numPr>
        <w:spacing w:before="0" w:after="0"/>
        <w:ind w:left="426" w:hanging="426"/>
        <w:rPr>
          <w:rFonts w:ascii="Arial" w:hAnsi="Arial" w:cs="Arial"/>
          <w:b/>
          <w:bCs/>
          <w:sz w:val="22"/>
          <w:szCs w:val="22"/>
        </w:rPr>
      </w:pPr>
      <w:r w:rsidRPr="00BC7710">
        <w:rPr>
          <w:rFonts w:ascii="Arial" w:hAnsi="Arial" w:cs="Arial"/>
          <w:b/>
          <w:bCs/>
          <w:sz w:val="22"/>
          <w:szCs w:val="22"/>
        </w:rPr>
        <w:t xml:space="preserve">Palestinian National Authority, </w:t>
      </w:r>
      <w:r w:rsidRPr="00BC7710">
        <w:rPr>
          <w:rFonts w:ascii="Arial" w:hAnsi="Arial" w:cs="Arial"/>
          <w:sz w:val="22"/>
          <w:szCs w:val="22"/>
          <w:lang w:eastAsia="it-IT"/>
        </w:rPr>
        <w:t>Annual Progress Report on Palestinian Reform (2004-2005), December 2005</w:t>
      </w:r>
    </w:p>
    <w:p w:rsidR="00A574EB" w:rsidRPr="00BC7710" w:rsidRDefault="00A574EB" w:rsidP="00B54C8F">
      <w:pPr>
        <w:pStyle w:val="Paragrafoelenco"/>
        <w:numPr>
          <w:ilvl w:val="0"/>
          <w:numId w:val="49"/>
        </w:numPr>
        <w:spacing w:before="0" w:after="0"/>
        <w:ind w:left="426" w:hanging="426"/>
        <w:rPr>
          <w:rFonts w:ascii="Arial" w:hAnsi="Arial" w:cs="Arial"/>
          <w:b/>
          <w:bCs/>
          <w:sz w:val="22"/>
          <w:szCs w:val="22"/>
        </w:rPr>
      </w:pPr>
      <w:r w:rsidRPr="00BC7710">
        <w:rPr>
          <w:rFonts w:ascii="Arial" w:hAnsi="Arial" w:cs="Arial"/>
          <w:b/>
          <w:bCs/>
          <w:sz w:val="22"/>
          <w:szCs w:val="22"/>
        </w:rPr>
        <w:t>Palestinian National Authority</w:t>
      </w:r>
      <w:r w:rsidRPr="00BC7710">
        <w:rPr>
          <w:rFonts w:ascii="Arial" w:hAnsi="Arial" w:cs="Arial"/>
          <w:sz w:val="22"/>
          <w:szCs w:val="22"/>
          <w:lang w:eastAsia="it-IT"/>
        </w:rPr>
        <w:t>, Palestinian Reform and Development Plan 2008-2010</w:t>
      </w:r>
      <w:r w:rsidRPr="00BC7710">
        <w:rPr>
          <w:rFonts w:ascii="Arial" w:hAnsi="Arial" w:cs="Arial"/>
          <w:b/>
          <w:bCs/>
          <w:sz w:val="22"/>
          <w:szCs w:val="22"/>
        </w:rPr>
        <w:t xml:space="preserve">, </w:t>
      </w:r>
      <w:r w:rsidRPr="00BC7710">
        <w:rPr>
          <w:rFonts w:ascii="Arial" w:hAnsi="Arial" w:cs="Arial"/>
          <w:bCs/>
          <w:sz w:val="22"/>
          <w:szCs w:val="22"/>
        </w:rPr>
        <w:t>2008</w:t>
      </w:r>
    </w:p>
    <w:p w:rsidR="00A574EB" w:rsidRPr="00BC7710" w:rsidRDefault="00A574EB" w:rsidP="00B54C8F">
      <w:pPr>
        <w:pStyle w:val="Paragrafoelenco"/>
        <w:numPr>
          <w:ilvl w:val="0"/>
          <w:numId w:val="49"/>
        </w:numPr>
        <w:spacing w:before="0" w:after="0"/>
        <w:ind w:left="426" w:hanging="426"/>
        <w:rPr>
          <w:rFonts w:ascii="Arial" w:hAnsi="Arial" w:cs="Arial"/>
          <w:b/>
          <w:bCs/>
          <w:sz w:val="22"/>
          <w:szCs w:val="22"/>
        </w:rPr>
      </w:pPr>
      <w:r w:rsidRPr="00BC7710">
        <w:rPr>
          <w:rFonts w:ascii="Arial" w:hAnsi="Arial" w:cs="Arial"/>
          <w:b/>
          <w:bCs/>
          <w:sz w:val="22"/>
          <w:szCs w:val="22"/>
        </w:rPr>
        <w:t xml:space="preserve">Palestinian National Authority, </w:t>
      </w:r>
      <w:r w:rsidRPr="00BC7710">
        <w:rPr>
          <w:rFonts w:ascii="Arial" w:hAnsi="Arial" w:cs="Arial"/>
          <w:sz w:val="22"/>
          <w:szCs w:val="22"/>
          <w:lang w:eastAsia="it-IT"/>
        </w:rPr>
        <w:t>Palestine-Ending the Occupation, Establishing the State, August 2009</w:t>
      </w:r>
    </w:p>
    <w:p w:rsidR="00A574EB" w:rsidRPr="00BC7710" w:rsidRDefault="00A574EB" w:rsidP="00B54C8F">
      <w:pPr>
        <w:pStyle w:val="Paragrafoelenco"/>
        <w:numPr>
          <w:ilvl w:val="0"/>
          <w:numId w:val="49"/>
        </w:numPr>
        <w:spacing w:before="0" w:after="0"/>
        <w:ind w:left="426" w:hanging="426"/>
        <w:rPr>
          <w:rFonts w:ascii="Arial" w:hAnsi="Arial" w:cs="Arial"/>
          <w:b/>
          <w:bCs/>
          <w:sz w:val="22"/>
          <w:szCs w:val="22"/>
        </w:rPr>
      </w:pPr>
      <w:r w:rsidRPr="00BC7710">
        <w:rPr>
          <w:rFonts w:ascii="Arial" w:hAnsi="Arial" w:cs="Arial"/>
          <w:b/>
          <w:bCs/>
          <w:sz w:val="22"/>
          <w:szCs w:val="22"/>
        </w:rPr>
        <w:t xml:space="preserve">Palestinian National Authority Ministry of Finance, </w:t>
      </w:r>
      <w:r w:rsidRPr="00BC7710">
        <w:rPr>
          <w:rFonts w:ascii="Arial" w:hAnsi="Arial" w:cs="Arial"/>
          <w:sz w:val="22"/>
          <w:szCs w:val="22"/>
          <w:lang w:eastAsia="it-IT"/>
        </w:rPr>
        <w:t>Palestinian Economic Recovery -  Strategy in Transition, 7 June 2009</w:t>
      </w:r>
    </w:p>
    <w:p w:rsidR="00A574EB" w:rsidRPr="00BC7710" w:rsidRDefault="00A574EB" w:rsidP="00B54C8F">
      <w:pPr>
        <w:pStyle w:val="Paragrafoelenco"/>
        <w:numPr>
          <w:ilvl w:val="0"/>
          <w:numId w:val="49"/>
        </w:numPr>
        <w:spacing w:before="0" w:after="0"/>
        <w:ind w:left="426" w:hanging="426"/>
        <w:rPr>
          <w:rFonts w:ascii="Arial" w:hAnsi="Arial" w:cs="Arial"/>
          <w:b/>
          <w:bCs/>
          <w:sz w:val="22"/>
          <w:szCs w:val="22"/>
        </w:rPr>
      </w:pPr>
      <w:r w:rsidRPr="00BC7710">
        <w:rPr>
          <w:rFonts w:ascii="Arial" w:hAnsi="Arial" w:cs="Arial"/>
          <w:b/>
          <w:bCs/>
          <w:sz w:val="22"/>
          <w:szCs w:val="22"/>
        </w:rPr>
        <w:t>Palestinian National Authority,</w:t>
      </w:r>
      <w:r w:rsidRPr="00BC7710">
        <w:rPr>
          <w:rFonts w:ascii="Arial" w:hAnsi="Arial" w:cs="Arial"/>
          <w:sz w:val="22"/>
          <w:szCs w:val="22"/>
          <w:lang w:eastAsia="it-IT"/>
        </w:rPr>
        <w:t xml:space="preserve"> National Development Plan 2011-2013: Establishing the State, Building our Future, April 2011</w:t>
      </w:r>
    </w:p>
    <w:p w:rsidR="00A574EB" w:rsidRPr="00BC7710" w:rsidRDefault="00A574EB" w:rsidP="00B54C8F">
      <w:pPr>
        <w:pStyle w:val="Paragrafoelenco"/>
        <w:numPr>
          <w:ilvl w:val="0"/>
          <w:numId w:val="49"/>
        </w:numPr>
        <w:spacing w:before="0" w:after="0"/>
        <w:ind w:left="426" w:hanging="426"/>
        <w:rPr>
          <w:rFonts w:ascii="Arial" w:hAnsi="Arial" w:cs="Arial"/>
          <w:b/>
          <w:bCs/>
          <w:sz w:val="22"/>
          <w:szCs w:val="22"/>
        </w:rPr>
      </w:pPr>
      <w:r w:rsidRPr="00BC7710">
        <w:rPr>
          <w:rFonts w:ascii="Arial" w:hAnsi="Arial" w:cs="Arial"/>
          <w:b/>
          <w:bCs/>
          <w:sz w:val="22"/>
          <w:szCs w:val="22"/>
        </w:rPr>
        <w:t xml:space="preserve">Palestinian National Authority </w:t>
      </w:r>
      <w:r w:rsidRPr="00BC7710">
        <w:rPr>
          <w:rFonts w:ascii="Arial" w:hAnsi="Arial" w:cs="Arial"/>
          <w:b/>
          <w:sz w:val="22"/>
          <w:szCs w:val="22"/>
          <w:lang w:eastAsia="it-IT"/>
        </w:rPr>
        <w:t>Ministry of National Economy</w:t>
      </w:r>
      <w:r w:rsidRPr="00BC7710">
        <w:rPr>
          <w:rFonts w:ascii="Arial" w:hAnsi="Arial" w:cs="Arial"/>
          <w:sz w:val="22"/>
          <w:szCs w:val="22"/>
          <w:lang w:eastAsia="it-IT"/>
        </w:rPr>
        <w:t xml:space="preserve">, </w:t>
      </w:r>
      <w:r w:rsidRPr="00BC7710">
        <w:rPr>
          <w:rFonts w:ascii="Arial" w:hAnsi="Arial" w:cs="Arial"/>
          <w:sz w:val="22"/>
          <w:szCs w:val="22"/>
        </w:rPr>
        <w:t>Governmental Documents</w:t>
      </w:r>
      <w:r w:rsidRPr="00BC7710">
        <w:rPr>
          <w:rFonts w:ascii="Arial" w:hAnsi="Arial" w:cs="Arial"/>
          <w:sz w:val="22"/>
          <w:szCs w:val="22"/>
          <w:lang w:eastAsia="it-IT"/>
        </w:rPr>
        <w:t xml:space="preserve"> Summary of Project Priorities 2013-2015, 13 February 2013</w:t>
      </w:r>
    </w:p>
    <w:p w:rsidR="00A574EB" w:rsidRPr="00BC7710" w:rsidRDefault="00A574EB" w:rsidP="00B54C8F">
      <w:pPr>
        <w:pStyle w:val="Paragrafoelenco"/>
        <w:numPr>
          <w:ilvl w:val="0"/>
          <w:numId w:val="49"/>
        </w:numPr>
        <w:spacing w:before="0" w:after="0"/>
        <w:ind w:left="426" w:hanging="426"/>
        <w:rPr>
          <w:rFonts w:ascii="Arial" w:hAnsi="Arial" w:cs="Arial"/>
          <w:b/>
          <w:bCs/>
          <w:sz w:val="22"/>
          <w:szCs w:val="22"/>
        </w:rPr>
      </w:pPr>
      <w:r w:rsidRPr="00BC7710">
        <w:rPr>
          <w:rFonts w:ascii="Arial" w:hAnsi="Arial" w:cs="Arial"/>
          <w:b/>
          <w:bCs/>
          <w:sz w:val="22"/>
          <w:szCs w:val="22"/>
        </w:rPr>
        <w:t xml:space="preserve">Palestinian National Authority </w:t>
      </w:r>
      <w:r w:rsidRPr="00BC7710">
        <w:rPr>
          <w:rFonts w:ascii="Arial" w:hAnsi="Arial" w:cs="Arial"/>
          <w:b/>
          <w:sz w:val="22"/>
          <w:szCs w:val="22"/>
          <w:lang w:eastAsia="it-IT"/>
        </w:rPr>
        <w:t xml:space="preserve">Ministry of National Economy, </w:t>
      </w:r>
      <w:r w:rsidRPr="00BC7710">
        <w:rPr>
          <w:rFonts w:ascii="Arial" w:hAnsi="Arial" w:cs="Arial"/>
          <w:sz w:val="22"/>
          <w:szCs w:val="22"/>
          <w:lang w:eastAsia="it-IT"/>
        </w:rPr>
        <w:t>Private Sector Development &amp; Trade Sector Working Group Meeting-PPT, 13 February 2013</w:t>
      </w:r>
    </w:p>
    <w:p w:rsidR="00A574EB" w:rsidRPr="00BC7710" w:rsidRDefault="00A574EB" w:rsidP="00B54C8F">
      <w:pPr>
        <w:pStyle w:val="Paragrafoelenco"/>
        <w:numPr>
          <w:ilvl w:val="0"/>
          <w:numId w:val="49"/>
        </w:numPr>
        <w:spacing w:before="0" w:after="0"/>
        <w:ind w:left="426" w:hanging="426"/>
        <w:rPr>
          <w:rFonts w:ascii="Arial" w:hAnsi="Arial" w:cs="Arial"/>
          <w:b/>
          <w:bCs/>
          <w:sz w:val="22"/>
          <w:szCs w:val="22"/>
        </w:rPr>
      </w:pPr>
      <w:r w:rsidRPr="00BC7710">
        <w:rPr>
          <w:rFonts w:ascii="Arial" w:hAnsi="Arial" w:cs="Arial"/>
          <w:b/>
          <w:bCs/>
          <w:sz w:val="22"/>
          <w:szCs w:val="22"/>
        </w:rPr>
        <w:t xml:space="preserve">Palestinian National Authority </w:t>
      </w:r>
      <w:r w:rsidRPr="00BC7710">
        <w:rPr>
          <w:rFonts w:ascii="Arial" w:hAnsi="Arial" w:cs="Arial"/>
          <w:b/>
          <w:sz w:val="22"/>
          <w:szCs w:val="22"/>
          <w:lang w:eastAsia="it-IT"/>
        </w:rPr>
        <w:t xml:space="preserve">Ministry of National Economy, </w:t>
      </w:r>
      <w:r w:rsidRPr="00BC7710">
        <w:rPr>
          <w:rFonts w:ascii="Arial" w:hAnsi="Arial" w:cs="Arial"/>
          <w:sz w:val="22"/>
          <w:szCs w:val="22"/>
          <w:lang w:eastAsia="it-IT"/>
        </w:rPr>
        <w:t>Private Sector Development-Projects matrix, 13 February 2013</w:t>
      </w:r>
    </w:p>
    <w:p w:rsidR="00A574EB" w:rsidRPr="00BC7710" w:rsidRDefault="00A574EB" w:rsidP="00B54C8F">
      <w:pPr>
        <w:pStyle w:val="Paragrafoelenco"/>
        <w:numPr>
          <w:ilvl w:val="0"/>
          <w:numId w:val="49"/>
        </w:numPr>
        <w:spacing w:before="0" w:after="0"/>
        <w:ind w:left="426" w:hanging="426"/>
        <w:rPr>
          <w:rFonts w:ascii="Arial" w:hAnsi="Arial" w:cs="Arial"/>
          <w:b/>
          <w:bCs/>
          <w:sz w:val="22"/>
          <w:szCs w:val="22"/>
        </w:rPr>
      </w:pPr>
      <w:r w:rsidRPr="00BC7710">
        <w:rPr>
          <w:rFonts w:ascii="Arial" w:hAnsi="Arial" w:cs="Arial"/>
          <w:b/>
          <w:bCs/>
          <w:sz w:val="22"/>
          <w:szCs w:val="22"/>
        </w:rPr>
        <w:t xml:space="preserve">Palestinian National Authority </w:t>
      </w:r>
      <w:r w:rsidRPr="00BC7710">
        <w:rPr>
          <w:rFonts w:ascii="Arial" w:hAnsi="Arial" w:cs="Arial"/>
          <w:b/>
          <w:sz w:val="22"/>
          <w:szCs w:val="22"/>
          <w:lang w:eastAsia="it-IT"/>
        </w:rPr>
        <w:t xml:space="preserve">Ministry of National Economy, </w:t>
      </w:r>
      <w:r w:rsidRPr="00BC7710">
        <w:rPr>
          <w:rFonts w:ascii="Arial" w:hAnsi="Arial" w:cs="Arial"/>
          <w:sz w:val="22"/>
          <w:szCs w:val="22"/>
          <w:lang w:eastAsia="it-IT"/>
        </w:rPr>
        <w:t>PSD Objectives-Projects power point</w:t>
      </w:r>
    </w:p>
    <w:p w:rsidR="00A574EB" w:rsidRPr="00BC7710" w:rsidRDefault="00A574EB" w:rsidP="00B54C8F">
      <w:pPr>
        <w:pStyle w:val="Paragrafoelenco"/>
        <w:numPr>
          <w:ilvl w:val="0"/>
          <w:numId w:val="49"/>
        </w:numPr>
        <w:spacing w:before="0" w:after="0"/>
        <w:ind w:left="426" w:hanging="426"/>
        <w:rPr>
          <w:rFonts w:ascii="Arial" w:hAnsi="Arial" w:cs="Arial"/>
          <w:b/>
          <w:bCs/>
          <w:sz w:val="22"/>
          <w:szCs w:val="22"/>
        </w:rPr>
      </w:pPr>
      <w:r w:rsidRPr="00BC7710">
        <w:rPr>
          <w:rFonts w:ascii="Arial" w:hAnsi="Arial" w:cs="Arial"/>
          <w:b/>
          <w:bCs/>
          <w:sz w:val="22"/>
          <w:szCs w:val="22"/>
        </w:rPr>
        <w:t xml:space="preserve">Palestinian National Authority </w:t>
      </w:r>
      <w:r w:rsidRPr="00BC7710">
        <w:rPr>
          <w:rFonts w:ascii="Arial" w:hAnsi="Arial" w:cs="Arial"/>
          <w:b/>
          <w:sz w:val="22"/>
          <w:szCs w:val="22"/>
          <w:lang w:eastAsia="it-IT"/>
        </w:rPr>
        <w:t xml:space="preserve">Ministry of Planning and Administrative Development, </w:t>
      </w:r>
      <w:r w:rsidRPr="00BC7710">
        <w:rPr>
          <w:rFonts w:ascii="Arial" w:hAnsi="Arial" w:cs="Arial"/>
          <w:sz w:val="22"/>
          <w:szCs w:val="22"/>
          <w:lang w:eastAsia="it-IT"/>
        </w:rPr>
        <w:t>Governance Strategy Group - GSG and SWG Co-Chairs Meeting – Minutes, 22 October 2012</w:t>
      </w:r>
    </w:p>
    <w:p w:rsidR="00A574EB" w:rsidRPr="00BC7710" w:rsidRDefault="00A574EB" w:rsidP="00B54C8F">
      <w:pPr>
        <w:pStyle w:val="Paragrafoelenco"/>
        <w:numPr>
          <w:ilvl w:val="0"/>
          <w:numId w:val="49"/>
        </w:numPr>
        <w:spacing w:before="0" w:after="0"/>
        <w:ind w:left="426" w:hanging="426"/>
        <w:rPr>
          <w:rFonts w:ascii="Arial" w:hAnsi="Arial" w:cs="Arial"/>
          <w:b/>
          <w:bCs/>
          <w:sz w:val="22"/>
          <w:szCs w:val="22"/>
        </w:rPr>
      </w:pPr>
      <w:r w:rsidRPr="00BC7710">
        <w:rPr>
          <w:rFonts w:ascii="Arial" w:hAnsi="Arial" w:cs="Arial"/>
          <w:b/>
          <w:bCs/>
          <w:sz w:val="22"/>
          <w:szCs w:val="22"/>
        </w:rPr>
        <w:t xml:space="preserve">Palestinian National Authority </w:t>
      </w:r>
      <w:r w:rsidRPr="00BC7710">
        <w:rPr>
          <w:rFonts w:ascii="Arial" w:hAnsi="Arial" w:cs="Arial"/>
          <w:b/>
          <w:sz w:val="22"/>
          <w:szCs w:val="22"/>
          <w:lang w:eastAsia="it-IT"/>
        </w:rPr>
        <w:t xml:space="preserve">Ministry of Planning and Administrative Development, </w:t>
      </w:r>
      <w:r w:rsidRPr="00BC7710">
        <w:rPr>
          <w:rFonts w:ascii="Arial" w:hAnsi="Arial" w:cs="Arial"/>
          <w:sz w:val="22"/>
          <w:szCs w:val="22"/>
          <w:lang w:eastAsia="it-IT"/>
        </w:rPr>
        <w:t>The National Strategy to Achieve the MDGs by 2015, June 2012</w:t>
      </w:r>
    </w:p>
    <w:p w:rsidR="00A574EB" w:rsidRPr="00BC7710" w:rsidRDefault="00A574EB" w:rsidP="00B54C8F">
      <w:pPr>
        <w:pStyle w:val="Paragrafoelenco"/>
        <w:numPr>
          <w:ilvl w:val="0"/>
          <w:numId w:val="49"/>
        </w:numPr>
        <w:spacing w:before="0" w:after="0"/>
        <w:ind w:left="426" w:hanging="426"/>
        <w:rPr>
          <w:rFonts w:ascii="Arial" w:hAnsi="Arial" w:cs="Arial"/>
          <w:b/>
          <w:bCs/>
          <w:sz w:val="22"/>
          <w:szCs w:val="22"/>
        </w:rPr>
      </w:pPr>
      <w:r w:rsidRPr="00BC7710">
        <w:rPr>
          <w:rFonts w:ascii="Arial" w:hAnsi="Arial" w:cs="Arial"/>
          <w:b/>
          <w:bCs/>
          <w:sz w:val="22"/>
          <w:szCs w:val="22"/>
        </w:rPr>
        <w:lastRenderedPageBreak/>
        <w:t xml:space="preserve">Palestinian Water Authority, </w:t>
      </w:r>
      <w:r w:rsidRPr="00BC7710">
        <w:rPr>
          <w:rFonts w:ascii="Arial" w:hAnsi="Arial" w:cs="Arial"/>
          <w:sz w:val="22"/>
          <w:szCs w:val="22"/>
          <w:lang w:eastAsia="it-IT"/>
        </w:rPr>
        <w:t>Palestinian Water Sector: Status Summary Report</w:t>
      </w:r>
    </w:p>
    <w:p w:rsidR="00A574EB" w:rsidRPr="00BC7710" w:rsidRDefault="00A574EB" w:rsidP="00B54C8F">
      <w:pPr>
        <w:pStyle w:val="Paragrafoelenco"/>
        <w:numPr>
          <w:ilvl w:val="0"/>
          <w:numId w:val="49"/>
        </w:numPr>
        <w:spacing w:before="0" w:after="0"/>
        <w:ind w:left="426" w:hanging="426"/>
        <w:rPr>
          <w:rFonts w:ascii="Arial" w:hAnsi="Arial" w:cs="Arial"/>
          <w:b/>
          <w:bCs/>
          <w:sz w:val="22"/>
          <w:szCs w:val="22"/>
        </w:rPr>
      </w:pPr>
      <w:r w:rsidRPr="00BC7710">
        <w:rPr>
          <w:rFonts w:ascii="Arial" w:hAnsi="Arial" w:cs="Arial"/>
          <w:b/>
          <w:bCs/>
          <w:sz w:val="22"/>
          <w:szCs w:val="22"/>
        </w:rPr>
        <w:t xml:space="preserve">Palestinian Water Authority, </w:t>
      </w:r>
      <w:r w:rsidRPr="00BC7710">
        <w:rPr>
          <w:rFonts w:ascii="Arial" w:hAnsi="Arial" w:cs="Arial"/>
          <w:sz w:val="22"/>
          <w:szCs w:val="22"/>
          <w:lang w:eastAsia="it-IT"/>
        </w:rPr>
        <w:t>Background Information and Water Resource Management Strategy, Ramallah, West Bank, 2004</w:t>
      </w:r>
    </w:p>
    <w:p w:rsidR="00A574EB" w:rsidRPr="00BC7710" w:rsidRDefault="00A574EB" w:rsidP="00B54C8F">
      <w:pPr>
        <w:pStyle w:val="Paragrafoelenco"/>
        <w:numPr>
          <w:ilvl w:val="0"/>
          <w:numId w:val="49"/>
        </w:numPr>
        <w:spacing w:before="0" w:after="0"/>
        <w:ind w:left="426" w:hanging="426"/>
        <w:rPr>
          <w:rFonts w:ascii="Arial" w:hAnsi="Arial" w:cs="Arial"/>
          <w:b/>
          <w:bCs/>
          <w:sz w:val="22"/>
          <w:szCs w:val="22"/>
        </w:rPr>
      </w:pPr>
      <w:r w:rsidRPr="00BC7710">
        <w:rPr>
          <w:rFonts w:ascii="Arial" w:hAnsi="Arial" w:cs="Arial"/>
          <w:b/>
          <w:bCs/>
          <w:sz w:val="22"/>
          <w:szCs w:val="22"/>
        </w:rPr>
        <w:t xml:space="preserve">Palestinian Water Authority, </w:t>
      </w:r>
      <w:r w:rsidRPr="00BC7710">
        <w:rPr>
          <w:rFonts w:ascii="Arial" w:hAnsi="Arial" w:cs="Arial"/>
          <w:sz w:val="22"/>
          <w:szCs w:val="22"/>
          <w:lang w:eastAsia="it-IT"/>
        </w:rPr>
        <w:t>National Water Strategy for Palestine</w:t>
      </w:r>
      <w:r w:rsidRPr="00BC7710">
        <w:rPr>
          <w:rFonts w:ascii="Arial" w:hAnsi="Arial" w:cs="Arial"/>
          <w:sz w:val="22"/>
          <w:szCs w:val="22"/>
          <w:lang w:eastAsia="it-IT"/>
        </w:rPr>
        <w:br/>
        <w:t>Toward Building a Palestinian State from Water Perspective, December 2012</w:t>
      </w:r>
    </w:p>
    <w:p w:rsidR="00A574EB" w:rsidRPr="00BC7710" w:rsidRDefault="00A574EB" w:rsidP="00B54C8F">
      <w:pPr>
        <w:pStyle w:val="Paragrafoelenco"/>
        <w:numPr>
          <w:ilvl w:val="0"/>
          <w:numId w:val="49"/>
        </w:numPr>
        <w:spacing w:before="0" w:after="0"/>
        <w:ind w:left="426" w:hanging="426"/>
        <w:rPr>
          <w:rFonts w:ascii="Arial" w:hAnsi="Arial" w:cs="Arial"/>
          <w:b/>
          <w:bCs/>
          <w:sz w:val="22"/>
          <w:szCs w:val="22"/>
        </w:rPr>
      </w:pPr>
      <w:r w:rsidRPr="00BC7710">
        <w:rPr>
          <w:rFonts w:ascii="Arial" w:hAnsi="Arial" w:cs="Arial"/>
          <w:b/>
          <w:bCs/>
          <w:sz w:val="22"/>
          <w:szCs w:val="22"/>
        </w:rPr>
        <w:t xml:space="preserve">Palestinian Water Authority, </w:t>
      </w:r>
      <w:r w:rsidRPr="00BC7710">
        <w:rPr>
          <w:rFonts w:ascii="Arial" w:hAnsi="Arial" w:cs="Arial"/>
          <w:sz w:val="22"/>
          <w:szCs w:val="22"/>
          <w:lang w:eastAsia="it-IT"/>
        </w:rPr>
        <w:t xml:space="preserve">Update and plans for the years 2010-2015 </w:t>
      </w:r>
      <w:r w:rsidRPr="00BC7710">
        <w:rPr>
          <w:rFonts w:ascii="Arial" w:hAnsi="Arial" w:cs="Arial"/>
          <w:sz w:val="22"/>
          <w:szCs w:val="22"/>
          <w:lang w:eastAsia="it-IT"/>
        </w:rPr>
        <w:br/>
        <w:t>Development and Reform – PPT, March 2013</w:t>
      </w:r>
    </w:p>
    <w:p w:rsidR="00A574EB" w:rsidRPr="00BC7710" w:rsidRDefault="00A574EB" w:rsidP="00B54C8F">
      <w:pPr>
        <w:pStyle w:val="Paragrafoelenco"/>
        <w:numPr>
          <w:ilvl w:val="0"/>
          <w:numId w:val="49"/>
        </w:numPr>
        <w:spacing w:before="0" w:after="0"/>
        <w:ind w:left="426" w:hanging="426"/>
        <w:rPr>
          <w:rFonts w:ascii="Arial" w:hAnsi="Arial" w:cs="Arial"/>
          <w:b/>
          <w:bCs/>
          <w:sz w:val="22"/>
          <w:szCs w:val="22"/>
        </w:rPr>
      </w:pPr>
      <w:r w:rsidRPr="00BC7710">
        <w:rPr>
          <w:rFonts w:ascii="Arial" w:hAnsi="Arial" w:cs="Arial"/>
          <w:b/>
          <w:sz w:val="22"/>
          <w:szCs w:val="22"/>
        </w:rPr>
        <w:t>PCBS</w:t>
      </w:r>
      <w:r w:rsidRPr="00BC7710">
        <w:rPr>
          <w:rFonts w:ascii="Arial" w:hAnsi="Arial" w:cs="Arial"/>
          <w:sz w:val="22"/>
          <w:szCs w:val="22"/>
        </w:rPr>
        <w:t xml:space="preserve"> Economic Surveys and Roy 1999</w:t>
      </w:r>
    </w:p>
    <w:p w:rsidR="00A574EB" w:rsidRPr="00BC7710" w:rsidRDefault="00A574EB" w:rsidP="00B54C8F">
      <w:pPr>
        <w:pStyle w:val="Paragrafoelenco"/>
        <w:numPr>
          <w:ilvl w:val="0"/>
          <w:numId w:val="49"/>
        </w:numPr>
        <w:spacing w:before="0" w:after="0"/>
        <w:ind w:left="426" w:hanging="426"/>
        <w:rPr>
          <w:rFonts w:ascii="Arial" w:hAnsi="Arial" w:cs="Arial"/>
          <w:b/>
          <w:bCs/>
          <w:sz w:val="22"/>
          <w:szCs w:val="22"/>
        </w:rPr>
      </w:pPr>
      <w:r w:rsidRPr="00BC7710">
        <w:rPr>
          <w:rFonts w:ascii="Arial" w:hAnsi="Arial" w:cs="Arial"/>
          <w:b/>
          <w:bCs/>
          <w:sz w:val="22"/>
          <w:szCs w:val="22"/>
        </w:rPr>
        <w:t xml:space="preserve">Governance Strategy Group, </w:t>
      </w:r>
      <w:r w:rsidRPr="00BC7710">
        <w:rPr>
          <w:rFonts w:ascii="Arial" w:hAnsi="Arial" w:cs="Arial"/>
          <w:sz w:val="22"/>
          <w:szCs w:val="22"/>
          <w:lang w:eastAsia="it-IT"/>
        </w:rPr>
        <w:t>Bi-monthly report, April 2011</w:t>
      </w:r>
    </w:p>
    <w:p w:rsidR="00A574EB" w:rsidRPr="00BC7710" w:rsidRDefault="00A574EB" w:rsidP="00B54C8F">
      <w:pPr>
        <w:pStyle w:val="Paragrafoelenco"/>
        <w:numPr>
          <w:ilvl w:val="0"/>
          <w:numId w:val="49"/>
        </w:numPr>
        <w:spacing w:before="0" w:after="0"/>
        <w:ind w:left="426" w:hanging="426"/>
        <w:rPr>
          <w:rFonts w:ascii="Arial" w:hAnsi="Arial" w:cs="Arial"/>
          <w:b/>
          <w:bCs/>
          <w:sz w:val="22"/>
          <w:szCs w:val="22"/>
        </w:rPr>
      </w:pPr>
      <w:r w:rsidRPr="00BC7710">
        <w:rPr>
          <w:rFonts w:ascii="Arial" w:hAnsi="Arial" w:cs="Arial"/>
          <w:b/>
          <w:bCs/>
          <w:sz w:val="22"/>
          <w:szCs w:val="22"/>
        </w:rPr>
        <w:t xml:space="preserve">Governance Strategy Group, </w:t>
      </w:r>
      <w:r w:rsidRPr="00BC7710">
        <w:rPr>
          <w:rFonts w:ascii="Arial" w:hAnsi="Arial" w:cs="Arial"/>
          <w:sz w:val="22"/>
          <w:szCs w:val="22"/>
          <w:lang w:eastAsia="it-IT"/>
        </w:rPr>
        <w:t>Bi-monthly report, April 2012</w:t>
      </w:r>
    </w:p>
    <w:p w:rsidR="00A574EB" w:rsidRPr="00BC7710" w:rsidRDefault="00A574EB" w:rsidP="00B54C8F">
      <w:pPr>
        <w:pStyle w:val="Paragrafoelenco"/>
        <w:numPr>
          <w:ilvl w:val="0"/>
          <w:numId w:val="49"/>
        </w:numPr>
        <w:spacing w:before="0" w:after="0"/>
        <w:ind w:left="426" w:hanging="426"/>
        <w:rPr>
          <w:rFonts w:ascii="Arial" w:hAnsi="Arial" w:cs="Arial"/>
          <w:b/>
          <w:bCs/>
          <w:sz w:val="22"/>
          <w:szCs w:val="22"/>
        </w:rPr>
      </w:pPr>
      <w:r w:rsidRPr="00BC7710">
        <w:rPr>
          <w:rFonts w:ascii="Arial" w:hAnsi="Arial" w:cs="Arial"/>
          <w:b/>
          <w:bCs/>
          <w:sz w:val="22"/>
          <w:szCs w:val="22"/>
        </w:rPr>
        <w:t xml:space="preserve">Governance Strategy Group, </w:t>
      </w:r>
      <w:r w:rsidRPr="00BC7710">
        <w:rPr>
          <w:rFonts w:ascii="Arial" w:hAnsi="Arial" w:cs="Arial"/>
          <w:sz w:val="22"/>
          <w:szCs w:val="22"/>
          <w:lang w:eastAsia="it-IT"/>
        </w:rPr>
        <w:t>Bi-monthly report, June 2012</w:t>
      </w:r>
    </w:p>
    <w:p w:rsidR="00A574EB" w:rsidRPr="00BC7710" w:rsidRDefault="00A574EB" w:rsidP="00B54C8F">
      <w:pPr>
        <w:pStyle w:val="Paragrafoelenco"/>
        <w:numPr>
          <w:ilvl w:val="0"/>
          <w:numId w:val="49"/>
        </w:numPr>
        <w:spacing w:before="0" w:after="0"/>
        <w:ind w:left="426" w:hanging="426"/>
        <w:rPr>
          <w:rFonts w:ascii="Arial" w:hAnsi="Arial" w:cs="Arial"/>
          <w:b/>
          <w:bCs/>
          <w:sz w:val="22"/>
          <w:szCs w:val="22"/>
        </w:rPr>
      </w:pPr>
      <w:r w:rsidRPr="00BC7710">
        <w:rPr>
          <w:rFonts w:ascii="Arial" w:hAnsi="Arial" w:cs="Arial"/>
          <w:b/>
          <w:bCs/>
          <w:sz w:val="22"/>
          <w:szCs w:val="22"/>
        </w:rPr>
        <w:t xml:space="preserve">Governance Strategy Group, </w:t>
      </w:r>
      <w:r w:rsidRPr="00BC7710">
        <w:rPr>
          <w:rFonts w:ascii="Arial" w:hAnsi="Arial" w:cs="Arial"/>
          <w:sz w:val="22"/>
          <w:szCs w:val="22"/>
          <w:lang w:eastAsia="it-IT"/>
        </w:rPr>
        <w:t>Bi-monthly report, September 2012</w:t>
      </w:r>
    </w:p>
    <w:p w:rsidR="00A574EB" w:rsidRPr="00BC7710" w:rsidRDefault="00A574EB" w:rsidP="00B54C8F">
      <w:pPr>
        <w:pStyle w:val="Paragrafoelenco"/>
        <w:numPr>
          <w:ilvl w:val="0"/>
          <w:numId w:val="49"/>
        </w:numPr>
        <w:spacing w:before="0" w:after="0"/>
        <w:ind w:left="426" w:hanging="426"/>
        <w:rPr>
          <w:rFonts w:ascii="Arial" w:hAnsi="Arial" w:cs="Arial"/>
          <w:b/>
          <w:bCs/>
          <w:sz w:val="22"/>
          <w:szCs w:val="22"/>
        </w:rPr>
      </w:pPr>
      <w:r w:rsidRPr="00BC7710">
        <w:rPr>
          <w:rFonts w:ascii="Arial" w:hAnsi="Arial" w:cs="Arial"/>
          <w:b/>
          <w:bCs/>
          <w:sz w:val="22"/>
          <w:szCs w:val="22"/>
        </w:rPr>
        <w:t xml:space="preserve">Governance Strategy Group, </w:t>
      </w:r>
      <w:r w:rsidRPr="00BC7710">
        <w:rPr>
          <w:rFonts w:ascii="Arial" w:hAnsi="Arial" w:cs="Arial"/>
          <w:sz w:val="22"/>
          <w:szCs w:val="22"/>
          <w:lang w:eastAsia="it-IT"/>
        </w:rPr>
        <w:t>Bi-monthly report, November 2012</w:t>
      </w:r>
    </w:p>
    <w:p w:rsidR="00A574EB" w:rsidRPr="00BC7710" w:rsidRDefault="00A574EB" w:rsidP="00A574EB">
      <w:pPr>
        <w:pStyle w:val="Paragrafoelenco"/>
        <w:spacing w:before="0" w:after="0"/>
        <w:rPr>
          <w:rFonts w:ascii="Arial" w:hAnsi="Arial" w:cs="Arial"/>
          <w:b/>
          <w:bCs/>
          <w:sz w:val="22"/>
          <w:szCs w:val="22"/>
        </w:rPr>
      </w:pPr>
    </w:p>
    <w:p w:rsidR="00A574EB" w:rsidRPr="00BC7710" w:rsidRDefault="00A574EB" w:rsidP="00BC7710">
      <w:pPr>
        <w:spacing w:before="0" w:after="0"/>
        <w:rPr>
          <w:rFonts w:ascii="Arial" w:hAnsi="Arial" w:cs="Arial"/>
          <w:b/>
          <w:bCs/>
          <w:caps/>
          <w:color w:val="365F92"/>
          <w:sz w:val="24"/>
          <w:szCs w:val="24"/>
        </w:rPr>
      </w:pPr>
      <w:r w:rsidRPr="00BC7710">
        <w:rPr>
          <w:rFonts w:ascii="Arial" w:hAnsi="Arial" w:cs="Arial"/>
          <w:b/>
          <w:bCs/>
          <w:caps/>
          <w:color w:val="365F92"/>
          <w:sz w:val="24"/>
          <w:szCs w:val="24"/>
        </w:rPr>
        <w:t>AHLC Documents</w:t>
      </w:r>
    </w:p>
    <w:p w:rsidR="00A574EB" w:rsidRPr="00BC7710" w:rsidRDefault="00A574EB" w:rsidP="00A574EB">
      <w:pPr>
        <w:spacing w:before="0" w:after="0"/>
        <w:rPr>
          <w:rFonts w:ascii="Arial" w:hAnsi="Arial" w:cs="Arial"/>
          <w:b/>
          <w:color w:val="1F497D" w:themeColor="text2"/>
          <w:sz w:val="22"/>
          <w:szCs w:val="22"/>
          <w:lang w:val="it-IT" w:eastAsia="it-IT"/>
        </w:rPr>
      </w:pPr>
      <w:r w:rsidRPr="00BC7710">
        <w:rPr>
          <w:rFonts w:ascii="Arial" w:hAnsi="Arial" w:cs="Arial"/>
          <w:b/>
          <w:color w:val="1F497D" w:themeColor="text2"/>
          <w:sz w:val="22"/>
          <w:szCs w:val="22"/>
          <w:lang w:val="it-IT" w:eastAsia="it-IT"/>
        </w:rPr>
        <w:t xml:space="preserve">AHLC </w:t>
      </w:r>
      <w:proofErr w:type="spellStart"/>
      <w:r w:rsidRPr="00BC7710">
        <w:rPr>
          <w:rFonts w:ascii="Arial" w:hAnsi="Arial" w:cs="Arial"/>
          <w:b/>
          <w:color w:val="1F497D" w:themeColor="text2"/>
          <w:sz w:val="22"/>
          <w:szCs w:val="22"/>
          <w:lang w:val="it-IT" w:eastAsia="it-IT"/>
        </w:rPr>
        <w:t>Reports</w:t>
      </w:r>
      <w:proofErr w:type="spellEnd"/>
    </w:p>
    <w:p w:rsidR="00A574EB" w:rsidRPr="00BC7710" w:rsidRDefault="00A574EB" w:rsidP="00B54C8F">
      <w:pPr>
        <w:pStyle w:val="Paragrafoelenco"/>
        <w:numPr>
          <w:ilvl w:val="0"/>
          <w:numId w:val="50"/>
        </w:numPr>
        <w:spacing w:before="0" w:after="0"/>
        <w:rPr>
          <w:rFonts w:ascii="Arial" w:hAnsi="Arial" w:cs="Arial"/>
          <w:b/>
          <w:bCs/>
          <w:sz w:val="22"/>
          <w:szCs w:val="22"/>
        </w:rPr>
      </w:pPr>
      <w:r w:rsidRPr="00BC7710">
        <w:rPr>
          <w:rFonts w:ascii="Arial" w:hAnsi="Arial" w:cs="Arial"/>
          <w:b/>
          <w:bCs/>
          <w:sz w:val="22"/>
          <w:szCs w:val="22"/>
        </w:rPr>
        <w:t>AHLC-Palestinian National Authority</w:t>
      </w:r>
      <w:r w:rsidRPr="00BC7710">
        <w:rPr>
          <w:rFonts w:ascii="Arial" w:hAnsi="Arial" w:cs="Arial"/>
          <w:sz w:val="22"/>
          <w:szCs w:val="22"/>
          <w:lang w:eastAsia="it-IT"/>
        </w:rPr>
        <w:t xml:space="preserve"> Reforming Donor Coordination in the West Bank and Gaza, 14 December 2005</w:t>
      </w:r>
    </w:p>
    <w:p w:rsidR="00A574EB" w:rsidRPr="00BC7710" w:rsidRDefault="00A574EB" w:rsidP="00B54C8F">
      <w:pPr>
        <w:pStyle w:val="Paragrafoelenco"/>
        <w:numPr>
          <w:ilvl w:val="0"/>
          <w:numId w:val="50"/>
        </w:numPr>
        <w:spacing w:before="0" w:after="0"/>
        <w:rPr>
          <w:rFonts w:ascii="Arial" w:hAnsi="Arial" w:cs="Arial"/>
          <w:b/>
          <w:bCs/>
          <w:sz w:val="22"/>
          <w:szCs w:val="22"/>
        </w:rPr>
      </w:pPr>
      <w:r w:rsidRPr="00BC7710">
        <w:rPr>
          <w:rFonts w:ascii="Arial" w:hAnsi="Arial" w:cs="Arial"/>
          <w:b/>
          <w:bCs/>
          <w:sz w:val="22"/>
          <w:szCs w:val="22"/>
        </w:rPr>
        <w:t xml:space="preserve">AHLC-Palestinian National Authority, </w:t>
      </w:r>
      <w:r w:rsidRPr="00BC7710">
        <w:rPr>
          <w:rFonts w:ascii="Arial" w:hAnsi="Arial" w:cs="Arial"/>
          <w:sz w:val="22"/>
          <w:szCs w:val="22"/>
          <w:lang w:eastAsia="it-IT"/>
        </w:rPr>
        <w:t>Building Palestine Achievements and Challenges-Report of the Palestinian National Authority to the AHLC, 13 April 2010</w:t>
      </w:r>
    </w:p>
    <w:p w:rsidR="00A574EB" w:rsidRPr="00BC7710" w:rsidRDefault="00A574EB" w:rsidP="00B54C8F">
      <w:pPr>
        <w:pStyle w:val="Paragrafoelenco"/>
        <w:numPr>
          <w:ilvl w:val="0"/>
          <w:numId w:val="50"/>
        </w:numPr>
        <w:spacing w:before="0" w:after="0"/>
        <w:rPr>
          <w:rFonts w:ascii="Arial" w:hAnsi="Arial" w:cs="Arial"/>
          <w:b/>
          <w:bCs/>
          <w:sz w:val="22"/>
          <w:szCs w:val="22"/>
        </w:rPr>
      </w:pPr>
      <w:r w:rsidRPr="00BC7710">
        <w:rPr>
          <w:rFonts w:ascii="Arial" w:hAnsi="Arial" w:cs="Arial"/>
          <w:b/>
          <w:bCs/>
          <w:sz w:val="22"/>
          <w:szCs w:val="22"/>
        </w:rPr>
        <w:t>AHLC-Palestinian National Authority</w:t>
      </w:r>
      <w:r w:rsidRPr="00BC7710">
        <w:rPr>
          <w:rFonts w:ascii="Arial" w:hAnsi="Arial" w:cs="Arial"/>
          <w:sz w:val="22"/>
          <w:szCs w:val="22"/>
          <w:lang w:eastAsia="it-IT"/>
        </w:rPr>
        <w:t xml:space="preserve"> Building Palestine Achievements and Challenges-Report of the Palestinian National Authority to the AHLC, 21 September 2010</w:t>
      </w:r>
    </w:p>
    <w:p w:rsidR="00A574EB" w:rsidRPr="00BC7710" w:rsidRDefault="00A574EB" w:rsidP="00B54C8F">
      <w:pPr>
        <w:pStyle w:val="Paragrafoelenco"/>
        <w:numPr>
          <w:ilvl w:val="0"/>
          <w:numId w:val="50"/>
        </w:numPr>
        <w:spacing w:before="0" w:after="0"/>
        <w:rPr>
          <w:rFonts w:ascii="Arial" w:hAnsi="Arial" w:cs="Arial"/>
          <w:b/>
          <w:bCs/>
          <w:sz w:val="22"/>
          <w:szCs w:val="22"/>
        </w:rPr>
      </w:pPr>
      <w:r w:rsidRPr="00BC7710">
        <w:rPr>
          <w:rFonts w:ascii="Arial" w:hAnsi="Arial" w:cs="Arial"/>
          <w:b/>
          <w:bCs/>
          <w:sz w:val="22"/>
          <w:szCs w:val="22"/>
        </w:rPr>
        <w:t xml:space="preserve">AHLC-Palestinian National Authority, </w:t>
      </w:r>
      <w:r w:rsidRPr="00BC7710">
        <w:rPr>
          <w:rFonts w:ascii="Arial" w:hAnsi="Arial" w:cs="Arial"/>
          <w:sz w:val="22"/>
          <w:szCs w:val="22"/>
          <w:lang w:eastAsia="it-IT"/>
        </w:rPr>
        <w:t>Building Palestine Achievements and Challenges-Report of the Palestinian National Authority to the AHLC, 18 September 2011</w:t>
      </w:r>
    </w:p>
    <w:p w:rsidR="00A574EB" w:rsidRPr="00BC7710" w:rsidRDefault="00A574EB" w:rsidP="00B54C8F">
      <w:pPr>
        <w:pStyle w:val="Paragrafoelenco"/>
        <w:numPr>
          <w:ilvl w:val="0"/>
          <w:numId w:val="50"/>
        </w:numPr>
        <w:spacing w:before="0" w:after="0"/>
        <w:rPr>
          <w:rFonts w:ascii="Arial" w:hAnsi="Arial" w:cs="Arial"/>
          <w:b/>
          <w:bCs/>
          <w:sz w:val="22"/>
          <w:szCs w:val="22"/>
        </w:rPr>
      </w:pPr>
      <w:r w:rsidRPr="00BC7710">
        <w:rPr>
          <w:rFonts w:ascii="Arial" w:hAnsi="Arial" w:cs="Arial"/>
          <w:b/>
          <w:bCs/>
          <w:sz w:val="22"/>
          <w:szCs w:val="22"/>
        </w:rPr>
        <w:t xml:space="preserve">AHLC-Palestinian National Authority, </w:t>
      </w:r>
      <w:r w:rsidRPr="00BC7710">
        <w:rPr>
          <w:rFonts w:ascii="Arial" w:hAnsi="Arial" w:cs="Arial"/>
          <w:sz w:val="22"/>
          <w:szCs w:val="22"/>
          <w:lang w:eastAsia="it-IT"/>
        </w:rPr>
        <w:t>Equitable Development: Moving Forward Despite the Occupation-The Palestinian National Authority’s Position Paper to the AHLC, 21 March 2012</w:t>
      </w:r>
    </w:p>
    <w:p w:rsidR="00A574EB" w:rsidRPr="00BC7710" w:rsidRDefault="00A574EB" w:rsidP="00B54C8F">
      <w:pPr>
        <w:pStyle w:val="Paragrafoelenco"/>
        <w:numPr>
          <w:ilvl w:val="0"/>
          <w:numId w:val="50"/>
        </w:numPr>
        <w:spacing w:before="0" w:after="0"/>
        <w:rPr>
          <w:rFonts w:ascii="Arial" w:hAnsi="Arial" w:cs="Arial"/>
          <w:b/>
          <w:bCs/>
          <w:sz w:val="22"/>
          <w:szCs w:val="22"/>
        </w:rPr>
      </w:pPr>
      <w:r w:rsidRPr="00BC7710">
        <w:rPr>
          <w:rFonts w:ascii="Arial" w:hAnsi="Arial" w:cs="Arial"/>
          <w:b/>
          <w:bCs/>
          <w:sz w:val="22"/>
          <w:szCs w:val="22"/>
        </w:rPr>
        <w:t xml:space="preserve">AHLC-Palestinian National Authority, </w:t>
      </w:r>
      <w:r w:rsidRPr="00BC7710">
        <w:rPr>
          <w:rFonts w:ascii="Arial" w:hAnsi="Arial" w:cs="Arial"/>
          <w:sz w:val="22"/>
          <w:szCs w:val="22"/>
          <w:lang w:eastAsia="it-IT"/>
        </w:rPr>
        <w:t>Moving Beyond the Status Quo: Safeguarding the two - State Solution-The Palestinian National Authority’s Position Report to the AHLC, 23 September 2012</w:t>
      </w:r>
    </w:p>
    <w:p w:rsidR="00A574EB" w:rsidRPr="00BC7710" w:rsidRDefault="00A574EB" w:rsidP="00B54C8F">
      <w:pPr>
        <w:pStyle w:val="Paragrafoelenco"/>
        <w:numPr>
          <w:ilvl w:val="0"/>
          <w:numId w:val="50"/>
        </w:numPr>
        <w:spacing w:before="0" w:after="0"/>
        <w:rPr>
          <w:rFonts w:ascii="Arial" w:hAnsi="Arial" w:cs="Arial"/>
          <w:b/>
          <w:bCs/>
          <w:sz w:val="22"/>
          <w:szCs w:val="22"/>
        </w:rPr>
      </w:pPr>
      <w:r w:rsidRPr="00BC7710">
        <w:rPr>
          <w:rFonts w:ascii="Arial" w:hAnsi="Arial" w:cs="Arial"/>
          <w:b/>
          <w:bCs/>
          <w:sz w:val="22"/>
          <w:szCs w:val="22"/>
        </w:rPr>
        <w:t xml:space="preserve">AHLC-PNA - </w:t>
      </w:r>
      <w:r w:rsidRPr="00BC7710">
        <w:rPr>
          <w:rFonts w:ascii="Arial" w:hAnsi="Arial" w:cs="Arial"/>
          <w:b/>
          <w:sz w:val="22"/>
          <w:szCs w:val="22"/>
          <w:lang w:eastAsia="it-IT"/>
        </w:rPr>
        <w:t>Ministry of Planning and Administrative Development</w:t>
      </w:r>
      <w:r w:rsidRPr="00BC7710">
        <w:rPr>
          <w:rFonts w:ascii="Arial" w:hAnsi="Arial" w:cs="Arial"/>
          <w:sz w:val="22"/>
          <w:szCs w:val="22"/>
          <w:lang w:eastAsia="it-IT"/>
        </w:rPr>
        <w:t>, Building Palestine an update on PRDP implementation, 8 June 2009</w:t>
      </w:r>
    </w:p>
    <w:p w:rsidR="00A574EB" w:rsidRPr="00BC7710" w:rsidRDefault="00A574EB" w:rsidP="00B54C8F">
      <w:pPr>
        <w:pStyle w:val="Paragrafoelenco"/>
        <w:numPr>
          <w:ilvl w:val="0"/>
          <w:numId w:val="50"/>
        </w:numPr>
        <w:spacing w:before="0" w:after="0"/>
        <w:rPr>
          <w:rFonts w:ascii="Arial" w:hAnsi="Arial" w:cs="Arial"/>
          <w:b/>
          <w:bCs/>
          <w:sz w:val="22"/>
          <w:szCs w:val="22"/>
        </w:rPr>
      </w:pPr>
      <w:r w:rsidRPr="00BC7710">
        <w:rPr>
          <w:rFonts w:ascii="Arial" w:hAnsi="Arial" w:cs="Arial"/>
          <w:b/>
          <w:bCs/>
          <w:sz w:val="22"/>
          <w:szCs w:val="22"/>
        </w:rPr>
        <w:t xml:space="preserve">AHLC-World Bank, </w:t>
      </w:r>
      <w:r w:rsidRPr="00BC7710">
        <w:rPr>
          <w:rFonts w:ascii="Arial" w:hAnsi="Arial" w:cs="Arial"/>
          <w:sz w:val="22"/>
          <w:szCs w:val="22"/>
          <w:lang w:eastAsia="it-IT"/>
        </w:rPr>
        <w:t>Palestinian economy and prospects for its recovery: economic Monitoring Report to the Ad Hoc Liaison Committee - Number 1, December 2005</w:t>
      </w:r>
    </w:p>
    <w:p w:rsidR="00A574EB" w:rsidRPr="00BC7710" w:rsidRDefault="00A574EB" w:rsidP="00B54C8F">
      <w:pPr>
        <w:pStyle w:val="Paragrafoelenco"/>
        <w:numPr>
          <w:ilvl w:val="0"/>
          <w:numId w:val="50"/>
        </w:numPr>
        <w:spacing w:before="0" w:after="0"/>
        <w:rPr>
          <w:rFonts w:ascii="Arial" w:hAnsi="Arial" w:cs="Arial"/>
          <w:b/>
          <w:bCs/>
          <w:sz w:val="22"/>
          <w:szCs w:val="22"/>
        </w:rPr>
      </w:pPr>
      <w:r w:rsidRPr="00BC7710">
        <w:rPr>
          <w:rFonts w:ascii="Arial" w:hAnsi="Arial" w:cs="Arial"/>
          <w:b/>
          <w:bCs/>
          <w:sz w:val="22"/>
          <w:szCs w:val="22"/>
        </w:rPr>
        <w:t xml:space="preserve">AHLC-World Bank, </w:t>
      </w:r>
      <w:r w:rsidRPr="00BC7710">
        <w:rPr>
          <w:rFonts w:ascii="Arial" w:hAnsi="Arial" w:cs="Arial"/>
          <w:sz w:val="22"/>
          <w:szCs w:val="22"/>
          <w:lang w:eastAsia="it-IT"/>
        </w:rPr>
        <w:t>Two Years after London: Restarting Palestinian Economic Recovery Economic Monitoring Report to the Ad Hoc Liaison Committee, 24 September 2007</w:t>
      </w:r>
    </w:p>
    <w:p w:rsidR="00A574EB" w:rsidRPr="00BC7710" w:rsidRDefault="00A574EB" w:rsidP="00B54C8F">
      <w:pPr>
        <w:pStyle w:val="Paragrafoelenco"/>
        <w:numPr>
          <w:ilvl w:val="0"/>
          <w:numId w:val="50"/>
        </w:numPr>
        <w:spacing w:before="0" w:after="0"/>
        <w:rPr>
          <w:rFonts w:ascii="Arial" w:hAnsi="Arial" w:cs="Arial"/>
          <w:b/>
          <w:bCs/>
          <w:sz w:val="22"/>
          <w:szCs w:val="22"/>
        </w:rPr>
      </w:pPr>
      <w:r w:rsidRPr="00BC7710">
        <w:rPr>
          <w:rFonts w:ascii="Arial" w:hAnsi="Arial" w:cs="Arial"/>
          <w:b/>
          <w:bCs/>
          <w:sz w:val="22"/>
          <w:szCs w:val="22"/>
        </w:rPr>
        <w:t>AHLC-World Bank,</w:t>
      </w:r>
      <w:r w:rsidRPr="00BC7710">
        <w:rPr>
          <w:rFonts w:ascii="Arial" w:hAnsi="Arial" w:cs="Arial"/>
          <w:sz w:val="22"/>
          <w:szCs w:val="22"/>
          <w:lang w:eastAsia="it-IT"/>
        </w:rPr>
        <w:t xml:space="preserve"> Palestinian economic prospects: aid, access and reform-Economic Monitoring Report to the Ad Hoc Liaison Committee, 22 September 2008</w:t>
      </w:r>
    </w:p>
    <w:p w:rsidR="00A574EB" w:rsidRPr="00BC7710" w:rsidRDefault="00A574EB" w:rsidP="00B54C8F">
      <w:pPr>
        <w:pStyle w:val="Paragrafoelenco"/>
        <w:numPr>
          <w:ilvl w:val="0"/>
          <w:numId w:val="50"/>
        </w:numPr>
        <w:spacing w:before="0" w:after="0"/>
        <w:rPr>
          <w:rFonts w:ascii="Arial" w:hAnsi="Arial" w:cs="Arial"/>
          <w:b/>
          <w:bCs/>
          <w:sz w:val="22"/>
          <w:szCs w:val="22"/>
        </w:rPr>
      </w:pPr>
      <w:r w:rsidRPr="00BC7710">
        <w:rPr>
          <w:rFonts w:ascii="Arial" w:hAnsi="Arial" w:cs="Arial"/>
          <w:b/>
          <w:bCs/>
          <w:sz w:val="22"/>
          <w:szCs w:val="22"/>
        </w:rPr>
        <w:t xml:space="preserve">AHLC-World Bank, </w:t>
      </w:r>
      <w:r w:rsidRPr="00BC7710">
        <w:rPr>
          <w:rFonts w:ascii="Arial" w:hAnsi="Arial" w:cs="Arial"/>
          <w:sz w:val="22"/>
          <w:szCs w:val="22"/>
          <w:lang w:eastAsia="it-IT"/>
        </w:rPr>
        <w:t>Implementing the Palestinian Reform and Development</w:t>
      </w:r>
      <w:r w:rsidRPr="00BC7710">
        <w:rPr>
          <w:rFonts w:ascii="Arial" w:hAnsi="Arial" w:cs="Arial"/>
          <w:sz w:val="22"/>
          <w:szCs w:val="22"/>
          <w:lang w:eastAsia="it-IT"/>
        </w:rPr>
        <w:br/>
        <w:t>Agenda Economic Monitoring Report to the Ad Hoc Liaison Committee, 2 May 2008</w:t>
      </w:r>
    </w:p>
    <w:p w:rsidR="00A574EB" w:rsidRPr="00BC7710" w:rsidRDefault="00A574EB" w:rsidP="00B54C8F">
      <w:pPr>
        <w:pStyle w:val="Paragrafoelenco"/>
        <w:numPr>
          <w:ilvl w:val="0"/>
          <w:numId w:val="50"/>
        </w:numPr>
        <w:spacing w:before="0" w:after="0"/>
        <w:rPr>
          <w:rFonts w:ascii="Arial" w:hAnsi="Arial" w:cs="Arial"/>
          <w:b/>
          <w:bCs/>
          <w:sz w:val="22"/>
          <w:szCs w:val="22"/>
        </w:rPr>
      </w:pPr>
      <w:r w:rsidRPr="00BC7710">
        <w:rPr>
          <w:rFonts w:ascii="Arial" w:hAnsi="Arial" w:cs="Arial"/>
          <w:b/>
          <w:bCs/>
          <w:sz w:val="22"/>
          <w:szCs w:val="22"/>
        </w:rPr>
        <w:t xml:space="preserve">AHLC-World Bank, </w:t>
      </w:r>
      <w:r w:rsidRPr="00BC7710">
        <w:rPr>
          <w:rFonts w:ascii="Arial" w:hAnsi="Arial" w:cs="Arial"/>
          <w:sz w:val="22"/>
          <w:szCs w:val="22"/>
          <w:lang w:eastAsia="it-IT"/>
        </w:rPr>
        <w:t>A Palestinian State in Two Years: Institutions for Economic Revival, September 22, 2009</w:t>
      </w:r>
    </w:p>
    <w:p w:rsidR="00A574EB" w:rsidRPr="00BC7710" w:rsidRDefault="00A574EB" w:rsidP="00B54C8F">
      <w:pPr>
        <w:pStyle w:val="Paragrafoelenco"/>
        <w:numPr>
          <w:ilvl w:val="0"/>
          <w:numId w:val="50"/>
        </w:numPr>
        <w:spacing w:before="0" w:after="0"/>
        <w:rPr>
          <w:rFonts w:ascii="Arial" w:hAnsi="Arial" w:cs="Arial"/>
          <w:b/>
          <w:bCs/>
          <w:sz w:val="22"/>
          <w:szCs w:val="22"/>
        </w:rPr>
      </w:pPr>
      <w:r w:rsidRPr="00BC7710">
        <w:rPr>
          <w:rFonts w:ascii="Arial" w:hAnsi="Arial" w:cs="Arial"/>
          <w:b/>
          <w:bCs/>
          <w:sz w:val="22"/>
          <w:szCs w:val="22"/>
        </w:rPr>
        <w:t>AHLC-World Bank,</w:t>
      </w:r>
      <w:r w:rsidRPr="00BC7710">
        <w:rPr>
          <w:rFonts w:ascii="Arial" w:hAnsi="Arial" w:cs="Arial"/>
          <w:sz w:val="22"/>
          <w:szCs w:val="22"/>
          <w:lang w:eastAsia="it-IT"/>
        </w:rPr>
        <w:t xml:space="preserve"> Palestinian Economic Prospects: Gaza Recovery and West Bank Revival Economic Monitoring Report to the Ad Hoc Liaison Committee, 8 June 2009</w:t>
      </w:r>
    </w:p>
    <w:p w:rsidR="00A574EB" w:rsidRPr="00BC7710" w:rsidRDefault="00A574EB" w:rsidP="00B54C8F">
      <w:pPr>
        <w:pStyle w:val="Paragrafoelenco"/>
        <w:numPr>
          <w:ilvl w:val="0"/>
          <w:numId w:val="50"/>
        </w:numPr>
        <w:spacing w:before="0" w:after="0"/>
        <w:rPr>
          <w:rFonts w:ascii="Arial" w:hAnsi="Arial" w:cs="Arial"/>
          <w:b/>
          <w:bCs/>
          <w:sz w:val="22"/>
          <w:szCs w:val="22"/>
        </w:rPr>
      </w:pPr>
      <w:r w:rsidRPr="00BC7710">
        <w:rPr>
          <w:rFonts w:ascii="Arial" w:hAnsi="Arial" w:cs="Arial"/>
          <w:b/>
          <w:bCs/>
          <w:sz w:val="22"/>
          <w:szCs w:val="22"/>
        </w:rPr>
        <w:t xml:space="preserve">AHLC-World Bank, </w:t>
      </w:r>
      <w:r w:rsidRPr="00BC7710">
        <w:rPr>
          <w:rFonts w:ascii="Arial" w:hAnsi="Arial" w:cs="Arial"/>
          <w:sz w:val="22"/>
          <w:szCs w:val="22"/>
          <w:lang w:eastAsia="it-IT"/>
        </w:rPr>
        <w:t>The Underpinnings of the Future Palestinian State:</w:t>
      </w:r>
      <w:r w:rsidRPr="00BC7710">
        <w:rPr>
          <w:rFonts w:ascii="Arial" w:hAnsi="Arial" w:cs="Arial"/>
          <w:sz w:val="22"/>
          <w:szCs w:val="22"/>
          <w:lang w:eastAsia="it-IT"/>
        </w:rPr>
        <w:br/>
        <w:t>Sustainable Growth and Institutions-Economic Monitoring Report to the Ad Hoc Liaison Committee, 21 September 2010</w:t>
      </w:r>
    </w:p>
    <w:p w:rsidR="00A574EB" w:rsidRPr="00BC7710" w:rsidRDefault="00A574EB" w:rsidP="00B54C8F">
      <w:pPr>
        <w:pStyle w:val="Paragrafoelenco"/>
        <w:numPr>
          <w:ilvl w:val="0"/>
          <w:numId w:val="50"/>
        </w:numPr>
        <w:spacing w:before="0" w:after="0"/>
        <w:rPr>
          <w:rFonts w:ascii="Arial" w:hAnsi="Arial" w:cs="Arial"/>
          <w:b/>
          <w:bCs/>
          <w:sz w:val="22"/>
          <w:szCs w:val="22"/>
        </w:rPr>
      </w:pPr>
      <w:r w:rsidRPr="00BC7710">
        <w:rPr>
          <w:rFonts w:ascii="Arial" w:hAnsi="Arial" w:cs="Arial"/>
          <w:b/>
          <w:bCs/>
          <w:sz w:val="22"/>
          <w:szCs w:val="22"/>
        </w:rPr>
        <w:t>AHLC-World Bank,</w:t>
      </w:r>
      <w:r w:rsidRPr="00BC7710">
        <w:rPr>
          <w:rFonts w:ascii="Arial" w:hAnsi="Arial" w:cs="Arial"/>
          <w:sz w:val="22"/>
          <w:szCs w:val="22"/>
          <w:lang w:eastAsia="it-IT"/>
        </w:rPr>
        <w:t xml:space="preserve"> Towards a Palestinian State: Reforms for Fiscal Strengthening -Economic Monitoring Report to the Ad Hoc Liaison Committee, 13 April 2010</w:t>
      </w:r>
    </w:p>
    <w:p w:rsidR="00A574EB" w:rsidRPr="00BC7710" w:rsidRDefault="00A574EB" w:rsidP="00B54C8F">
      <w:pPr>
        <w:pStyle w:val="Paragrafoelenco"/>
        <w:numPr>
          <w:ilvl w:val="0"/>
          <w:numId w:val="50"/>
        </w:numPr>
        <w:spacing w:before="0" w:after="0"/>
        <w:rPr>
          <w:rFonts w:ascii="Arial" w:hAnsi="Arial" w:cs="Arial"/>
          <w:b/>
          <w:bCs/>
          <w:sz w:val="22"/>
          <w:szCs w:val="22"/>
        </w:rPr>
      </w:pPr>
      <w:r w:rsidRPr="00BC7710">
        <w:rPr>
          <w:rFonts w:ascii="Arial" w:hAnsi="Arial" w:cs="Arial"/>
          <w:b/>
          <w:bCs/>
          <w:sz w:val="22"/>
          <w:szCs w:val="22"/>
        </w:rPr>
        <w:t>AHLC-World Bank,</w:t>
      </w:r>
      <w:r w:rsidRPr="00BC7710">
        <w:rPr>
          <w:rFonts w:ascii="Arial" w:hAnsi="Arial" w:cs="Arial"/>
          <w:sz w:val="22"/>
          <w:szCs w:val="22"/>
          <w:lang w:eastAsia="it-IT"/>
        </w:rPr>
        <w:t xml:space="preserve"> Building the Palestinian State: Sustaining Growth, Institutions, and Service Delivery - Economic Monitoring Report to the Ad Hoc Liaison Committee, 13 April 2011</w:t>
      </w:r>
    </w:p>
    <w:p w:rsidR="00A574EB" w:rsidRPr="00BC7710" w:rsidRDefault="00A574EB" w:rsidP="00B54C8F">
      <w:pPr>
        <w:pStyle w:val="Paragrafoelenco"/>
        <w:numPr>
          <w:ilvl w:val="0"/>
          <w:numId w:val="50"/>
        </w:numPr>
        <w:spacing w:before="0" w:after="0"/>
        <w:rPr>
          <w:rFonts w:ascii="Arial" w:hAnsi="Arial" w:cs="Arial"/>
          <w:b/>
          <w:bCs/>
          <w:sz w:val="22"/>
          <w:szCs w:val="22"/>
        </w:rPr>
      </w:pPr>
      <w:r w:rsidRPr="00BC7710">
        <w:rPr>
          <w:rFonts w:ascii="Arial" w:hAnsi="Arial" w:cs="Arial"/>
          <w:b/>
          <w:bCs/>
          <w:sz w:val="22"/>
          <w:szCs w:val="22"/>
        </w:rPr>
        <w:t xml:space="preserve">AHLC-World Bank, </w:t>
      </w:r>
      <w:r w:rsidRPr="00BC7710">
        <w:rPr>
          <w:rFonts w:ascii="Arial" w:hAnsi="Arial" w:cs="Arial"/>
          <w:bCs/>
          <w:sz w:val="22"/>
          <w:szCs w:val="22"/>
        </w:rPr>
        <w:t>Sustaining achievements in Palestinian Institution-Building and economic growth-economic monitoring report to the Ad Hoc Liaison Committee, 28 September 2011</w:t>
      </w:r>
    </w:p>
    <w:p w:rsidR="00A574EB" w:rsidRPr="00BC7710" w:rsidRDefault="00A574EB" w:rsidP="00B54C8F">
      <w:pPr>
        <w:pStyle w:val="Paragrafoelenco"/>
        <w:numPr>
          <w:ilvl w:val="0"/>
          <w:numId w:val="50"/>
        </w:numPr>
        <w:spacing w:before="0" w:after="0"/>
        <w:rPr>
          <w:rFonts w:ascii="Arial" w:hAnsi="Arial" w:cs="Arial"/>
          <w:b/>
          <w:bCs/>
          <w:sz w:val="22"/>
          <w:szCs w:val="22"/>
        </w:rPr>
      </w:pPr>
      <w:r w:rsidRPr="00BC7710">
        <w:rPr>
          <w:rFonts w:ascii="Arial" w:hAnsi="Arial" w:cs="Arial"/>
          <w:b/>
          <w:bCs/>
          <w:sz w:val="22"/>
          <w:szCs w:val="22"/>
        </w:rPr>
        <w:lastRenderedPageBreak/>
        <w:t xml:space="preserve">AHLC-World Bank, </w:t>
      </w:r>
      <w:r w:rsidRPr="00BC7710">
        <w:rPr>
          <w:rFonts w:ascii="Arial" w:hAnsi="Arial" w:cs="Arial"/>
          <w:sz w:val="22"/>
          <w:szCs w:val="22"/>
          <w:lang w:eastAsia="it-IT"/>
        </w:rPr>
        <w:t>Fiscal Crisis, Economic Prospects-The Imperative for Economic Cohesion in the Palestinian Territories-Economic Monitoring Report to the Ad Hoc Liaison Committee, 23  September 2012</w:t>
      </w:r>
    </w:p>
    <w:p w:rsidR="00A574EB" w:rsidRPr="00BC7710" w:rsidRDefault="00A574EB" w:rsidP="00B54C8F">
      <w:pPr>
        <w:pStyle w:val="Paragrafoelenco"/>
        <w:numPr>
          <w:ilvl w:val="0"/>
          <w:numId w:val="50"/>
        </w:numPr>
        <w:spacing w:before="0" w:after="0"/>
        <w:rPr>
          <w:rFonts w:ascii="Arial" w:hAnsi="Arial" w:cs="Arial"/>
          <w:b/>
          <w:bCs/>
          <w:sz w:val="22"/>
          <w:szCs w:val="22"/>
        </w:rPr>
      </w:pPr>
      <w:r w:rsidRPr="00BC7710">
        <w:rPr>
          <w:rFonts w:ascii="Arial" w:hAnsi="Arial" w:cs="Arial"/>
          <w:b/>
          <w:bCs/>
          <w:sz w:val="22"/>
          <w:szCs w:val="22"/>
        </w:rPr>
        <w:t>AHLC-World Bank,</w:t>
      </w:r>
      <w:r w:rsidRPr="00BC7710">
        <w:rPr>
          <w:rFonts w:ascii="Arial" w:hAnsi="Arial" w:cs="Arial"/>
          <w:sz w:val="22"/>
          <w:szCs w:val="22"/>
          <w:lang w:eastAsia="it-IT"/>
        </w:rPr>
        <w:t xml:space="preserve"> Stagnation or Revival? Palestinian Economic Prospects-Economic Monitoring Report to the Ad Hoc Liaison Committee, 21 March 2012</w:t>
      </w:r>
    </w:p>
    <w:p w:rsidR="00A574EB" w:rsidRPr="00BC7710" w:rsidRDefault="00A574EB" w:rsidP="00B54C8F">
      <w:pPr>
        <w:pStyle w:val="Paragrafoelenco"/>
        <w:numPr>
          <w:ilvl w:val="0"/>
          <w:numId w:val="50"/>
        </w:numPr>
        <w:spacing w:before="0" w:after="0"/>
        <w:rPr>
          <w:rFonts w:ascii="Arial" w:hAnsi="Arial" w:cs="Arial"/>
          <w:b/>
          <w:bCs/>
          <w:sz w:val="22"/>
          <w:szCs w:val="22"/>
        </w:rPr>
      </w:pPr>
      <w:r w:rsidRPr="00BC7710">
        <w:rPr>
          <w:rFonts w:ascii="Arial" w:hAnsi="Arial" w:cs="Arial"/>
          <w:b/>
          <w:bCs/>
          <w:sz w:val="22"/>
          <w:szCs w:val="22"/>
        </w:rPr>
        <w:t xml:space="preserve">AHLC – IMF, </w:t>
      </w:r>
      <w:r w:rsidRPr="00BC7710">
        <w:rPr>
          <w:rFonts w:ascii="Arial" w:hAnsi="Arial" w:cs="Arial"/>
          <w:bCs/>
          <w:sz w:val="22"/>
          <w:szCs w:val="22"/>
        </w:rPr>
        <w:t>Macroeconomic Development and Outlook in the West Bank and Gaza, 14December 2005</w:t>
      </w:r>
    </w:p>
    <w:p w:rsidR="00A574EB" w:rsidRPr="00BC7710" w:rsidRDefault="00A574EB" w:rsidP="00B54C8F">
      <w:pPr>
        <w:pStyle w:val="Paragrafoelenco"/>
        <w:numPr>
          <w:ilvl w:val="0"/>
          <w:numId w:val="50"/>
        </w:numPr>
        <w:spacing w:before="0" w:after="0"/>
        <w:rPr>
          <w:rFonts w:ascii="Arial" w:hAnsi="Arial" w:cs="Arial"/>
          <w:b/>
          <w:bCs/>
          <w:sz w:val="22"/>
          <w:szCs w:val="22"/>
        </w:rPr>
      </w:pPr>
      <w:r w:rsidRPr="00BC7710">
        <w:rPr>
          <w:rFonts w:ascii="Arial" w:hAnsi="Arial" w:cs="Arial"/>
          <w:b/>
          <w:bCs/>
          <w:sz w:val="22"/>
          <w:szCs w:val="22"/>
        </w:rPr>
        <w:t xml:space="preserve">AHLC – IMF, </w:t>
      </w:r>
      <w:r w:rsidRPr="00BC7710">
        <w:rPr>
          <w:rFonts w:ascii="Arial" w:hAnsi="Arial" w:cs="Arial"/>
          <w:bCs/>
          <w:sz w:val="22"/>
          <w:szCs w:val="22"/>
        </w:rPr>
        <w:t>Macroeconomic and Fiscal Developments in the West Bank and Gaza, 24 September 2007</w:t>
      </w:r>
    </w:p>
    <w:p w:rsidR="00A574EB" w:rsidRPr="00BC7710" w:rsidRDefault="00A574EB" w:rsidP="00B54C8F">
      <w:pPr>
        <w:pStyle w:val="Paragrafoelenco"/>
        <w:numPr>
          <w:ilvl w:val="0"/>
          <w:numId w:val="50"/>
        </w:numPr>
        <w:spacing w:before="0" w:after="0"/>
        <w:rPr>
          <w:rFonts w:ascii="Arial" w:hAnsi="Arial" w:cs="Arial"/>
          <w:b/>
          <w:bCs/>
          <w:sz w:val="22"/>
          <w:szCs w:val="22"/>
        </w:rPr>
      </w:pPr>
      <w:r w:rsidRPr="00BC7710">
        <w:rPr>
          <w:rFonts w:ascii="Arial" w:hAnsi="Arial" w:cs="Arial"/>
          <w:b/>
          <w:bCs/>
          <w:sz w:val="22"/>
          <w:szCs w:val="22"/>
        </w:rPr>
        <w:t xml:space="preserve">AHLC – IMF, </w:t>
      </w:r>
      <w:r w:rsidRPr="00BC7710">
        <w:rPr>
          <w:rFonts w:ascii="Arial" w:hAnsi="Arial" w:cs="Arial"/>
          <w:bCs/>
          <w:sz w:val="22"/>
          <w:szCs w:val="22"/>
        </w:rPr>
        <w:t>Macroeconomic and Fiscal Framework for the West Bank and Gaza, First Review of Progress, 2 May 2008</w:t>
      </w:r>
    </w:p>
    <w:p w:rsidR="00A574EB" w:rsidRPr="00BC7710" w:rsidRDefault="00A574EB" w:rsidP="00B54C8F">
      <w:pPr>
        <w:pStyle w:val="Paragrafoelenco"/>
        <w:numPr>
          <w:ilvl w:val="0"/>
          <w:numId w:val="50"/>
        </w:numPr>
        <w:spacing w:before="0" w:after="0"/>
        <w:rPr>
          <w:rFonts w:ascii="Arial" w:hAnsi="Arial" w:cs="Arial"/>
          <w:b/>
          <w:bCs/>
          <w:sz w:val="22"/>
          <w:szCs w:val="22"/>
        </w:rPr>
      </w:pPr>
      <w:r w:rsidRPr="00BC7710">
        <w:rPr>
          <w:rFonts w:ascii="Arial" w:hAnsi="Arial" w:cs="Arial"/>
          <w:b/>
          <w:bCs/>
          <w:sz w:val="22"/>
          <w:szCs w:val="22"/>
        </w:rPr>
        <w:t xml:space="preserve">AHLC – IMF, </w:t>
      </w:r>
      <w:r w:rsidRPr="00BC7710">
        <w:rPr>
          <w:rFonts w:ascii="Arial" w:hAnsi="Arial" w:cs="Arial"/>
          <w:bCs/>
          <w:sz w:val="22"/>
          <w:szCs w:val="22"/>
        </w:rPr>
        <w:t>Macroeconomic and Fiscal Framework for the West Bank and Gaza, Second Review of Progress, 22 September 2008</w:t>
      </w:r>
    </w:p>
    <w:p w:rsidR="00A574EB" w:rsidRPr="00BC7710" w:rsidRDefault="00A574EB" w:rsidP="00B54C8F">
      <w:pPr>
        <w:pStyle w:val="Paragrafoelenco"/>
        <w:numPr>
          <w:ilvl w:val="0"/>
          <w:numId w:val="50"/>
        </w:numPr>
        <w:spacing w:before="0" w:after="0"/>
        <w:rPr>
          <w:rFonts w:ascii="Arial" w:hAnsi="Arial" w:cs="Arial"/>
          <w:b/>
          <w:bCs/>
          <w:sz w:val="22"/>
          <w:szCs w:val="22"/>
        </w:rPr>
      </w:pPr>
      <w:r w:rsidRPr="00BC7710">
        <w:rPr>
          <w:rFonts w:ascii="Arial" w:hAnsi="Arial" w:cs="Arial"/>
          <w:b/>
          <w:bCs/>
          <w:sz w:val="22"/>
          <w:szCs w:val="22"/>
        </w:rPr>
        <w:t xml:space="preserve">AHLC – IMF, </w:t>
      </w:r>
      <w:r w:rsidRPr="00BC7710">
        <w:rPr>
          <w:rFonts w:ascii="Arial" w:hAnsi="Arial" w:cs="Arial"/>
          <w:bCs/>
          <w:sz w:val="22"/>
          <w:szCs w:val="22"/>
        </w:rPr>
        <w:t>Macroeconomic and Fiscal Framework for the West Bank and Gaza, Third Review of Progress, 25 February 2009</w:t>
      </w:r>
    </w:p>
    <w:p w:rsidR="00A574EB" w:rsidRPr="00BC7710" w:rsidRDefault="00A574EB" w:rsidP="00B54C8F">
      <w:pPr>
        <w:pStyle w:val="Paragrafoelenco"/>
        <w:numPr>
          <w:ilvl w:val="0"/>
          <w:numId w:val="50"/>
        </w:numPr>
        <w:spacing w:before="0" w:after="0"/>
        <w:rPr>
          <w:rFonts w:ascii="Arial" w:hAnsi="Arial" w:cs="Arial"/>
          <w:b/>
          <w:bCs/>
          <w:sz w:val="22"/>
          <w:szCs w:val="22"/>
        </w:rPr>
      </w:pPr>
      <w:r w:rsidRPr="00BC7710">
        <w:rPr>
          <w:rFonts w:ascii="Arial" w:hAnsi="Arial" w:cs="Arial"/>
          <w:b/>
          <w:bCs/>
          <w:sz w:val="22"/>
          <w:szCs w:val="22"/>
        </w:rPr>
        <w:t xml:space="preserve">AHLC – IMF, </w:t>
      </w:r>
      <w:r w:rsidRPr="00BC7710">
        <w:rPr>
          <w:rFonts w:ascii="Arial" w:hAnsi="Arial" w:cs="Arial"/>
          <w:bCs/>
          <w:sz w:val="22"/>
          <w:szCs w:val="22"/>
        </w:rPr>
        <w:t>Macroeconomic and Fiscal Framework for the West Bank and Gaza, Fourth Review of Progress, 22 September 2009</w:t>
      </w:r>
    </w:p>
    <w:p w:rsidR="00A574EB" w:rsidRPr="00BC7710" w:rsidRDefault="00A574EB" w:rsidP="00B54C8F">
      <w:pPr>
        <w:pStyle w:val="Paragrafoelenco"/>
        <w:numPr>
          <w:ilvl w:val="0"/>
          <w:numId w:val="50"/>
        </w:numPr>
        <w:spacing w:before="0" w:after="0"/>
        <w:rPr>
          <w:rFonts w:ascii="Arial" w:hAnsi="Arial" w:cs="Arial"/>
          <w:b/>
          <w:bCs/>
          <w:sz w:val="22"/>
          <w:szCs w:val="22"/>
        </w:rPr>
      </w:pPr>
      <w:r w:rsidRPr="00BC7710">
        <w:rPr>
          <w:rFonts w:ascii="Arial" w:hAnsi="Arial" w:cs="Arial"/>
          <w:b/>
          <w:bCs/>
          <w:sz w:val="22"/>
          <w:szCs w:val="22"/>
        </w:rPr>
        <w:t xml:space="preserve">AHLC – IMF, </w:t>
      </w:r>
      <w:r w:rsidRPr="00BC7710">
        <w:rPr>
          <w:rFonts w:ascii="Arial" w:hAnsi="Arial" w:cs="Arial"/>
          <w:bCs/>
          <w:sz w:val="22"/>
          <w:szCs w:val="22"/>
        </w:rPr>
        <w:t>Macroeconomic and Fiscal Framework for the West Bank and Gaza, Fifth Review of Progress, 13 April 2010</w:t>
      </w:r>
    </w:p>
    <w:p w:rsidR="00A574EB" w:rsidRPr="00BC7710" w:rsidRDefault="00A574EB" w:rsidP="00B54C8F">
      <w:pPr>
        <w:pStyle w:val="Paragrafoelenco"/>
        <w:numPr>
          <w:ilvl w:val="0"/>
          <w:numId w:val="50"/>
        </w:numPr>
        <w:spacing w:before="0" w:after="0"/>
        <w:rPr>
          <w:rFonts w:ascii="Arial" w:hAnsi="Arial" w:cs="Arial"/>
          <w:b/>
          <w:bCs/>
          <w:sz w:val="22"/>
          <w:szCs w:val="22"/>
        </w:rPr>
      </w:pPr>
      <w:r w:rsidRPr="00BC7710">
        <w:rPr>
          <w:rFonts w:ascii="Arial" w:hAnsi="Arial" w:cs="Arial"/>
          <w:b/>
          <w:bCs/>
          <w:sz w:val="22"/>
          <w:szCs w:val="22"/>
        </w:rPr>
        <w:t xml:space="preserve">AHLC – IMF, </w:t>
      </w:r>
      <w:r w:rsidRPr="00BC7710">
        <w:rPr>
          <w:rFonts w:ascii="Arial" w:hAnsi="Arial" w:cs="Arial"/>
          <w:bCs/>
          <w:sz w:val="22"/>
          <w:szCs w:val="22"/>
        </w:rPr>
        <w:t>Macroeconomic and Fiscal Framework for the West Bank and Gaza, Sixth Review of Progress, 21 September 2010</w:t>
      </w:r>
    </w:p>
    <w:p w:rsidR="00A574EB" w:rsidRPr="00BC7710" w:rsidRDefault="00A574EB" w:rsidP="00B54C8F">
      <w:pPr>
        <w:pStyle w:val="Paragrafoelenco"/>
        <w:numPr>
          <w:ilvl w:val="0"/>
          <w:numId w:val="50"/>
        </w:numPr>
        <w:spacing w:before="0" w:after="0"/>
        <w:rPr>
          <w:rFonts w:ascii="Arial" w:hAnsi="Arial" w:cs="Arial"/>
          <w:b/>
          <w:bCs/>
          <w:sz w:val="22"/>
          <w:szCs w:val="22"/>
        </w:rPr>
      </w:pPr>
      <w:r w:rsidRPr="00BC7710">
        <w:rPr>
          <w:rFonts w:ascii="Arial" w:hAnsi="Arial" w:cs="Arial"/>
          <w:b/>
          <w:bCs/>
          <w:sz w:val="22"/>
          <w:szCs w:val="22"/>
        </w:rPr>
        <w:t xml:space="preserve">AHLC – IMF, </w:t>
      </w:r>
      <w:r w:rsidRPr="00BC7710">
        <w:rPr>
          <w:rFonts w:ascii="Arial" w:hAnsi="Arial" w:cs="Arial"/>
          <w:bCs/>
          <w:sz w:val="22"/>
          <w:szCs w:val="22"/>
        </w:rPr>
        <w:t>Macroeconomic and Fiscal Framework for the West Bank and Gaza, Seventh Review of Progress, 13 April 2011</w:t>
      </w:r>
    </w:p>
    <w:p w:rsidR="00A574EB" w:rsidRPr="00BC7710" w:rsidRDefault="00A574EB" w:rsidP="00B54C8F">
      <w:pPr>
        <w:pStyle w:val="Paragrafoelenco"/>
        <w:numPr>
          <w:ilvl w:val="0"/>
          <w:numId w:val="50"/>
        </w:numPr>
        <w:spacing w:before="0" w:after="0"/>
        <w:rPr>
          <w:rFonts w:ascii="Arial" w:hAnsi="Arial" w:cs="Arial"/>
          <w:bCs/>
          <w:sz w:val="22"/>
          <w:szCs w:val="22"/>
        </w:rPr>
      </w:pPr>
      <w:r w:rsidRPr="00BC7710">
        <w:rPr>
          <w:rFonts w:ascii="Arial" w:hAnsi="Arial" w:cs="Arial"/>
          <w:b/>
          <w:bCs/>
          <w:sz w:val="22"/>
          <w:szCs w:val="22"/>
        </w:rPr>
        <w:t xml:space="preserve">AHLC – IMF, </w:t>
      </w:r>
      <w:r w:rsidRPr="00BC7710">
        <w:rPr>
          <w:rFonts w:ascii="Arial" w:hAnsi="Arial" w:cs="Arial"/>
          <w:bCs/>
          <w:sz w:val="22"/>
          <w:szCs w:val="22"/>
        </w:rPr>
        <w:t>Recent experience and prospects of the economy of the west bank and Gaza staff report prepared for the meeting of the Ad Hoc Liaison committee, 18 September 2011</w:t>
      </w:r>
    </w:p>
    <w:p w:rsidR="00A574EB" w:rsidRPr="00BC7710" w:rsidRDefault="00A574EB" w:rsidP="00B54C8F">
      <w:pPr>
        <w:pStyle w:val="Paragrafoelenco"/>
        <w:numPr>
          <w:ilvl w:val="0"/>
          <w:numId w:val="50"/>
        </w:numPr>
        <w:spacing w:before="0" w:after="0"/>
        <w:rPr>
          <w:rFonts w:ascii="Arial" w:hAnsi="Arial" w:cs="Arial"/>
          <w:bCs/>
          <w:sz w:val="22"/>
          <w:szCs w:val="22"/>
        </w:rPr>
      </w:pPr>
      <w:r w:rsidRPr="00BC7710">
        <w:rPr>
          <w:rFonts w:ascii="Arial" w:hAnsi="Arial" w:cs="Arial"/>
          <w:b/>
          <w:bCs/>
          <w:sz w:val="22"/>
          <w:szCs w:val="22"/>
        </w:rPr>
        <w:t xml:space="preserve">AHLC – IMF, </w:t>
      </w:r>
      <w:r w:rsidRPr="00BC7710">
        <w:rPr>
          <w:rFonts w:ascii="Arial" w:hAnsi="Arial" w:cs="Arial"/>
          <w:bCs/>
          <w:sz w:val="22"/>
          <w:szCs w:val="22"/>
        </w:rPr>
        <w:t>Recent experience and prospects of the economy of the west bank and Gaza staff report prepared for the meeting of the Ad Hoc Liaison committee, 21 March 2012</w:t>
      </w:r>
    </w:p>
    <w:p w:rsidR="00A574EB" w:rsidRPr="00BC7710" w:rsidRDefault="00A574EB" w:rsidP="00B54C8F">
      <w:pPr>
        <w:pStyle w:val="Paragrafoelenco"/>
        <w:numPr>
          <w:ilvl w:val="0"/>
          <w:numId w:val="50"/>
        </w:numPr>
        <w:spacing w:before="0" w:after="0"/>
        <w:rPr>
          <w:rFonts w:ascii="Arial" w:hAnsi="Arial" w:cs="Arial"/>
          <w:bCs/>
          <w:sz w:val="22"/>
          <w:szCs w:val="22"/>
        </w:rPr>
      </w:pPr>
      <w:r w:rsidRPr="00BC7710">
        <w:rPr>
          <w:rFonts w:ascii="Arial" w:hAnsi="Arial" w:cs="Arial"/>
          <w:b/>
          <w:bCs/>
          <w:sz w:val="22"/>
          <w:szCs w:val="22"/>
        </w:rPr>
        <w:t xml:space="preserve">AHLC – IMF, </w:t>
      </w:r>
      <w:r w:rsidRPr="00BC7710">
        <w:rPr>
          <w:rFonts w:ascii="Arial" w:hAnsi="Arial" w:cs="Arial"/>
          <w:bCs/>
          <w:sz w:val="22"/>
          <w:szCs w:val="22"/>
        </w:rPr>
        <w:t>Recent experience and prospects of the economy of the west bank and Gaza staff report prepared for the meeting of the Ad Hoc Liaison committee, 23 September 2012</w:t>
      </w:r>
    </w:p>
    <w:p w:rsidR="00A574EB" w:rsidRPr="00BC7710" w:rsidRDefault="00A574EB" w:rsidP="00B54C8F">
      <w:pPr>
        <w:pStyle w:val="Paragrafoelenco"/>
        <w:numPr>
          <w:ilvl w:val="0"/>
          <w:numId w:val="50"/>
        </w:numPr>
        <w:spacing w:before="0" w:after="0"/>
        <w:rPr>
          <w:rFonts w:ascii="Arial" w:hAnsi="Arial" w:cs="Arial"/>
          <w:bCs/>
          <w:sz w:val="22"/>
          <w:szCs w:val="22"/>
        </w:rPr>
      </w:pPr>
      <w:r w:rsidRPr="00BC7710">
        <w:rPr>
          <w:rFonts w:ascii="Arial" w:hAnsi="Arial" w:cs="Arial"/>
          <w:b/>
          <w:bCs/>
          <w:sz w:val="22"/>
          <w:szCs w:val="22"/>
        </w:rPr>
        <w:t>AHLC-UN</w:t>
      </w:r>
      <w:r w:rsidRPr="00BC7710">
        <w:rPr>
          <w:rFonts w:ascii="Arial" w:hAnsi="Arial" w:cs="Arial"/>
          <w:bCs/>
          <w:sz w:val="22"/>
          <w:szCs w:val="22"/>
        </w:rPr>
        <w:t xml:space="preserve">, </w:t>
      </w:r>
      <w:r w:rsidRPr="00BC7710">
        <w:rPr>
          <w:rFonts w:ascii="Arial" w:hAnsi="Arial" w:cs="Arial"/>
          <w:sz w:val="22"/>
          <w:szCs w:val="22"/>
          <w:lang w:eastAsia="it-IT"/>
        </w:rPr>
        <w:t>Humanitarian Situation and Humanitarian Access</w:t>
      </w:r>
      <w:r w:rsidRPr="00BC7710">
        <w:rPr>
          <w:rFonts w:ascii="Arial" w:hAnsi="Arial" w:cs="Arial"/>
          <w:sz w:val="22"/>
          <w:szCs w:val="22"/>
          <w:lang w:eastAsia="it-IT"/>
        </w:rPr>
        <w:br/>
        <w:t>Background Paper for the Ad-Hoc Liaison Committee, 24 September 2007</w:t>
      </w:r>
    </w:p>
    <w:p w:rsidR="00A574EB" w:rsidRPr="00BC7710" w:rsidRDefault="00A574EB" w:rsidP="00B54C8F">
      <w:pPr>
        <w:pStyle w:val="Paragrafoelenco"/>
        <w:numPr>
          <w:ilvl w:val="0"/>
          <w:numId w:val="50"/>
        </w:numPr>
        <w:spacing w:before="0" w:after="0"/>
        <w:rPr>
          <w:rFonts w:ascii="Arial" w:hAnsi="Arial" w:cs="Arial"/>
          <w:bCs/>
          <w:sz w:val="22"/>
          <w:szCs w:val="22"/>
        </w:rPr>
      </w:pPr>
      <w:r w:rsidRPr="00BC7710">
        <w:rPr>
          <w:rFonts w:ascii="Arial" w:hAnsi="Arial" w:cs="Arial"/>
          <w:b/>
          <w:bCs/>
          <w:sz w:val="22"/>
          <w:szCs w:val="22"/>
        </w:rPr>
        <w:t xml:space="preserve">AHLC-UN, </w:t>
      </w:r>
      <w:r w:rsidRPr="00BC7710">
        <w:rPr>
          <w:rFonts w:ascii="Arial" w:hAnsi="Arial" w:cs="Arial"/>
          <w:sz w:val="22"/>
          <w:szCs w:val="22"/>
          <w:lang w:eastAsia="it-IT"/>
        </w:rPr>
        <w:t>UN Report Ad Hoc Liaison Committee Meeting New York, 22 September 2008</w:t>
      </w:r>
    </w:p>
    <w:p w:rsidR="00A574EB" w:rsidRPr="00BC7710" w:rsidRDefault="00A574EB" w:rsidP="00B54C8F">
      <w:pPr>
        <w:pStyle w:val="Paragrafoelenco"/>
        <w:numPr>
          <w:ilvl w:val="0"/>
          <w:numId w:val="50"/>
        </w:numPr>
        <w:spacing w:before="0" w:after="0"/>
        <w:rPr>
          <w:rFonts w:ascii="Arial" w:hAnsi="Arial" w:cs="Arial"/>
          <w:bCs/>
          <w:sz w:val="22"/>
          <w:szCs w:val="22"/>
        </w:rPr>
      </w:pPr>
      <w:r w:rsidRPr="00BC7710">
        <w:rPr>
          <w:rFonts w:ascii="Arial" w:hAnsi="Arial" w:cs="Arial"/>
          <w:b/>
          <w:bCs/>
          <w:sz w:val="22"/>
          <w:szCs w:val="22"/>
        </w:rPr>
        <w:t>AHLC-UN,</w:t>
      </w:r>
      <w:r w:rsidRPr="00BC7710">
        <w:rPr>
          <w:rFonts w:ascii="Arial" w:hAnsi="Arial" w:cs="Arial"/>
          <w:sz w:val="22"/>
          <w:szCs w:val="22"/>
          <w:lang w:eastAsia="it-IT"/>
        </w:rPr>
        <w:t xml:space="preserve"> Report of the Resident and Humanitarian Coordinator</w:t>
      </w:r>
      <w:r w:rsidRPr="00BC7710">
        <w:rPr>
          <w:rFonts w:ascii="Arial" w:hAnsi="Arial" w:cs="Arial"/>
          <w:sz w:val="22"/>
          <w:szCs w:val="22"/>
          <w:lang w:eastAsia="it-IT"/>
        </w:rPr>
        <w:br/>
        <w:t>Ad Hoc Liaison Committee Meeting, 8 June 2009</w:t>
      </w:r>
    </w:p>
    <w:p w:rsidR="00A574EB" w:rsidRPr="00BC7710" w:rsidRDefault="00A574EB" w:rsidP="00B54C8F">
      <w:pPr>
        <w:pStyle w:val="Paragrafoelenco"/>
        <w:numPr>
          <w:ilvl w:val="0"/>
          <w:numId w:val="50"/>
        </w:numPr>
        <w:spacing w:before="0" w:after="0"/>
        <w:rPr>
          <w:rFonts w:ascii="Arial" w:hAnsi="Arial" w:cs="Arial"/>
          <w:bCs/>
          <w:sz w:val="22"/>
          <w:szCs w:val="22"/>
        </w:rPr>
      </w:pPr>
      <w:r w:rsidRPr="00BC7710">
        <w:rPr>
          <w:rFonts w:ascii="Arial" w:hAnsi="Arial" w:cs="Arial"/>
          <w:b/>
          <w:bCs/>
          <w:sz w:val="22"/>
          <w:szCs w:val="22"/>
        </w:rPr>
        <w:t xml:space="preserve">AHLC-UN, </w:t>
      </w:r>
      <w:r w:rsidRPr="00BC7710">
        <w:rPr>
          <w:rFonts w:ascii="Arial" w:hAnsi="Arial" w:cs="Arial"/>
          <w:bCs/>
          <w:sz w:val="22"/>
          <w:szCs w:val="22"/>
        </w:rPr>
        <w:t>Progress and challenges effective support to state-building in the occupied Palestinian territory, 13 April 2010</w:t>
      </w:r>
    </w:p>
    <w:p w:rsidR="00A574EB" w:rsidRPr="00BC7710" w:rsidRDefault="00A574EB" w:rsidP="00B54C8F">
      <w:pPr>
        <w:pStyle w:val="Paragrafoelenco"/>
        <w:numPr>
          <w:ilvl w:val="0"/>
          <w:numId w:val="50"/>
        </w:numPr>
        <w:spacing w:before="0" w:after="0"/>
        <w:rPr>
          <w:rFonts w:ascii="Arial" w:hAnsi="Arial" w:cs="Arial"/>
          <w:bCs/>
          <w:sz w:val="22"/>
          <w:szCs w:val="22"/>
        </w:rPr>
      </w:pPr>
      <w:r w:rsidRPr="00BC7710">
        <w:rPr>
          <w:rFonts w:ascii="Arial" w:hAnsi="Arial" w:cs="Arial"/>
          <w:b/>
          <w:bCs/>
          <w:sz w:val="22"/>
          <w:szCs w:val="22"/>
        </w:rPr>
        <w:t xml:space="preserve">AHLC-UN, </w:t>
      </w:r>
      <w:r w:rsidRPr="00BC7710">
        <w:rPr>
          <w:rFonts w:ascii="Arial" w:hAnsi="Arial" w:cs="Arial"/>
          <w:bCs/>
          <w:sz w:val="22"/>
          <w:szCs w:val="22"/>
        </w:rPr>
        <w:t>Enabling Palestinian State-Building foundations for peace, 21 September 2010</w:t>
      </w:r>
    </w:p>
    <w:p w:rsidR="00A574EB" w:rsidRPr="00BC7710" w:rsidRDefault="00A574EB" w:rsidP="00B54C8F">
      <w:pPr>
        <w:pStyle w:val="Paragrafoelenco"/>
        <w:numPr>
          <w:ilvl w:val="0"/>
          <w:numId w:val="50"/>
        </w:numPr>
        <w:spacing w:before="0" w:after="0"/>
        <w:rPr>
          <w:rFonts w:ascii="Arial" w:hAnsi="Arial" w:cs="Arial"/>
          <w:bCs/>
          <w:sz w:val="22"/>
          <w:szCs w:val="22"/>
        </w:rPr>
      </w:pPr>
      <w:r w:rsidRPr="00BC7710">
        <w:rPr>
          <w:rFonts w:ascii="Arial" w:hAnsi="Arial" w:cs="Arial"/>
          <w:b/>
          <w:bCs/>
          <w:sz w:val="22"/>
          <w:szCs w:val="22"/>
        </w:rPr>
        <w:t xml:space="preserve">AHLC-UN, </w:t>
      </w:r>
      <w:r w:rsidRPr="00BC7710">
        <w:rPr>
          <w:rFonts w:ascii="Arial" w:hAnsi="Arial" w:cs="Arial"/>
          <w:bCs/>
          <w:sz w:val="22"/>
          <w:szCs w:val="22"/>
        </w:rPr>
        <w:t>Palestinian State-Building at stake: preserving the two-state solution, 28 September 2010</w:t>
      </w:r>
    </w:p>
    <w:p w:rsidR="00A574EB" w:rsidRPr="00BC7710" w:rsidRDefault="00A574EB" w:rsidP="00B54C8F">
      <w:pPr>
        <w:pStyle w:val="Paragrafoelenco"/>
        <w:numPr>
          <w:ilvl w:val="0"/>
          <w:numId w:val="50"/>
        </w:numPr>
        <w:spacing w:before="0" w:after="0"/>
        <w:rPr>
          <w:rFonts w:ascii="Arial" w:hAnsi="Arial" w:cs="Arial"/>
          <w:bCs/>
          <w:sz w:val="22"/>
          <w:szCs w:val="22"/>
        </w:rPr>
      </w:pPr>
      <w:r w:rsidRPr="00BC7710">
        <w:rPr>
          <w:rFonts w:ascii="Arial" w:hAnsi="Arial" w:cs="Arial"/>
          <w:b/>
          <w:bCs/>
          <w:sz w:val="22"/>
          <w:szCs w:val="22"/>
        </w:rPr>
        <w:t>AHLC-UN,</w:t>
      </w:r>
      <w:r w:rsidRPr="00BC7710">
        <w:rPr>
          <w:rFonts w:ascii="Arial" w:hAnsi="Arial" w:cs="Arial"/>
          <w:bCs/>
          <w:sz w:val="22"/>
          <w:szCs w:val="22"/>
        </w:rPr>
        <w:t xml:space="preserve"> Palestinian State-Building a decisive period, 13 April 2011</w:t>
      </w:r>
    </w:p>
    <w:p w:rsidR="00A574EB" w:rsidRPr="00BC7710" w:rsidRDefault="00A574EB" w:rsidP="00B54C8F">
      <w:pPr>
        <w:pStyle w:val="Paragrafoelenco"/>
        <w:numPr>
          <w:ilvl w:val="0"/>
          <w:numId w:val="50"/>
        </w:numPr>
        <w:spacing w:before="0" w:after="0"/>
        <w:rPr>
          <w:rFonts w:ascii="Arial" w:hAnsi="Arial" w:cs="Arial"/>
          <w:bCs/>
          <w:sz w:val="22"/>
          <w:szCs w:val="22"/>
        </w:rPr>
      </w:pPr>
      <w:r w:rsidRPr="00BC7710">
        <w:rPr>
          <w:rFonts w:ascii="Arial" w:hAnsi="Arial" w:cs="Arial"/>
          <w:b/>
          <w:bCs/>
          <w:sz w:val="22"/>
          <w:szCs w:val="22"/>
        </w:rPr>
        <w:t xml:space="preserve">AHLC-UN, </w:t>
      </w:r>
      <w:r w:rsidRPr="00BC7710">
        <w:rPr>
          <w:rFonts w:ascii="Arial" w:hAnsi="Arial" w:cs="Arial"/>
          <w:bCs/>
          <w:sz w:val="22"/>
          <w:szCs w:val="22"/>
        </w:rPr>
        <w:t>Palestinian State-Building: an achievement at risk, 18 September 2011</w:t>
      </w:r>
    </w:p>
    <w:p w:rsidR="00A574EB" w:rsidRPr="00BC7710" w:rsidRDefault="00A574EB" w:rsidP="00B54C8F">
      <w:pPr>
        <w:pStyle w:val="Paragrafoelenco"/>
        <w:numPr>
          <w:ilvl w:val="0"/>
          <w:numId w:val="50"/>
        </w:numPr>
        <w:spacing w:before="0" w:after="0"/>
        <w:rPr>
          <w:rFonts w:ascii="Arial" w:hAnsi="Arial" w:cs="Arial"/>
          <w:bCs/>
          <w:sz w:val="22"/>
          <w:szCs w:val="22"/>
        </w:rPr>
      </w:pPr>
      <w:r w:rsidRPr="00BC7710">
        <w:rPr>
          <w:rFonts w:ascii="Arial" w:hAnsi="Arial" w:cs="Arial"/>
          <w:b/>
          <w:bCs/>
          <w:sz w:val="22"/>
          <w:szCs w:val="22"/>
        </w:rPr>
        <w:t xml:space="preserve">AHLC – Government of Israel, </w:t>
      </w:r>
      <w:r w:rsidRPr="00BC7710">
        <w:rPr>
          <w:rFonts w:ascii="Arial" w:hAnsi="Arial" w:cs="Arial"/>
          <w:sz w:val="22"/>
          <w:szCs w:val="22"/>
          <w:lang w:eastAsia="it-IT"/>
        </w:rPr>
        <w:t xml:space="preserve">Supporting Palestinian Capacity Building: Israel’s Efforts </w:t>
      </w:r>
      <w:proofErr w:type="spellStart"/>
      <w:r w:rsidRPr="00BC7710">
        <w:rPr>
          <w:rFonts w:ascii="Arial" w:hAnsi="Arial" w:cs="Arial"/>
          <w:sz w:val="22"/>
          <w:szCs w:val="22"/>
          <w:lang w:eastAsia="it-IT"/>
        </w:rPr>
        <w:t>inSupporting</w:t>
      </w:r>
      <w:proofErr w:type="spellEnd"/>
      <w:r w:rsidRPr="00BC7710">
        <w:rPr>
          <w:rFonts w:ascii="Arial" w:hAnsi="Arial" w:cs="Arial"/>
          <w:sz w:val="22"/>
          <w:szCs w:val="22"/>
          <w:lang w:eastAsia="it-IT"/>
        </w:rPr>
        <w:t xml:space="preserve"> the Palestinian Economy, Civil Affairs and Security Reforms, June 2009</w:t>
      </w:r>
    </w:p>
    <w:p w:rsidR="00A574EB" w:rsidRPr="00BC7710" w:rsidRDefault="00A574EB" w:rsidP="00B54C8F">
      <w:pPr>
        <w:pStyle w:val="Paragrafoelenco"/>
        <w:numPr>
          <w:ilvl w:val="0"/>
          <w:numId w:val="50"/>
        </w:numPr>
        <w:spacing w:before="0" w:after="0"/>
        <w:rPr>
          <w:rFonts w:ascii="Arial" w:hAnsi="Arial" w:cs="Arial"/>
          <w:bCs/>
          <w:sz w:val="22"/>
          <w:szCs w:val="22"/>
        </w:rPr>
      </w:pPr>
      <w:r w:rsidRPr="00BC7710">
        <w:rPr>
          <w:rFonts w:ascii="Arial" w:hAnsi="Arial" w:cs="Arial"/>
          <w:b/>
          <w:bCs/>
          <w:sz w:val="22"/>
          <w:szCs w:val="22"/>
        </w:rPr>
        <w:t>AHLC – Government of Israel,</w:t>
      </w:r>
      <w:r w:rsidRPr="00BC7710">
        <w:rPr>
          <w:rFonts w:ascii="Arial" w:hAnsi="Arial" w:cs="Arial"/>
          <w:sz w:val="22"/>
          <w:szCs w:val="22"/>
          <w:lang w:eastAsia="it-IT"/>
        </w:rPr>
        <w:t xml:space="preserve"> Measures Taken by Israel in Support of Developing the Palestinian Economy, the Socio-Economic Structure, and the Security Reforms, 13 April 2010</w:t>
      </w:r>
    </w:p>
    <w:p w:rsidR="00A574EB" w:rsidRPr="00BC7710" w:rsidRDefault="00A574EB" w:rsidP="00B54C8F">
      <w:pPr>
        <w:pStyle w:val="Paragrafoelenco"/>
        <w:numPr>
          <w:ilvl w:val="0"/>
          <w:numId w:val="50"/>
        </w:numPr>
        <w:spacing w:before="0" w:after="0"/>
        <w:rPr>
          <w:rFonts w:ascii="Arial" w:hAnsi="Arial" w:cs="Arial"/>
          <w:bCs/>
          <w:sz w:val="22"/>
          <w:szCs w:val="22"/>
        </w:rPr>
      </w:pPr>
      <w:r w:rsidRPr="00BC7710">
        <w:rPr>
          <w:rFonts w:ascii="Arial" w:hAnsi="Arial" w:cs="Arial"/>
          <w:b/>
          <w:bCs/>
          <w:sz w:val="22"/>
          <w:szCs w:val="22"/>
        </w:rPr>
        <w:t xml:space="preserve">AHLC – Office of the Quartet Representative - </w:t>
      </w:r>
      <w:r w:rsidRPr="00BC7710">
        <w:rPr>
          <w:rFonts w:ascii="Arial" w:hAnsi="Arial" w:cs="Arial"/>
          <w:sz w:val="22"/>
          <w:szCs w:val="22"/>
          <w:lang w:eastAsia="it-IT"/>
        </w:rPr>
        <w:t>Report for the Meeting of the Ad Hoc Liaison Committee On OQR Action in Support of Palestinian Authority State-Building, 13 April 2011</w:t>
      </w:r>
    </w:p>
    <w:p w:rsidR="00A574EB" w:rsidRPr="00BC7710" w:rsidRDefault="00A574EB" w:rsidP="00B54C8F">
      <w:pPr>
        <w:pStyle w:val="Paragrafoelenco"/>
        <w:numPr>
          <w:ilvl w:val="0"/>
          <w:numId w:val="50"/>
        </w:numPr>
        <w:spacing w:before="0" w:after="0"/>
        <w:rPr>
          <w:rFonts w:ascii="Arial" w:hAnsi="Arial" w:cs="Arial"/>
          <w:bCs/>
          <w:sz w:val="22"/>
          <w:szCs w:val="22"/>
        </w:rPr>
      </w:pPr>
      <w:r w:rsidRPr="00BC7710">
        <w:rPr>
          <w:rFonts w:ascii="Arial" w:hAnsi="Arial" w:cs="Arial"/>
          <w:b/>
          <w:bCs/>
          <w:sz w:val="22"/>
          <w:szCs w:val="22"/>
        </w:rPr>
        <w:t xml:space="preserve">AHLC – Office of the Quartet Representative, </w:t>
      </w:r>
      <w:r w:rsidRPr="00BC7710">
        <w:rPr>
          <w:rFonts w:ascii="Arial" w:hAnsi="Arial" w:cs="Arial"/>
          <w:sz w:val="22"/>
          <w:szCs w:val="22"/>
          <w:lang w:eastAsia="it-IT"/>
        </w:rPr>
        <w:t>Report for the Meeting of the Ad Hoc Liaison Committee Summary of OQR Development Agenda to Support</w:t>
      </w:r>
      <w:r w:rsidRPr="00BC7710">
        <w:rPr>
          <w:rFonts w:ascii="Arial" w:hAnsi="Arial" w:cs="Arial"/>
          <w:sz w:val="22"/>
          <w:szCs w:val="22"/>
          <w:lang w:eastAsia="it-IT"/>
        </w:rPr>
        <w:br/>
        <w:t>Palestinian Economic Sustainability and Institution-Building, 21 March 2012</w:t>
      </w:r>
    </w:p>
    <w:p w:rsidR="00A574EB" w:rsidRPr="00BC7710" w:rsidRDefault="00A574EB" w:rsidP="00B54C8F">
      <w:pPr>
        <w:pStyle w:val="Paragrafoelenco"/>
        <w:numPr>
          <w:ilvl w:val="0"/>
          <w:numId w:val="50"/>
        </w:numPr>
        <w:spacing w:before="0" w:after="0"/>
        <w:rPr>
          <w:rFonts w:ascii="Arial" w:hAnsi="Arial" w:cs="Arial"/>
          <w:bCs/>
          <w:sz w:val="22"/>
          <w:szCs w:val="22"/>
        </w:rPr>
      </w:pPr>
      <w:r w:rsidRPr="00BC7710">
        <w:rPr>
          <w:rFonts w:ascii="Arial" w:hAnsi="Arial" w:cs="Arial"/>
          <w:b/>
          <w:bCs/>
          <w:sz w:val="22"/>
          <w:szCs w:val="22"/>
        </w:rPr>
        <w:t xml:space="preserve">AHLC – Office of the Quartet Representative, </w:t>
      </w:r>
      <w:r w:rsidRPr="00BC7710">
        <w:rPr>
          <w:rFonts w:ascii="Arial" w:hAnsi="Arial" w:cs="Arial"/>
          <w:sz w:val="22"/>
          <w:szCs w:val="22"/>
          <w:lang w:eastAsia="it-IT"/>
        </w:rPr>
        <w:t>Report for the Meeting of the Ad Hoc Liaison Committee, 19 March 2013</w:t>
      </w:r>
    </w:p>
    <w:p w:rsidR="00A574EB" w:rsidRDefault="00A574EB" w:rsidP="00A574EB">
      <w:pPr>
        <w:spacing w:before="0" w:after="0"/>
        <w:rPr>
          <w:rFonts w:ascii="Arial" w:hAnsi="Arial" w:cs="Arial"/>
          <w:b/>
          <w:bCs/>
          <w:color w:val="1F497D" w:themeColor="text2"/>
          <w:sz w:val="22"/>
          <w:szCs w:val="22"/>
        </w:rPr>
      </w:pPr>
    </w:p>
    <w:p w:rsidR="004B73B7" w:rsidRPr="00BC7710" w:rsidRDefault="004B73B7" w:rsidP="00A574EB">
      <w:pPr>
        <w:spacing w:before="0" w:after="0"/>
        <w:rPr>
          <w:rFonts w:ascii="Arial" w:hAnsi="Arial" w:cs="Arial"/>
          <w:b/>
          <w:bCs/>
          <w:color w:val="1F497D" w:themeColor="text2"/>
          <w:sz w:val="22"/>
          <w:szCs w:val="22"/>
        </w:rPr>
      </w:pPr>
    </w:p>
    <w:p w:rsidR="00A574EB" w:rsidRPr="00BC7710" w:rsidRDefault="00A574EB" w:rsidP="00A574EB">
      <w:pPr>
        <w:spacing w:before="0" w:after="0"/>
        <w:rPr>
          <w:rFonts w:ascii="Arial" w:hAnsi="Arial" w:cs="Arial"/>
          <w:b/>
          <w:bCs/>
          <w:color w:val="1F497D" w:themeColor="text2"/>
          <w:sz w:val="22"/>
          <w:szCs w:val="22"/>
        </w:rPr>
      </w:pPr>
      <w:r w:rsidRPr="00BC7710">
        <w:rPr>
          <w:rFonts w:ascii="Arial" w:hAnsi="Arial" w:cs="Arial"/>
          <w:b/>
          <w:bCs/>
          <w:color w:val="1F497D" w:themeColor="text2"/>
          <w:sz w:val="22"/>
          <w:szCs w:val="22"/>
        </w:rPr>
        <w:lastRenderedPageBreak/>
        <w:t>AHLC Statements</w:t>
      </w:r>
    </w:p>
    <w:p w:rsidR="00A574EB" w:rsidRPr="00BC7710" w:rsidRDefault="00A574EB" w:rsidP="00B54C8F">
      <w:pPr>
        <w:pStyle w:val="Paragrafoelenco"/>
        <w:numPr>
          <w:ilvl w:val="0"/>
          <w:numId w:val="50"/>
        </w:numPr>
        <w:spacing w:before="0" w:after="0"/>
        <w:rPr>
          <w:rFonts w:ascii="Arial" w:hAnsi="Arial" w:cs="Arial"/>
          <w:bCs/>
          <w:sz w:val="22"/>
          <w:szCs w:val="22"/>
        </w:rPr>
      </w:pPr>
      <w:r w:rsidRPr="00BC7710">
        <w:rPr>
          <w:rFonts w:ascii="Arial" w:hAnsi="Arial" w:cs="Arial"/>
          <w:b/>
          <w:bCs/>
          <w:sz w:val="22"/>
          <w:szCs w:val="22"/>
        </w:rPr>
        <w:t xml:space="preserve">AHLC – Benita </w:t>
      </w:r>
      <w:proofErr w:type="spellStart"/>
      <w:r w:rsidRPr="00BC7710">
        <w:rPr>
          <w:rFonts w:ascii="Arial" w:hAnsi="Arial" w:cs="Arial"/>
          <w:b/>
          <w:bCs/>
          <w:sz w:val="22"/>
          <w:szCs w:val="22"/>
        </w:rPr>
        <w:t>Ferrero</w:t>
      </w:r>
      <w:proofErr w:type="spellEnd"/>
      <w:r w:rsidRPr="00BC7710">
        <w:rPr>
          <w:rFonts w:ascii="Arial" w:hAnsi="Arial" w:cs="Arial"/>
          <w:b/>
          <w:bCs/>
          <w:sz w:val="22"/>
          <w:szCs w:val="22"/>
        </w:rPr>
        <w:t xml:space="preserve"> </w:t>
      </w:r>
      <w:proofErr w:type="spellStart"/>
      <w:r w:rsidRPr="00BC7710">
        <w:rPr>
          <w:rFonts w:ascii="Arial" w:hAnsi="Arial" w:cs="Arial"/>
          <w:b/>
          <w:bCs/>
          <w:sz w:val="22"/>
          <w:szCs w:val="22"/>
        </w:rPr>
        <w:t>Waldner</w:t>
      </w:r>
      <w:proofErr w:type="spellEnd"/>
      <w:r w:rsidRPr="00BC7710">
        <w:rPr>
          <w:rFonts w:ascii="Arial" w:hAnsi="Arial" w:cs="Arial"/>
          <w:b/>
          <w:bCs/>
          <w:sz w:val="22"/>
          <w:szCs w:val="22"/>
        </w:rPr>
        <w:t xml:space="preserve">, </w:t>
      </w:r>
      <w:r w:rsidRPr="00BC7710">
        <w:rPr>
          <w:rFonts w:ascii="Arial" w:hAnsi="Arial" w:cs="Arial"/>
          <w:bCs/>
          <w:sz w:val="22"/>
          <w:szCs w:val="22"/>
        </w:rPr>
        <w:t xml:space="preserve">Opening Statement of Benita </w:t>
      </w:r>
      <w:proofErr w:type="spellStart"/>
      <w:r w:rsidRPr="00BC7710">
        <w:rPr>
          <w:rFonts w:ascii="Arial" w:hAnsi="Arial" w:cs="Arial"/>
          <w:bCs/>
          <w:sz w:val="22"/>
          <w:szCs w:val="22"/>
        </w:rPr>
        <w:t>Ferrero</w:t>
      </w:r>
      <w:proofErr w:type="spellEnd"/>
      <w:r w:rsidRPr="00BC7710">
        <w:rPr>
          <w:rFonts w:ascii="Arial" w:hAnsi="Arial" w:cs="Arial"/>
          <w:bCs/>
          <w:sz w:val="22"/>
          <w:szCs w:val="22"/>
        </w:rPr>
        <w:t xml:space="preserve"> </w:t>
      </w:r>
      <w:proofErr w:type="spellStart"/>
      <w:r w:rsidRPr="00BC7710">
        <w:rPr>
          <w:rFonts w:ascii="Arial" w:hAnsi="Arial" w:cs="Arial"/>
          <w:bCs/>
          <w:sz w:val="22"/>
          <w:szCs w:val="22"/>
        </w:rPr>
        <w:t>Waldner</w:t>
      </w:r>
      <w:proofErr w:type="spellEnd"/>
      <w:r w:rsidRPr="00BC7710">
        <w:rPr>
          <w:rFonts w:ascii="Arial" w:hAnsi="Arial" w:cs="Arial"/>
          <w:bCs/>
          <w:sz w:val="22"/>
          <w:szCs w:val="22"/>
        </w:rPr>
        <w:t>, Commissioner for External Relations and European Neighborhood Policy, 2 May 2008</w:t>
      </w:r>
    </w:p>
    <w:p w:rsidR="00A574EB" w:rsidRPr="00BC7710" w:rsidRDefault="00A574EB" w:rsidP="00B54C8F">
      <w:pPr>
        <w:pStyle w:val="Paragrafoelenco"/>
        <w:numPr>
          <w:ilvl w:val="0"/>
          <w:numId w:val="50"/>
        </w:numPr>
        <w:spacing w:before="0" w:after="0"/>
        <w:rPr>
          <w:rFonts w:ascii="Arial" w:hAnsi="Arial" w:cs="Arial"/>
          <w:bCs/>
          <w:sz w:val="22"/>
          <w:szCs w:val="22"/>
        </w:rPr>
      </w:pPr>
      <w:r w:rsidRPr="00BC7710">
        <w:rPr>
          <w:rFonts w:ascii="Arial" w:hAnsi="Arial" w:cs="Arial"/>
          <w:b/>
          <w:bCs/>
          <w:sz w:val="22"/>
          <w:szCs w:val="22"/>
        </w:rPr>
        <w:t>AHLC</w:t>
      </w:r>
      <w:r w:rsidRPr="00BC7710">
        <w:rPr>
          <w:rFonts w:ascii="Arial" w:hAnsi="Arial" w:cs="Arial"/>
          <w:b/>
          <w:sz w:val="22"/>
          <w:szCs w:val="22"/>
          <w:lang w:eastAsia="it-IT"/>
        </w:rPr>
        <w:t>- Salam Fayyad</w:t>
      </w:r>
      <w:r w:rsidRPr="00BC7710">
        <w:rPr>
          <w:rFonts w:ascii="Arial" w:hAnsi="Arial" w:cs="Arial"/>
          <w:sz w:val="22"/>
          <w:szCs w:val="22"/>
          <w:lang w:eastAsia="it-IT"/>
        </w:rPr>
        <w:t>, Statement by Dr. Salam Fayyad Prime Minister of the Palestinian National Authority, 22 September</w:t>
      </w:r>
    </w:p>
    <w:p w:rsidR="00A574EB" w:rsidRPr="00BC7710" w:rsidRDefault="00A574EB" w:rsidP="00B54C8F">
      <w:pPr>
        <w:pStyle w:val="Paragrafoelenco"/>
        <w:numPr>
          <w:ilvl w:val="0"/>
          <w:numId w:val="50"/>
        </w:numPr>
        <w:spacing w:before="0" w:after="0"/>
        <w:rPr>
          <w:rFonts w:ascii="Arial" w:hAnsi="Arial" w:cs="Arial"/>
          <w:bCs/>
          <w:sz w:val="22"/>
          <w:szCs w:val="22"/>
        </w:rPr>
      </w:pPr>
      <w:r w:rsidRPr="00BC7710">
        <w:rPr>
          <w:rFonts w:ascii="Arial" w:hAnsi="Arial" w:cs="Arial"/>
          <w:b/>
          <w:bCs/>
          <w:sz w:val="22"/>
          <w:szCs w:val="22"/>
        </w:rPr>
        <w:t xml:space="preserve">AHLC - </w:t>
      </w:r>
      <w:r w:rsidRPr="00BC7710">
        <w:rPr>
          <w:rFonts w:ascii="Arial" w:hAnsi="Arial" w:cs="Arial"/>
          <w:b/>
          <w:sz w:val="22"/>
          <w:szCs w:val="22"/>
          <w:lang w:eastAsia="it-IT"/>
        </w:rPr>
        <w:t xml:space="preserve">Jonas </w:t>
      </w:r>
      <w:proofErr w:type="spellStart"/>
      <w:r w:rsidRPr="00BC7710">
        <w:rPr>
          <w:rFonts w:ascii="Arial" w:hAnsi="Arial" w:cs="Arial"/>
          <w:b/>
          <w:sz w:val="22"/>
          <w:szCs w:val="22"/>
          <w:lang w:eastAsia="it-IT"/>
        </w:rPr>
        <w:t>Gahr</w:t>
      </w:r>
      <w:proofErr w:type="spellEnd"/>
      <w:r w:rsidRPr="00BC7710">
        <w:rPr>
          <w:rFonts w:ascii="Arial" w:hAnsi="Arial" w:cs="Arial"/>
          <w:b/>
          <w:sz w:val="22"/>
          <w:szCs w:val="22"/>
          <w:lang w:eastAsia="it-IT"/>
        </w:rPr>
        <w:t xml:space="preserve"> </w:t>
      </w:r>
      <w:proofErr w:type="spellStart"/>
      <w:r w:rsidRPr="00BC7710">
        <w:rPr>
          <w:rFonts w:ascii="Arial" w:hAnsi="Arial" w:cs="Arial"/>
          <w:b/>
          <w:sz w:val="22"/>
          <w:szCs w:val="22"/>
          <w:lang w:eastAsia="it-IT"/>
        </w:rPr>
        <w:t>Støre</w:t>
      </w:r>
      <w:proofErr w:type="spellEnd"/>
      <w:r w:rsidRPr="00BC7710">
        <w:rPr>
          <w:rFonts w:ascii="Arial" w:hAnsi="Arial" w:cs="Arial"/>
          <w:b/>
          <w:sz w:val="22"/>
          <w:szCs w:val="22"/>
          <w:lang w:eastAsia="it-IT"/>
        </w:rPr>
        <w:t xml:space="preserve">, </w:t>
      </w:r>
      <w:r w:rsidRPr="00BC7710">
        <w:rPr>
          <w:rFonts w:ascii="Arial" w:hAnsi="Arial" w:cs="Arial"/>
          <w:sz w:val="22"/>
          <w:szCs w:val="22"/>
          <w:lang w:eastAsia="it-IT"/>
        </w:rPr>
        <w:t xml:space="preserve">Opening Address by Foreign Minister Jonas </w:t>
      </w:r>
      <w:proofErr w:type="spellStart"/>
      <w:r w:rsidRPr="00BC7710">
        <w:rPr>
          <w:rFonts w:ascii="Arial" w:hAnsi="Arial" w:cs="Arial"/>
          <w:sz w:val="22"/>
          <w:szCs w:val="22"/>
          <w:lang w:eastAsia="it-IT"/>
        </w:rPr>
        <w:t>Gahr</w:t>
      </w:r>
      <w:proofErr w:type="spellEnd"/>
      <w:r w:rsidRPr="00BC7710">
        <w:rPr>
          <w:rFonts w:ascii="Arial" w:hAnsi="Arial" w:cs="Arial"/>
          <w:sz w:val="22"/>
          <w:szCs w:val="22"/>
          <w:lang w:eastAsia="it-IT"/>
        </w:rPr>
        <w:t xml:space="preserve"> </w:t>
      </w:r>
      <w:proofErr w:type="spellStart"/>
      <w:r w:rsidRPr="00BC7710">
        <w:rPr>
          <w:rFonts w:ascii="Arial" w:hAnsi="Arial" w:cs="Arial"/>
          <w:sz w:val="22"/>
          <w:szCs w:val="22"/>
          <w:lang w:eastAsia="it-IT"/>
        </w:rPr>
        <w:t>Støre</w:t>
      </w:r>
      <w:proofErr w:type="spellEnd"/>
      <w:r w:rsidRPr="00BC7710">
        <w:rPr>
          <w:rFonts w:ascii="Arial" w:hAnsi="Arial" w:cs="Arial"/>
          <w:sz w:val="22"/>
          <w:szCs w:val="22"/>
          <w:lang w:eastAsia="it-IT"/>
        </w:rPr>
        <w:t>, Chair of the Ad-hoc Liaison Committee, 22 September 2009</w:t>
      </w:r>
    </w:p>
    <w:p w:rsidR="00A574EB" w:rsidRPr="00BC7710" w:rsidRDefault="00A574EB" w:rsidP="00B54C8F">
      <w:pPr>
        <w:pStyle w:val="Paragrafoelenco"/>
        <w:numPr>
          <w:ilvl w:val="0"/>
          <w:numId w:val="50"/>
        </w:numPr>
        <w:spacing w:before="0" w:after="0"/>
        <w:rPr>
          <w:rFonts w:ascii="Arial" w:hAnsi="Arial" w:cs="Arial"/>
          <w:bCs/>
          <w:sz w:val="22"/>
          <w:szCs w:val="22"/>
        </w:rPr>
      </w:pPr>
      <w:r w:rsidRPr="00BC7710">
        <w:rPr>
          <w:rFonts w:ascii="Arial" w:hAnsi="Arial" w:cs="Arial"/>
          <w:b/>
          <w:bCs/>
          <w:sz w:val="22"/>
          <w:szCs w:val="22"/>
        </w:rPr>
        <w:t xml:space="preserve">AHLC - </w:t>
      </w:r>
      <w:r w:rsidRPr="00BC7710">
        <w:rPr>
          <w:rFonts w:ascii="Arial" w:hAnsi="Arial" w:cs="Arial"/>
          <w:b/>
          <w:sz w:val="22"/>
          <w:szCs w:val="22"/>
          <w:lang w:eastAsia="it-IT"/>
        </w:rPr>
        <w:t xml:space="preserve">Jonas </w:t>
      </w:r>
      <w:proofErr w:type="spellStart"/>
      <w:r w:rsidRPr="00BC7710">
        <w:rPr>
          <w:rFonts w:ascii="Arial" w:hAnsi="Arial" w:cs="Arial"/>
          <w:b/>
          <w:sz w:val="22"/>
          <w:szCs w:val="22"/>
          <w:lang w:eastAsia="it-IT"/>
        </w:rPr>
        <w:t>Gahr</w:t>
      </w:r>
      <w:proofErr w:type="spellEnd"/>
      <w:r w:rsidRPr="00BC7710">
        <w:rPr>
          <w:rFonts w:ascii="Arial" w:hAnsi="Arial" w:cs="Arial"/>
          <w:b/>
          <w:sz w:val="22"/>
          <w:szCs w:val="22"/>
          <w:lang w:eastAsia="it-IT"/>
        </w:rPr>
        <w:t xml:space="preserve"> </w:t>
      </w:r>
      <w:proofErr w:type="spellStart"/>
      <w:r w:rsidRPr="00BC7710">
        <w:rPr>
          <w:rFonts w:ascii="Arial" w:hAnsi="Arial" w:cs="Arial"/>
          <w:b/>
          <w:sz w:val="22"/>
          <w:szCs w:val="22"/>
          <w:lang w:eastAsia="it-IT"/>
        </w:rPr>
        <w:t>Støre</w:t>
      </w:r>
      <w:proofErr w:type="spellEnd"/>
      <w:r w:rsidRPr="00BC7710">
        <w:rPr>
          <w:rFonts w:ascii="Arial" w:hAnsi="Arial" w:cs="Arial"/>
          <w:b/>
          <w:sz w:val="22"/>
          <w:szCs w:val="22"/>
          <w:lang w:eastAsia="it-IT"/>
        </w:rPr>
        <w:t xml:space="preserve">, </w:t>
      </w:r>
      <w:r w:rsidRPr="00BC7710">
        <w:rPr>
          <w:rFonts w:ascii="Arial" w:hAnsi="Arial" w:cs="Arial"/>
          <w:sz w:val="22"/>
          <w:szCs w:val="22"/>
          <w:lang w:eastAsia="it-IT"/>
        </w:rPr>
        <w:t xml:space="preserve">Opening Address by Foreign Minister Jonas </w:t>
      </w:r>
      <w:proofErr w:type="spellStart"/>
      <w:r w:rsidRPr="00BC7710">
        <w:rPr>
          <w:rFonts w:ascii="Arial" w:hAnsi="Arial" w:cs="Arial"/>
          <w:sz w:val="22"/>
          <w:szCs w:val="22"/>
          <w:lang w:eastAsia="it-IT"/>
        </w:rPr>
        <w:t>Gahr</w:t>
      </w:r>
      <w:proofErr w:type="spellEnd"/>
      <w:r w:rsidRPr="00BC7710">
        <w:rPr>
          <w:rFonts w:ascii="Arial" w:hAnsi="Arial" w:cs="Arial"/>
          <w:sz w:val="22"/>
          <w:szCs w:val="22"/>
          <w:lang w:eastAsia="it-IT"/>
        </w:rPr>
        <w:t xml:space="preserve"> </w:t>
      </w:r>
      <w:proofErr w:type="spellStart"/>
      <w:r w:rsidRPr="00BC7710">
        <w:rPr>
          <w:rFonts w:ascii="Arial" w:hAnsi="Arial" w:cs="Arial"/>
          <w:sz w:val="22"/>
          <w:szCs w:val="22"/>
          <w:lang w:eastAsia="it-IT"/>
        </w:rPr>
        <w:t>Støre</w:t>
      </w:r>
      <w:proofErr w:type="spellEnd"/>
      <w:r w:rsidRPr="00BC7710">
        <w:rPr>
          <w:rFonts w:ascii="Arial" w:hAnsi="Arial" w:cs="Arial"/>
          <w:sz w:val="22"/>
          <w:szCs w:val="22"/>
          <w:lang w:eastAsia="it-IT"/>
        </w:rPr>
        <w:t>, 13 April 2011</w:t>
      </w:r>
    </w:p>
    <w:p w:rsidR="00A574EB" w:rsidRPr="00BC7710" w:rsidRDefault="00A574EB" w:rsidP="00B54C8F">
      <w:pPr>
        <w:pStyle w:val="Paragrafoelenco"/>
        <w:numPr>
          <w:ilvl w:val="0"/>
          <w:numId w:val="50"/>
        </w:numPr>
        <w:spacing w:before="0" w:after="0"/>
        <w:rPr>
          <w:rFonts w:ascii="Arial" w:hAnsi="Arial" w:cs="Arial"/>
          <w:bCs/>
          <w:sz w:val="22"/>
          <w:szCs w:val="22"/>
        </w:rPr>
      </w:pPr>
      <w:r w:rsidRPr="00BC7710">
        <w:rPr>
          <w:rFonts w:ascii="Arial" w:hAnsi="Arial" w:cs="Arial"/>
          <w:b/>
          <w:bCs/>
          <w:sz w:val="22"/>
          <w:szCs w:val="22"/>
        </w:rPr>
        <w:t xml:space="preserve">AHLC - </w:t>
      </w:r>
      <w:r w:rsidRPr="00BC7710">
        <w:rPr>
          <w:rFonts w:ascii="Arial" w:hAnsi="Arial" w:cs="Arial"/>
          <w:b/>
          <w:sz w:val="22"/>
          <w:szCs w:val="22"/>
          <w:lang w:eastAsia="it-IT"/>
        </w:rPr>
        <w:t xml:space="preserve">Jonas </w:t>
      </w:r>
      <w:proofErr w:type="spellStart"/>
      <w:r w:rsidRPr="00BC7710">
        <w:rPr>
          <w:rFonts w:ascii="Arial" w:hAnsi="Arial" w:cs="Arial"/>
          <w:b/>
          <w:sz w:val="22"/>
          <w:szCs w:val="22"/>
          <w:lang w:eastAsia="it-IT"/>
        </w:rPr>
        <w:t>Gahr</w:t>
      </w:r>
      <w:proofErr w:type="spellEnd"/>
      <w:r w:rsidRPr="00BC7710">
        <w:rPr>
          <w:rFonts w:ascii="Arial" w:hAnsi="Arial" w:cs="Arial"/>
          <w:b/>
          <w:sz w:val="22"/>
          <w:szCs w:val="22"/>
          <w:lang w:eastAsia="it-IT"/>
        </w:rPr>
        <w:t xml:space="preserve"> </w:t>
      </w:r>
      <w:proofErr w:type="spellStart"/>
      <w:r w:rsidRPr="00BC7710">
        <w:rPr>
          <w:rFonts w:ascii="Arial" w:hAnsi="Arial" w:cs="Arial"/>
          <w:b/>
          <w:sz w:val="22"/>
          <w:szCs w:val="22"/>
          <w:lang w:eastAsia="it-IT"/>
        </w:rPr>
        <w:t>Støre</w:t>
      </w:r>
      <w:proofErr w:type="spellEnd"/>
      <w:r w:rsidRPr="00BC7710">
        <w:rPr>
          <w:rFonts w:ascii="Arial" w:hAnsi="Arial" w:cs="Arial"/>
          <w:b/>
          <w:sz w:val="22"/>
          <w:szCs w:val="22"/>
          <w:lang w:eastAsia="it-IT"/>
        </w:rPr>
        <w:t xml:space="preserve">, </w:t>
      </w:r>
      <w:r w:rsidRPr="00BC7710">
        <w:rPr>
          <w:rFonts w:ascii="Arial" w:hAnsi="Arial" w:cs="Arial"/>
          <w:sz w:val="22"/>
          <w:szCs w:val="22"/>
          <w:lang w:eastAsia="it-IT"/>
        </w:rPr>
        <w:t xml:space="preserve">Opening Address by Foreign Minister Jonas </w:t>
      </w:r>
      <w:proofErr w:type="spellStart"/>
      <w:r w:rsidRPr="00BC7710">
        <w:rPr>
          <w:rFonts w:ascii="Arial" w:hAnsi="Arial" w:cs="Arial"/>
          <w:sz w:val="22"/>
          <w:szCs w:val="22"/>
          <w:lang w:eastAsia="it-IT"/>
        </w:rPr>
        <w:t>Gahr</w:t>
      </w:r>
      <w:proofErr w:type="spellEnd"/>
      <w:r w:rsidRPr="00BC7710">
        <w:rPr>
          <w:rFonts w:ascii="Arial" w:hAnsi="Arial" w:cs="Arial"/>
          <w:sz w:val="22"/>
          <w:szCs w:val="22"/>
          <w:lang w:eastAsia="it-IT"/>
        </w:rPr>
        <w:t xml:space="preserve"> </w:t>
      </w:r>
      <w:proofErr w:type="spellStart"/>
      <w:r w:rsidRPr="00BC7710">
        <w:rPr>
          <w:rFonts w:ascii="Arial" w:hAnsi="Arial" w:cs="Arial"/>
          <w:sz w:val="22"/>
          <w:szCs w:val="22"/>
          <w:lang w:eastAsia="it-IT"/>
        </w:rPr>
        <w:t>Støre</w:t>
      </w:r>
      <w:proofErr w:type="spellEnd"/>
      <w:r w:rsidRPr="00BC7710">
        <w:rPr>
          <w:rFonts w:ascii="Arial" w:hAnsi="Arial" w:cs="Arial"/>
          <w:sz w:val="22"/>
          <w:szCs w:val="22"/>
          <w:lang w:eastAsia="it-IT"/>
        </w:rPr>
        <w:t>, 21 March 2012</w:t>
      </w:r>
    </w:p>
    <w:p w:rsidR="00A574EB" w:rsidRPr="00BC7710" w:rsidRDefault="00A574EB" w:rsidP="00B54C8F">
      <w:pPr>
        <w:pStyle w:val="Paragrafoelenco"/>
        <w:numPr>
          <w:ilvl w:val="0"/>
          <w:numId w:val="50"/>
        </w:numPr>
        <w:spacing w:before="0" w:after="0"/>
        <w:rPr>
          <w:rFonts w:ascii="Arial" w:hAnsi="Arial" w:cs="Arial"/>
          <w:bCs/>
          <w:sz w:val="22"/>
          <w:szCs w:val="22"/>
        </w:rPr>
      </w:pPr>
      <w:r w:rsidRPr="00BC7710">
        <w:rPr>
          <w:rFonts w:ascii="Arial" w:hAnsi="Arial" w:cs="Arial"/>
          <w:b/>
          <w:bCs/>
          <w:sz w:val="22"/>
          <w:szCs w:val="22"/>
        </w:rPr>
        <w:t xml:space="preserve">AHLC - </w:t>
      </w:r>
      <w:r w:rsidRPr="00BC7710">
        <w:rPr>
          <w:rFonts w:ascii="Arial" w:hAnsi="Arial" w:cs="Arial"/>
          <w:sz w:val="22"/>
          <w:szCs w:val="22"/>
          <w:lang w:eastAsia="it-IT"/>
        </w:rPr>
        <w:t>Catherine Ashton, Remarks by EU High Representative Catherine Ashton</w:t>
      </w:r>
      <w:r w:rsidRPr="00BC7710">
        <w:rPr>
          <w:rFonts w:ascii="Arial" w:hAnsi="Arial" w:cs="Arial"/>
          <w:sz w:val="22"/>
          <w:szCs w:val="22"/>
          <w:lang w:eastAsia="it-IT"/>
        </w:rPr>
        <w:br/>
        <w:t>after the donor coordination group for the Palestine Territories, 13 April 2011</w:t>
      </w:r>
    </w:p>
    <w:p w:rsidR="00A574EB" w:rsidRPr="00BC7710" w:rsidRDefault="00A574EB" w:rsidP="00A574EB">
      <w:pPr>
        <w:spacing w:before="0" w:after="0"/>
        <w:rPr>
          <w:rFonts w:ascii="Arial" w:hAnsi="Arial" w:cs="Arial"/>
          <w:b/>
          <w:bCs/>
          <w:color w:val="1F497D" w:themeColor="text2"/>
          <w:sz w:val="22"/>
          <w:szCs w:val="22"/>
        </w:rPr>
      </w:pPr>
    </w:p>
    <w:p w:rsidR="00A574EB" w:rsidRPr="00BC7710" w:rsidRDefault="00A574EB" w:rsidP="00A574EB">
      <w:pPr>
        <w:spacing w:before="0" w:after="0"/>
        <w:rPr>
          <w:rFonts w:ascii="Arial" w:hAnsi="Arial" w:cs="Arial"/>
          <w:b/>
          <w:bCs/>
          <w:color w:val="1F497D" w:themeColor="text2"/>
          <w:sz w:val="22"/>
          <w:szCs w:val="22"/>
        </w:rPr>
      </w:pPr>
      <w:r w:rsidRPr="00BC7710">
        <w:rPr>
          <w:rFonts w:ascii="Arial" w:hAnsi="Arial" w:cs="Arial"/>
          <w:b/>
          <w:bCs/>
          <w:color w:val="1F497D" w:themeColor="text2"/>
          <w:sz w:val="22"/>
          <w:szCs w:val="22"/>
        </w:rPr>
        <w:t>AHLC Meeting Minutes</w:t>
      </w:r>
    </w:p>
    <w:p w:rsidR="00A574EB" w:rsidRPr="00BC7710" w:rsidRDefault="00A574EB" w:rsidP="00B54C8F">
      <w:pPr>
        <w:pStyle w:val="Paragrafoelenco"/>
        <w:numPr>
          <w:ilvl w:val="0"/>
          <w:numId w:val="50"/>
        </w:numPr>
        <w:spacing w:before="0" w:after="0"/>
        <w:jc w:val="left"/>
        <w:rPr>
          <w:rFonts w:ascii="Arial" w:hAnsi="Arial" w:cs="Arial"/>
          <w:sz w:val="22"/>
          <w:szCs w:val="22"/>
          <w:lang w:eastAsia="it-IT"/>
        </w:rPr>
      </w:pPr>
      <w:r w:rsidRPr="00BC7710">
        <w:rPr>
          <w:rFonts w:ascii="Arial" w:hAnsi="Arial" w:cs="Arial"/>
          <w:b/>
          <w:sz w:val="22"/>
          <w:szCs w:val="22"/>
          <w:lang w:eastAsia="it-IT"/>
        </w:rPr>
        <w:t>AHLC</w:t>
      </w:r>
      <w:r w:rsidRPr="00BC7710">
        <w:rPr>
          <w:rFonts w:ascii="Arial" w:hAnsi="Arial" w:cs="Arial"/>
          <w:sz w:val="22"/>
          <w:szCs w:val="22"/>
          <w:lang w:eastAsia="it-IT"/>
        </w:rPr>
        <w:t xml:space="preserve"> Meeting Minutes 2007 </w:t>
      </w:r>
      <w:proofErr w:type="spellStart"/>
      <w:r w:rsidRPr="00BC7710">
        <w:rPr>
          <w:rFonts w:ascii="Arial" w:hAnsi="Arial" w:cs="Arial"/>
          <w:sz w:val="22"/>
          <w:szCs w:val="22"/>
          <w:lang w:eastAsia="it-IT"/>
        </w:rPr>
        <w:t>sept</w:t>
      </w:r>
      <w:proofErr w:type="spellEnd"/>
    </w:p>
    <w:p w:rsidR="00A574EB" w:rsidRPr="00BC7710" w:rsidRDefault="00A574EB" w:rsidP="00B54C8F">
      <w:pPr>
        <w:pStyle w:val="Paragrafoelenco"/>
        <w:numPr>
          <w:ilvl w:val="0"/>
          <w:numId w:val="50"/>
        </w:numPr>
        <w:spacing w:before="0" w:after="0"/>
        <w:jc w:val="left"/>
        <w:rPr>
          <w:rFonts w:ascii="Arial" w:hAnsi="Arial" w:cs="Arial"/>
          <w:sz w:val="22"/>
          <w:szCs w:val="22"/>
          <w:lang w:eastAsia="it-IT"/>
        </w:rPr>
      </w:pPr>
      <w:r w:rsidRPr="00BC7710">
        <w:rPr>
          <w:rFonts w:ascii="Arial" w:hAnsi="Arial" w:cs="Arial"/>
          <w:b/>
          <w:sz w:val="22"/>
          <w:szCs w:val="22"/>
          <w:lang w:eastAsia="it-IT"/>
        </w:rPr>
        <w:t>AHLC</w:t>
      </w:r>
      <w:r w:rsidRPr="00BC7710">
        <w:rPr>
          <w:rFonts w:ascii="Arial" w:hAnsi="Arial" w:cs="Arial"/>
          <w:sz w:val="22"/>
          <w:szCs w:val="22"/>
          <w:lang w:eastAsia="it-IT"/>
        </w:rPr>
        <w:t xml:space="preserve"> Meeting Minutes 2008 May </w:t>
      </w:r>
    </w:p>
    <w:p w:rsidR="00A574EB" w:rsidRPr="00BC7710" w:rsidRDefault="00A574EB" w:rsidP="00B54C8F">
      <w:pPr>
        <w:pStyle w:val="Paragrafoelenco"/>
        <w:numPr>
          <w:ilvl w:val="0"/>
          <w:numId w:val="50"/>
        </w:numPr>
        <w:spacing w:before="0" w:after="0"/>
        <w:jc w:val="left"/>
        <w:rPr>
          <w:rFonts w:ascii="Arial" w:hAnsi="Arial" w:cs="Arial"/>
          <w:sz w:val="22"/>
          <w:szCs w:val="22"/>
          <w:lang w:eastAsia="it-IT"/>
        </w:rPr>
      </w:pPr>
      <w:r w:rsidRPr="00BC7710">
        <w:rPr>
          <w:rFonts w:ascii="Arial" w:hAnsi="Arial" w:cs="Arial"/>
          <w:b/>
          <w:sz w:val="22"/>
          <w:szCs w:val="22"/>
          <w:lang w:eastAsia="it-IT"/>
        </w:rPr>
        <w:t>AHLC</w:t>
      </w:r>
      <w:r w:rsidRPr="00BC7710">
        <w:rPr>
          <w:rFonts w:ascii="Arial" w:hAnsi="Arial" w:cs="Arial"/>
          <w:sz w:val="22"/>
          <w:szCs w:val="22"/>
          <w:lang w:eastAsia="it-IT"/>
        </w:rPr>
        <w:t xml:space="preserve"> Meeting Minutes 2009 Sept</w:t>
      </w:r>
    </w:p>
    <w:p w:rsidR="00A574EB" w:rsidRPr="00BC7710" w:rsidRDefault="00A574EB" w:rsidP="00B54C8F">
      <w:pPr>
        <w:pStyle w:val="Paragrafoelenco"/>
        <w:numPr>
          <w:ilvl w:val="0"/>
          <w:numId w:val="50"/>
        </w:numPr>
        <w:spacing w:before="0" w:after="0"/>
        <w:jc w:val="left"/>
        <w:rPr>
          <w:rFonts w:ascii="Arial" w:hAnsi="Arial" w:cs="Arial"/>
          <w:sz w:val="22"/>
          <w:szCs w:val="22"/>
          <w:lang w:eastAsia="it-IT"/>
        </w:rPr>
      </w:pPr>
      <w:r w:rsidRPr="00BC7710">
        <w:rPr>
          <w:rFonts w:ascii="Arial" w:hAnsi="Arial" w:cs="Arial"/>
          <w:b/>
          <w:sz w:val="22"/>
          <w:szCs w:val="22"/>
          <w:lang w:eastAsia="it-IT"/>
        </w:rPr>
        <w:t>AHLC</w:t>
      </w:r>
      <w:r w:rsidRPr="00BC7710">
        <w:rPr>
          <w:rFonts w:ascii="Arial" w:hAnsi="Arial" w:cs="Arial"/>
          <w:sz w:val="22"/>
          <w:szCs w:val="22"/>
          <w:lang w:eastAsia="it-IT"/>
        </w:rPr>
        <w:t xml:space="preserve"> Meeting Minutes 2010 April</w:t>
      </w:r>
    </w:p>
    <w:p w:rsidR="00A574EB" w:rsidRPr="00BC7710" w:rsidRDefault="00A574EB" w:rsidP="00B54C8F">
      <w:pPr>
        <w:pStyle w:val="Paragrafoelenco"/>
        <w:numPr>
          <w:ilvl w:val="0"/>
          <w:numId w:val="50"/>
        </w:numPr>
        <w:spacing w:before="0" w:after="0"/>
        <w:jc w:val="left"/>
        <w:rPr>
          <w:rFonts w:ascii="Arial" w:hAnsi="Arial" w:cs="Arial"/>
          <w:sz w:val="22"/>
          <w:szCs w:val="22"/>
          <w:lang w:val="it-IT" w:eastAsia="it-IT"/>
        </w:rPr>
      </w:pPr>
      <w:r w:rsidRPr="00BC7710">
        <w:rPr>
          <w:rFonts w:ascii="Arial" w:hAnsi="Arial" w:cs="Arial"/>
          <w:b/>
          <w:sz w:val="22"/>
          <w:szCs w:val="22"/>
          <w:lang w:val="it-IT" w:eastAsia="it-IT"/>
        </w:rPr>
        <w:t>AHLC</w:t>
      </w:r>
      <w:r w:rsidRPr="00BC7710">
        <w:rPr>
          <w:rFonts w:ascii="Arial" w:hAnsi="Arial" w:cs="Arial"/>
          <w:sz w:val="22"/>
          <w:szCs w:val="22"/>
          <w:lang w:val="it-IT" w:eastAsia="it-IT"/>
        </w:rPr>
        <w:t xml:space="preserve"> Meeting </w:t>
      </w:r>
      <w:proofErr w:type="spellStart"/>
      <w:r w:rsidRPr="00BC7710">
        <w:rPr>
          <w:rFonts w:ascii="Arial" w:hAnsi="Arial" w:cs="Arial"/>
          <w:sz w:val="22"/>
          <w:szCs w:val="22"/>
          <w:lang w:val="it-IT" w:eastAsia="it-IT"/>
        </w:rPr>
        <w:t>Minutes</w:t>
      </w:r>
      <w:proofErr w:type="spellEnd"/>
      <w:r w:rsidRPr="00BC7710">
        <w:rPr>
          <w:rFonts w:ascii="Arial" w:hAnsi="Arial" w:cs="Arial"/>
          <w:sz w:val="22"/>
          <w:szCs w:val="22"/>
          <w:lang w:val="it-IT" w:eastAsia="it-IT"/>
        </w:rPr>
        <w:t xml:space="preserve"> 2010 </w:t>
      </w:r>
      <w:proofErr w:type="spellStart"/>
      <w:r w:rsidRPr="00BC7710">
        <w:rPr>
          <w:rFonts w:ascii="Arial" w:hAnsi="Arial" w:cs="Arial"/>
          <w:sz w:val="22"/>
          <w:szCs w:val="22"/>
          <w:lang w:val="it-IT" w:eastAsia="it-IT"/>
        </w:rPr>
        <w:t>Sept</w:t>
      </w:r>
      <w:proofErr w:type="spellEnd"/>
    </w:p>
    <w:p w:rsidR="00A574EB" w:rsidRPr="00BC7710" w:rsidRDefault="00A574EB" w:rsidP="00B54C8F">
      <w:pPr>
        <w:pStyle w:val="Paragrafoelenco"/>
        <w:numPr>
          <w:ilvl w:val="0"/>
          <w:numId w:val="51"/>
        </w:numPr>
        <w:spacing w:before="0" w:after="0"/>
        <w:jc w:val="left"/>
        <w:rPr>
          <w:rFonts w:ascii="Arial" w:hAnsi="Arial" w:cs="Arial"/>
          <w:sz w:val="22"/>
          <w:szCs w:val="22"/>
          <w:lang w:val="it-IT" w:eastAsia="it-IT"/>
        </w:rPr>
      </w:pPr>
      <w:r w:rsidRPr="00BC7710">
        <w:rPr>
          <w:rFonts w:ascii="Arial" w:hAnsi="Arial" w:cs="Arial"/>
          <w:b/>
          <w:sz w:val="22"/>
          <w:szCs w:val="22"/>
          <w:lang w:val="it-IT" w:eastAsia="it-IT"/>
        </w:rPr>
        <w:t>AHLC</w:t>
      </w:r>
      <w:r w:rsidRPr="00BC7710">
        <w:rPr>
          <w:rFonts w:ascii="Arial" w:hAnsi="Arial" w:cs="Arial"/>
          <w:sz w:val="22"/>
          <w:szCs w:val="22"/>
          <w:lang w:val="it-IT" w:eastAsia="it-IT"/>
        </w:rPr>
        <w:t xml:space="preserve"> Meeting </w:t>
      </w:r>
      <w:proofErr w:type="spellStart"/>
      <w:r w:rsidRPr="00BC7710">
        <w:rPr>
          <w:rFonts w:ascii="Arial" w:hAnsi="Arial" w:cs="Arial"/>
          <w:sz w:val="22"/>
          <w:szCs w:val="22"/>
          <w:lang w:val="it-IT" w:eastAsia="it-IT"/>
        </w:rPr>
        <w:t>Minutes</w:t>
      </w:r>
      <w:proofErr w:type="spellEnd"/>
      <w:r w:rsidRPr="00BC7710">
        <w:rPr>
          <w:rFonts w:ascii="Arial" w:hAnsi="Arial" w:cs="Arial"/>
          <w:sz w:val="22"/>
          <w:szCs w:val="22"/>
          <w:lang w:val="it-IT" w:eastAsia="it-IT"/>
        </w:rPr>
        <w:t xml:space="preserve"> 2011 </w:t>
      </w:r>
      <w:proofErr w:type="spellStart"/>
      <w:r w:rsidRPr="00BC7710">
        <w:rPr>
          <w:rFonts w:ascii="Arial" w:hAnsi="Arial" w:cs="Arial"/>
          <w:sz w:val="22"/>
          <w:szCs w:val="22"/>
          <w:lang w:val="it-IT" w:eastAsia="it-IT"/>
        </w:rPr>
        <w:t>April</w:t>
      </w:r>
      <w:proofErr w:type="spellEnd"/>
    </w:p>
    <w:p w:rsidR="00A574EB" w:rsidRPr="00BC7710" w:rsidRDefault="00A574EB" w:rsidP="00B54C8F">
      <w:pPr>
        <w:pStyle w:val="Paragrafoelenco"/>
        <w:numPr>
          <w:ilvl w:val="0"/>
          <w:numId w:val="51"/>
        </w:numPr>
        <w:spacing w:before="0" w:after="0"/>
        <w:jc w:val="left"/>
        <w:rPr>
          <w:rFonts w:ascii="Arial" w:hAnsi="Arial" w:cs="Arial"/>
          <w:sz w:val="22"/>
          <w:szCs w:val="22"/>
          <w:lang w:val="it-IT" w:eastAsia="it-IT"/>
        </w:rPr>
      </w:pPr>
      <w:r w:rsidRPr="00BC7710">
        <w:rPr>
          <w:rFonts w:ascii="Arial" w:hAnsi="Arial" w:cs="Arial"/>
          <w:b/>
          <w:sz w:val="22"/>
          <w:szCs w:val="22"/>
          <w:lang w:val="it-IT" w:eastAsia="it-IT"/>
        </w:rPr>
        <w:t>AHLC</w:t>
      </w:r>
      <w:r w:rsidRPr="00BC7710">
        <w:rPr>
          <w:rFonts w:ascii="Arial" w:hAnsi="Arial" w:cs="Arial"/>
          <w:sz w:val="22"/>
          <w:szCs w:val="22"/>
          <w:lang w:val="it-IT" w:eastAsia="it-IT"/>
        </w:rPr>
        <w:t xml:space="preserve"> Meeting </w:t>
      </w:r>
      <w:proofErr w:type="spellStart"/>
      <w:r w:rsidRPr="00BC7710">
        <w:rPr>
          <w:rFonts w:ascii="Arial" w:hAnsi="Arial" w:cs="Arial"/>
          <w:sz w:val="22"/>
          <w:szCs w:val="22"/>
          <w:lang w:val="it-IT" w:eastAsia="it-IT"/>
        </w:rPr>
        <w:t>Minutes</w:t>
      </w:r>
      <w:proofErr w:type="spellEnd"/>
      <w:r w:rsidRPr="00BC7710">
        <w:rPr>
          <w:rFonts w:ascii="Arial" w:hAnsi="Arial" w:cs="Arial"/>
          <w:sz w:val="22"/>
          <w:szCs w:val="22"/>
          <w:lang w:val="it-IT" w:eastAsia="it-IT"/>
        </w:rPr>
        <w:t xml:space="preserve"> 2011 </w:t>
      </w:r>
      <w:proofErr w:type="spellStart"/>
      <w:r w:rsidRPr="00BC7710">
        <w:rPr>
          <w:rFonts w:ascii="Arial" w:hAnsi="Arial" w:cs="Arial"/>
          <w:sz w:val="22"/>
          <w:szCs w:val="22"/>
          <w:lang w:val="it-IT" w:eastAsia="it-IT"/>
        </w:rPr>
        <w:t>Sept</w:t>
      </w:r>
      <w:proofErr w:type="spellEnd"/>
    </w:p>
    <w:p w:rsidR="00A574EB" w:rsidRPr="00BC7710" w:rsidRDefault="00A574EB" w:rsidP="00B54C8F">
      <w:pPr>
        <w:pStyle w:val="Paragrafoelenco"/>
        <w:numPr>
          <w:ilvl w:val="0"/>
          <w:numId w:val="51"/>
        </w:numPr>
        <w:spacing w:before="0" w:after="0"/>
        <w:jc w:val="left"/>
        <w:rPr>
          <w:rFonts w:ascii="Arial" w:hAnsi="Arial" w:cs="Arial"/>
          <w:sz w:val="22"/>
          <w:szCs w:val="22"/>
          <w:lang w:val="it-IT" w:eastAsia="it-IT"/>
        </w:rPr>
      </w:pPr>
      <w:r w:rsidRPr="00BC7710">
        <w:rPr>
          <w:rFonts w:ascii="Arial" w:hAnsi="Arial" w:cs="Arial"/>
          <w:b/>
          <w:sz w:val="22"/>
          <w:szCs w:val="22"/>
          <w:lang w:val="it-IT" w:eastAsia="it-IT"/>
        </w:rPr>
        <w:t>AHLC</w:t>
      </w:r>
      <w:r w:rsidRPr="00BC7710">
        <w:rPr>
          <w:rFonts w:ascii="Arial" w:hAnsi="Arial" w:cs="Arial"/>
          <w:sz w:val="22"/>
          <w:szCs w:val="22"/>
          <w:lang w:val="it-IT" w:eastAsia="it-IT"/>
        </w:rPr>
        <w:t xml:space="preserve"> Meeting </w:t>
      </w:r>
      <w:proofErr w:type="spellStart"/>
      <w:r w:rsidRPr="00BC7710">
        <w:rPr>
          <w:rFonts w:ascii="Arial" w:hAnsi="Arial" w:cs="Arial"/>
          <w:sz w:val="22"/>
          <w:szCs w:val="22"/>
          <w:lang w:val="it-IT" w:eastAsia="it-IT"/>
        </w:rPr>
        <w:t>Minutes</w:t>
      </w:r>
      <w:proofErr w:type="spellEnd"/>
      <w:r w:rsidRPr="00BC7710">
        <w:rPr>
          <w:rFonts w:ascii="Arial" w:hAnsi="Arial" w:cs="Arial"/>
          <w:sz w:val="22"/>
          <w:szCs w:val="22"/>
          <w:lang w:val="it-IT" w:eastAsia="it-IT"/>
        </w:rPr>
        <w:t xml:space="preserve"> 2012 March</w:t>
      </w:r>
    </w:p>
    <w:p w:rsidR="00A574EB" w:rsidRPr="00BC7710" w:rsidRDefault="00A574EB" w:rsidP="00B54C8F">
      <w:pPr>
        <w:pStyle w:val="Paragrafoelenco"/>
        <w:numPr>
          <w:ilvl w:val="0"/>
          <w:numId w:val="51"/>
        </w:numPr>
        <w:spacing w:before="0" w:after="0"/>
        <w:jc w:val="left"/>
        <w:rPr>
          <w:rFonts w:ascii="Arial" w:hAnsi="Arial" w:cs="Arial"/>
          <w:sz w:val="22"/>
          <w:szCs w:val="22"/>
          <w:lang w:val="it-IT" w:eastAsia="it-IT"/>
        </w:rPr>
      </w:pPr>
      <w:r w:rsidRPr="00BC7710">
        <w:rPr>
          <w:rFonts w:ascii="Arial" w:hAnsi="Arial" w:cs="Arial"/>
          <w:b/>
          <w:sz w:val="22"/>
          <w:szCs w:val="22"/>
          <w:lang w:val="it-IT" w:eastAsia="it-IT"/>
        </w:rPr>
        <w:t>AHLC</w:t>
      </w:r>
      <w:r w:rsidRPr="00BC7710">
        <w:rPr>
          <w:rFonts w:ascii="Arial" w:hAnsi="Arial" w:cs="Arial"/>
          <w:sz w:val="22"/>
          <w:szCs w:val="22"/>
          <w:lang w:val="it-IT" w:eastAsia="it-IT"/>
        </w:rPr>
        <w:t xml:space="preserve"> Meeting </w:t>
      </w:r>
      <w:proofErr w:type="spellStart"/>
      <w:r w:rsidRPr="00BC7710">
        <w:rPr>
          <w:rFonts w:ascii="Arial" w:hAnsi="Arial" w:cs="Arial"/>
          <w:sz w:val="22"/>
          <w:szCs w:val="22"/>
          <w:lang w:val="it-IT" w:eastAsia="it-IT"/>
        </w:rPr>
        <w:t>Minutes</w:t>
      </w:r>
      <w:proofErr w:type="spellEnd"/>
      <w:r w:rsidRPr="00BC7710">
        <w:rPr>
          <w:rFonts w:ascii="Arial" w:hAnsi="Arial" w:cs="Arial"/>
          <w:sz w:val="22"/>
          <w:szCs w:val="22"/>
          <w:lang w:val="it-IT" w:eastAsia="it-IT"/>
        </w:rPr>
        <w:t xml:space="preserve"> 2012 </w:t>
      </w:r>
      <w:proofErr w:type="spellStart"/>
      <w:r w:rsidRPr="00BC7710">
        <w:rPr>
          <w:rFonts w:ascii="Arial" w:hAnsi="Arial" w:cs="Arial"/>
          <w:sz w:val="22"/>
          <w:szCs w:val="22"/>
          <w:lang w:val="it-IT" w:eastAsia="it-IT"/>
        </w:rPr>
        <w:t>Sept</w:t>
      </w:r>
      <w:proofErr w:type="spellEnd"/>
    </w:p>
    <w:p w:rsidR="00A574EB" w:rsidRPr="00BC7710" w:rsidRDefault="00A574EB" w:rsidP="00B54C8F">
      <w:pPr>
        <w:pStyle w:val="Paragrafoelenco"/>
        <w:numPr>
          <w:ilvl w:val="0"/>
          <w:numId w:val="51"/>
        </w:numPr>
        <w:spacing w:before="0" w:after="0"/>
        <w:jc w:val="left"/>
        <w:rPr>
          <w:rFonts w:ascii="Arial" w:hAnsi="Arial" w:cs="Arial"/>
          <w:sz w:val="22"/>
          <w:szCs w:val="22"/>
          <w:lang w:val="it-IT" w:eastAsia="it-IT"/>
        </w:rPr>
      </w:pPr>
      <w:r w:rsidRPr="00BC7710">
        <w:rPr>
          <w:rFonts w:ascii="Arial" w:hAnsi="Arial" w:cs="Arial"/>
          <w:b/>
          <w:sz w:val="22"/>
          <w:szCs w:val="22"/>
          <w:lang w:val="it-IT" w:eastAsia="it-IT"/>
        </w:rPr>
        <w:t>AHLC</w:t>
      </w:r>
      <w:r w:rsidRPr="00BC7710">
        <w:rPr>
          <w:rFonts w:ascii="Arial" w:hAnsi="Arial" w:cs="Arial"/>
          <w:sz w:val="22"/>
          <w:szCs w:val="22"/>
          <w:lang w:val="it-IT" w:eastAsia="it-IT"/>
        </w:rPr>
        <w:t xml:space="preserve"> Meeting </w:t>
      </w:r>
      <w:proofErr w:type="spellStart"/>
      <w:r w:rsidRPr="00BC7710">
        <w:rPr>
          <w:rFonts w:ascii="Arial" w:hAnsi="Arial" w:cs="Arial"/>
          <w:sz w:val="22"/>
          <w:szCs w:val="22"/>
          <w:lang w:val="it-IT" w:eastAsia="it-IT"/>
        </w:rPr>
        <w:t>Minutes</w:t>
      </w:r>
      <w:proofErr w:type="spellEnd"/>
      <w:r w:rsidRPr="00BC7710">
        <w:rPr>
          <w:rFonts w:ascii="Arial" w:hAnsi="Arial" w:cs="Arial"/>
          <w:sz w:val="22"/>
          <w:szCs w:val="22"/>
          <w:lang w:val="it-IT" w:eastAsia="it-IT"/>
        </w:rPr>
        <w:t xml:space="preserve"> 2013 March</w:t>
      </w:r>
    </w:p>
    <w:p w:rsidR="00A574EB" w:rsidRPr="00BC7710" w:rsidRDefault="00A574EB" w:rsidP="00BC7710">
      <w:pPr>
        <w:spacing w:before="0" w:after="0"/>
        <w:rPr>
          <w:rFonts w:ascii="Arial" w:hAnsi="Arial" w:cs="Arial"/>
          <w:b/>
          <w:bCs/>
          <w:color w:val="1F497D" w:themeColor="text2"/>
          <w:sz w:val="22"/>
          <w:szCs w:val="22"/>
        </w:rPr>
      </w:pPr>
    </w:p>
    <w:p w:rsidR="00FC181F" w:rsidRPr="00BC7710" w:rsidRDefault="00FC181F" w:rsidP="00BC7710">
      <w:pPr>
        <w:spacing w:before="0" w:after="0"/>
        <w:rPr>
          <w:rFonts w:ascii="Arial" w:hAnsi="Arial" w:cs="Arial"/>
          <w:b/>
          <w:bCs/>
          <w:caps/>
          <w:color w:val="365F92"/>
          <w:sz w:val="24"/>
          <w:szCs w:val="24"/>
        </w:rPr>
      </w:pPr>
      <w:r w:rsidRPr="00BC7710">
        <w:rPr>
          <w:rFonts w:ascii="Arial" w:hAnsi="Arial" w:cs="Arial"/>
          <w:b/>
          <w:bCs/>
          <w:caps/>
          <w:color w:val="365F92"/>
          <w:sz w:val="24"/>
          <w:szCs w:val="24"/>
        </w:rPr>
        <w:t>UNRWA</w:t>
      </w:r>
    </w:p>
    <w:p w:rsidR="00FC181F" w:rsidRPr="00BC7710" w:rsidRDefault="00FC181F" w:rsidP="00B54C8F">
      <w:pPr>
        <w:pStyle w:val="Paragrafoelenco"/>
        <w:numPr>
          <w:ilvl w:val="0"/>
          <w:numId w:val="52"/>
        </w:numPr>
        <w:spacing w:before="0" w:after="0"/>
        <w:ind w:left="426" w:hanging="426"/>
        <w:rPr>
          <w:rFonts w:ascii="Arial" w:hAnsi="Arial" w:cs="Arial"/>
          <w:bCs/>
          <w:sz w:val="22"/>
          <w:szCs w:val="22"/>
        </w:rPr>
      </w:pPr>
      <w:r w:rsidRPr="00BC7710">
        <w:rPr>
          <w:rFonts w:ascii="Arial" w:hAnsi="Arial" w:cs="Arial"/>
          <w:b/>
          <w:sz w:val="22"/>
          <w:szCs w:val="22"/>
          <w:lang w:eastAsia="it-IT"/>
        </w:rPr>
        <w:t>UNRWA</w:t>
      </w:r>
      <w:r w:rsidRPr="00BC7710">
        <w:rPr>
          <w:rFonts w:ascii="Arial" w:hAnsi="Arial" w:cs="Arial"/>
          <w:sz w:val="22"/>
          <w:szCs w:val="22"/>
          <w:lang w:eastAsia="it-IT"/>
        </w:rPr>
        <w:t>,  UNRWA Medium Term Strategy 2010 – 2015, 2010</w:t>
      </w:r>
    </w:p>
    <w:p w:rsidR="00FC181F" w:rsidRPr="00BC7710" w:rsidRDefault="00FC181F" w:rsidP="00B54C8F">
      <w:pPr>
        <w:pStyle w:val="Paragrafoelenco"/>
        <w:numPr>
          <w:ilvl w:val="0"/>
          <w:numId w:val="52"/>
        </w:numPr>
        <w:spacing w:before="0" w:after="0"/>
        <w:ind w:left="426" w:hanging="426"/>
        <w:jc w:val="left"/>
        <w:rPr>
          <w:rFonts w:ascii="Arial" w:hAnsi="Arial" w:cs="Arial"/>
          <w:color w:val="000000"/>
          <w:sz w:val="22"/>
          <w:szCs w:val="22"/>
          <w:lang w:eastAsia="it-IT"/>
        </w:rPr>
      </w:pPr>
      <w:r w:rsidRPr="00BC7710">
        <w:rPr>
          <w:rFonts w:ascii="Arial" w:hAnsi="Arial" w:cs="Arial"/>
          <w:b/>
          <w:sz w:val="22"/>
          <w:szCs w:val="22"/>
          <w:lang w:eastAsia="it-IT"/>
        </w:rPr>
        <w:t>UNRWA</w:t>
      </w:r>
      <w:r w:rsidRPr="00BC7710">
        <w:rPr>
          <w:rFonts w:ascii="Arial" w:hAnsi="Arial" w:cs="Arial"/>
          <w:color w:val="000000"/>
          <w:sz w:val="22"/>
          <w:szCs w:val="22"/>
          <w:lang w:eastAsia="it-IT"/>
        </w:rPr>
        <w:t xml:space="preserve">  MEDIUM TERM STRATEGY OUTLINE 2013; June 2013</w:t>
      </w:r>
    </w:p>
    <w:p w:rsidR="00FC181F" w:rsidRPr="00BC7710" w:rsidRDefault="00FC181F" w:rsidP="00B54C8F">
      <w:pPr>
        <w:pStyle w:val="Paragrafoelenco"/>
        <w:numPr>
          <w:ilvl w:val="0"/>
          <w:numId w:val="58"/>
        </w:numPr>
        <w:spacing w:before="0" w:after="0"/>
        <w:ind w:left="426" w:hanging="426"/>
        <w:jc w:val="left"/>
        <w:rPr>
          <w:rFonts w:ascii="Arial" w:hAnsi="Arial" w:cs="Arial"/>
          <w:color w:val="000000"/>
          <w:sz w:val="22"/>
          <w:szCs w:val="22"/>
          <w:lang w:eastAsia="it-IT"/>
        </w:rPr>
      </w:pPr>
      <w:r w:rsidRPr="00BC7710">
        <w:rPr>
          <w:rFonts w:ascii="Arial" w:hAnsi="Arial" w:cs="Arial"/>
          <w:b/>
          <w:sz w:val="22"/>
          <w:szCs w:val="22"/>
          <w:lang w:eastAsia="it-IT"/>
        </w:rPr>
        <w:t>UNRWA</w:t>
      </w:r>
      <w:r w:rsidRPr="00BC7710">
        <w:rPr>
          <w:rFonts w:ascii="Arial" w:hAnsi="Arial" w:cs="Arial"/>
          <w:color w:val="000000"/>
          <w:sz w:val="22"/>
          <w:szCs w:val="22"/>
          <w:lang w:eastAsia="it-IT"/>
        </w:rPr>
        <w:t xml:space="preserve"> Discussion Paper The EU and UNRWA in Strategic Partnership: Outlines of UNRWA’s Regional Role; 18 </w:t>
      </w:r>
      <w:proofErr w:type="spellStart"/>
      <w:r w:rsidRPr="00BC7710">
        <w:rPr>
          <w:rFonts w:ascii="Arial" w:hAnsi="Arial" w:cs="Arial"/>
          <w:color w:val="000000"/>
          <w:sz w:val="22"/>
          <w:szCs w:val="22"/>
          <w:lang w:eastAsia="it-IT"/>
        </w:rPr>
        <w:t>oct</w:t>
      </w:r>
      <w:proofErr w:type="spellEnd"/>
      <w:r w:rsidRPr="00BC7710">
        <w:rPr>
          <w:rFonts w:ascii="Arial" w:hAnsi="Arial" w:cs="Arial"/>
          <w:color w:val="000000"/>
          <w:sz w:val="22"/>
          <w:szCs w:val="22"/>
          <w:lang w:eastAsia="it-IT"/>
        </w:rPr>
        <w:t xml:space="preserve"> 2010</w:t>
      </w:r>
    </w:p>
    <w:p w:rsidR="00FC181F" w:rsidRPr="00BC7710" w:rsidRDefault="00FC181F" w:rsidP="00B54C8F">
      <w:pPr>
        <w:pStyle w:val="Paragrafoelenco"/>
        <w:numPr>
          <w:ilvl w:val="0"/>
          <w:numId w:val="58"/>
        </w:numPr>
        <w:spacing w:before="0" w:after="0"/>
        <w:ind w:left="426" w:hanging="426"/>
        <w:jc w:val="left"/>
        <w:rPr>
          <w:rFonts w:ascii="Arial" w:hAnsi="Arial" w:cs="Arial"/>
          <w:color w:val="000000"/>
          <w:sz w:val="22"/>
          <w:szCs w:val="22"/>
          <w:lang w:eastAsia="it-IT"/>
        </w:rPr>
      </w:pPr>
      <w:r w:rsidRPr="00BC7710">
        <w:rPr>
          <w:rFonts w:ascii="Arial" w:hAnsi="Arial" w:cs="Arial"/>
          <w:b/>
          <w:sz w:val="22"/>
          <w:szCs w:val="22"/>
          <w:lang w:eastAsia="it-IT"/>
        </w:rPr>
        <w:t>UNRWA</w:t>
      </w:r>
      <w:r w:rsidRPr="00BC7710">
        <w:rPr>
          <w:rFonts w:ascii="Arial" w:hAnsi="Arial" w:cs="Arial"/>
          <w:color w:val="000000"/>
          <w:sz w:val="22"/>
          <w:szCs w:val="22"/>
          <w:lang w:eastAsia="it-IT"/>
        </w:rPr>
        <w:t xml:space="preserve"> THE MANDATE OF UNRWA AT SIXTY; 10 May 2010</w:t>
      </w:r>
    </w:p>
    <w:p w:rsidR="00FC181F" w:rsidRPr="00BC7710" w:rsidRDefault="00FC181F" w:rsidP="00B54C8F">
      <w:pPr>
        <w:pStyle w:val="Paragrafoelenco"/>
        <w:numPr>
          <w:ilvl w:val="0"/>
          <w:numId w:val="58"/>
        </w:numPr>
        <w:spacing w:before="0" w:after="0"/>
        <w:ind w:left="426" w:hanging="426"/>
        <w:jc w:val="left"/>
        <w:rPr>
          <w:rFonts w:ascii="Arial" w:hAnsi="Arial" w:cs="Arial"/>
          <w:color w:val="000000"/>
          <w:sz w:val="22"/>
          <w:szCs w:val="22"/>
          <w:lang w:eastAsia="it-IT"/>
        </w:rPr>
      </w:pPr>
      <w:r w:rsidRPr="00BC7710">
        <w:rPr>
          <w:rFonts w:ascii="Arial" w:hAnsi="Arial" w:cs="Arial"/>
          <w:b/>
          <w:sz w:val="22"/>
          <w:szCs w:val="22"/>
          <w:lang w:eastAsia="it-IT"/>
        </w:rPr>
        <w:t>UNRWA</w:t>
      </w:r>
      <w:r w:rsidRPr="00BC7710">
        <w:rPr>
          <w:rFonts w:ascii="Arial" w:hAnsi="Arial" w:cs="Arial"/>
          <w:color w:val="000000"/>
          <w:sz w:val="22"/>
          <w:szCs w:val="22"/>
          <w:lang w:eastAsia="it-IT"/>
        </w:rPr>
        <w:t xml:space="preserve"> 2011 </w:t>
      </w:r>
      <w:proofErr w:type="spellStart"/>
      <w:r w:rsidRPr="00BC7710">
        <w:rPr>
          <w:rFonts w:ascii="Arial" w:hAnsi="Arial" w:cs="Arial"/>
          <w:color w:val="000000"/>
          <w:sz w:val="22"/>
          <w:szCs w:val="22"/>
          <w:lang w:eastAsia="it-IT"/>
        </w:rPr>
        <w:t>Harmonised</w:t>
      </w:r>
      <w:proofErr w:type="spellEnd"/>
      <w:r w:rsidRPr="00BC7710">
        <w:rPr>
          <w:rFonts w:ascii="Arial" w:hAnsi="Arial" w:cs="Arial"/>
          <w:color w:val="000000"/>
          <w:sz w:val="22"/>
          <w:szCs w:val="22"/>
          <w:lang w:eastAsia="it-IT"/>
        </w:rPr>
        <w:t xml:space="preserve"> UNRWA-Donor Report; 2011</w:t>
      </w:r>
    </w:p>
    <w:p w:rsidR="00FC181F" w:rsidRPr="00BC7710" w:rsidRDefault="00FC181F" w:rsidP="00B54C8F">
      <w:pPr>
        <w:pStyle w:val="Paragrafoelenco"/>
        <w:numPr>
          <w:ilvl w:val="0"/>
          <w:numId w:val="58"/>
        </w:numPr>
        <w:spacing w:before="0" w:after="0"/>
        <w:ind w:left="426" w:hanging="426"/>
        <w:jc w:val="left"/>
        <w:rPr>
          <w:rFonts w:ascii="Arial" w:hAnsi="Arial" w:cs="Arial"/>
          <w:color w:val="000000"/>
          <w:sz w:val="22"/>
          <w:szCs w:val="22"/>
          <w:lang w:eastAsia="it-IT"/>
        </w:rPr>
      </w:pPr>
      <w:r w:rsidRPr="00BC7710">
        <w:rPr>
          <w:rFonts w:ascii="Arial" w:hAnsi="Arial" w:cs="Arial"/>
          <w:b/>
          <w:sz w:val="22"/>
          <w:szCs w:val="22"/>
          <w:lang w:eastAsia="it-IT"/>
        </w:rPr>
        <w:t>UNRWA</w:t>
      </w:r>
      <w:r w:rsidRPr="00BC7710">
        <w:rPr>
          <w:rFonts w:ascii="Arial" w:hAnsi="Arial" w:cs="Arial"/>
          <w:color w:val="000000"/>
          <w:sz w:val="22"/>
          <w:szCs w:val="22"/>
          <w:lang w:eastAsia="it-IT"/>
        </w:rPr>
        <w:t xml:space="preserve"> 2012 </w:t>
      </w:r>
      <w:proofErr w:type="spellStart"/>
      <w:r w:rsidRPr="00BC7710">
        <w:rPr>
          <w:rFonts w:ascii="Arial" w:hAnsi="Arial" w:cs="Arial"/>
          <w:color w:val="000000"/>
          <w:sz w:val="22"/>
          <w:szCs w:val="22"/>
          <w:lang w:eastAsia="it-IT"/>
        </w:rPr>
        <w:t>Harmonised</w:t>
      </w:r>
      <w:proofErr w:type="spellEnd"/>
      <w:r w:rsidRPr="00BC7710">
        <w:rPr>
          <w:rFonts w:ascii="Arial" w:hAnsi="Arial" w:cs="Arial"/>
          <w:color w:val="000000"/>
          <w:sz w:val="22"/>
          <w:szCs w:val="22"/>
          <w:lang w:eastAsia="it-IT"/>
        </w:rPr>
        <w:t xml:space="preserve"> UNRWA-Donor Report; 2012</w:t>
      </w:r>
    </w:p>
    <w:p w:rsidR="00FC181F" w:rsidRPr="00BC7710" w:rsidRDefault="00FC181F" w:rsidP="00B54C8F">
      <w:pPr>
        <w:pStyle w:val="Paragrafoelenco"/>
        <w:numPr>
          <w:ilvl w:val="0"/>
          <w:numId w:val="58"/>
        </w:numPr>
        <w:spacing w:before="0" w:after="0"/>
        <w:ind w:left="426" w:hanging="426"/>
        <w:jc w:val="left"/>
        <w:rPr>
          <w:rFonts w:ascii="Arial" w:hAnsi="Arial" w:cs="Arial"/>
          <w:color w:val="000000"/>
          <w:sz w:val="22"/>
          <w:szCs w:val="22"/>
          <w:lang w:eastAsia="it-IT"/>
        </w:rPr>
      </w:pPr>
      <w:r w:rsidRPr="00BC7710">
        <w:rPr>
          <w:rFonts w:ascii="Arial" w:hAnsi="Arial" w:cs="Arial"/>
          <w:b/>
          <w:sz w:val="22"/>
          <w:szCs w:val="22"/>
          <w:lang w:eastAsia="it-IT"/>
        </w:rPr>
        <w:t>UNRWA</w:t>
      </w:r>
      <w:r w:rsidRPr="00BC7710">
        <w:rPr>
          <w:rFonts w:ascii="Arial" w:hAnsi="Arial" w:cs="Arial"/>
          <w:color w:val="000000"/>
          <w:sz w:val="22"/>
          <w:szCs w:val="22"/>
          <w:lang w:eastAsia="it-IT"/>
        </w:rPr>
        <w:t xml:space="preserve"> HE Efficiency Report Final ; April 2013</w:t>
      </w:r>
    </w:p>
    <w:p w:rsidR="00FC181F" w:rsidRPr="00BC7710" w:rsidRDefault="00FC181F" w:rsidP="00B54C8F">
      <w:pPr>
        <w:pStyle w:val="Paragrafoelenco"/>
        <w:numPr>
          <w:ilvl w:val="0"/>
          <w:numId w:val="58"/>
        </w:numPr>
        <w:spacing w:before="0" w:after="0"/>
        <w:ind w:left="426" w:hanging="426"/>
        <w:jc w:val="left"/>
        <w:rPr>
          <w:rFonts w:ascii="Arial" w:hAnsi="Arial" w:cs="Arial"/>
          <w:color w:val="000000"/>
          <w:sz w:val="22"/>
          <w:szCs w:val="22"/>
          <w:lang w:eastAsia="it-IT"/>
        </w:rPr>
      </w:pPr>
      <w:r w:rsidRPr="00BC7710">
        <w:rPr>
          <w:rFonts w:ascii="Arial" w:hAnsi="Arial" w:cs="Arial"/>
          <w:b/>
          <w:sz w:val="22"/>
          <w:szCs w:val="22"/>
          <w:lang w:eastAsia="it-IT"/>
        </w:rPr>
        <w:t>UNRWA</w:t>
      </w:r>
      <w:r w:rsidRPr="00BC7710">
        <w:rPr>
          <w:rFonts w:ascii="Arial" w:hAnsi="Arial" w:cs="Arial"/>
          <w:color w:val="000000"/>
          <w:sz w:val="22"/>
          <w:szCs w:val="22"/>
          <w:lang w:eastAsia="it-IT"/>
        </w:rPr>
        <w:t xml:space="preserve"> 2012 UNRWA Education Reform Report  - Final; April 2013</w:t>
      </w:r>
    </w:p>
    <w:p w:rsidR="00FC181F" w:rsidRPr="00BC7710" w:rsidRDefault="00FC181F" w:rsidP="00B54C8F">
      <w:pPr>
        <w:pStyle w:val="Paragrafoelenco"/>
        <w:numPr>
          <w:ilvl w:val="0"/>
          <w:numId w:val="58"/>
        </w:numPr>
        <w:spacing w:before="0" w:after="0"/>
        <w:ind w:left="426" w:hanging="426"/>
        <w:jc w:val="left"/>
        <w:rPr>
          <w:rFonts w:ascii="Arial" w:hAnsi="Arial" w:cs="Arial"/>
          <w:color w:val="000000"/>
          <w:sz w:val="22"/>
          <w:szCs w:val="22"/>
          <w:lang w:eastAsia="it-IT"/>
        </w:rPr>
      </w:pPr>
      <w:r w:rsidRPr="00BC7710">
        <w:rPr>
          <w:rFonts w:ascii="Arial" w:hAnsi="Arial" w:cs="Arial"/>
          <w:b/>
          <w:sz w:val="22"/>
          <w:szCs w:val="22"/>
          <w:lang w:eastAsia="it-IT"/>
        </w:rPr>
        <w:t>UNRWA</w:t>
      </w:r>
      <w:r w:rsidRPr="00BC7710">
        <w:rPr>
          <w:rFonts w:ascii="Arial" w:hAnsi="Arial" w:cs="Arial"/>
          <w:color w:val="000000"/>
          <w:sz w:val="22"/>
          <w:szCs w:val="22"/>
          <w:lang w:eastAsia="it-IT"/>
        </w:rPr>
        <w:t xml:space="preserve"> 2012 UNRWA Education Reform Report ; April 2013</w:t>
      </w:r>
    </w:p>
    <w:p w:rsidR="00FC181F" w:rsidRPr="00BC7710" w:rsidRDefault="00FC181F" w:rsidP="00B54C8F">
      <w:pPr>
        <w:pStyle w:val="Paragrafoelenco"/>
        <w:numPr>
          <w:ilvl w:val="0"/>
          <w:numId w:val="58"/>
        </w:numPr>
        <w:spacing w:before="0" w:after="0"/>
        <w:ind w:left="426" w:hanging="426"/>
        <w:jc w:val="left"/>
        <w:rPr>
          <w:rFonts w:ascii="Arial" w:hAnsi="Arial" w:cs="Arial"/>
          <w:color w:val="000000"/>
          <w:sz w:val="22"/>
          <w:szCs w:val="22"/>
          <w:lang w:eastAsia="it-IT"/>
        </w:rPr>
      </w:pPr>
      <w:r w:rsidRPr="00BC7710">
        <w:rPr>
          <w:rFonts w:ascii="Arial" w:hAnsi="Arial" w:cs="Arial"/>
          <w:b/>
          <w:sz w:val="22"/>
          <w:szCs w:val="22"/>
          <w:lang w:eastAsia="it-IT"/>
        </w:rPr>
        <w:t>UNRWA</w:t>
      </w:r>
      <w:r w:rsidRPr="00BC7710">
        <w:rPr>
          <w:rFonts w:ascii="Arial" w:hAnsi="Arial" w:cs="Arial"/>
          <w:color w:val="000000"/>
          <w:sz w:val="22"/>
          <w:szCs w:val="22"/>
          <w:lang w:eastAsia="it-IT"/>
        </w:rPr>
        <w:t xml:space="preserve"> About UNRWA; 2013</w:t>
      </w:r>
    </w:p>
    <w:p w:rsidR="00FC181F" w:rsidRPr="00BC7710" w:rsidRDefault="00FC181F" w:rsidP="00B54C8F">
      <w:pPr>
        <w:pStyle w:val="Paragrafoelenco"/>
        <w:numPr>
          <w:ilvl w:val="0"/>
          <w:numId w:val="58"/>
        </w:numPr>
        <w:spacing w:before="0" w:after="0"/>
        <w:ind w:left="426" w:hanging="426"/>
        <w:jc w:val="left"/>
        <w:rPr>
          <w:rFonts w:ascii="Arial" w:hAnsi="Arial" w:cs="Arial"/>
          <w:color w:val="000000"/>
          <w:sz w:val="22"/>
          <w:szCs w:val="22"/>
          <w:lang w:eastAsia="it-IT"/>
        </w:rPr>
      </w:pPr>
      <w:r w:rsidRPr="00BC7710">
        <w:rPr>
          <w:rFonts w:ascii="Arial" w:hAnsi="Arial" w:cs="Arial"/>
          <w:b/>
          <w:sz w:val="22"/>
          <w:szCs w:val="22"/>
          <w:lang w:eastAsia="it-IT"/>
        </w:rPr>
        <w:t>UNRWA</w:t>
      </w:r>
      <w:r w:rsidRPr="00BC7710">
        <w:rPr>
          <w:rFonts w:ascii="Arial" w:hAnsi="Arial" w:cs="Arial"/>
          <w:color w:val="000000"/>
          <w:sz w:val="22"/>
          <w:szCs w:val="22"/>
          <w:lang w:eastAsia="it-IT"/>
        </w:rPr>
        <w:t xml:space="preserve"> org chart 2013; 2013</w:t>
      </w:r>
    </w:p>
    <w:p w:rsidR="00FC181F" w:rsidRPr="00BC7710" w:rsidRDefault="00FC181F" w:rsidP="00B54C8F">
      <w:pPr>
        <w:pStyle w:val="Paragrafoelenco"/>
        <w:numPr>
          <w:ilvl w:val="0"/>
          <w:numId w:val="58"/>
        </w:numPr>
        <w:spacing w:before="0" w:after="0"/>
        <w:ind w:left="426" w:hanging="426"/>
        <w:jc w:val="left"/>
        <w:rPr>
          <w:rFonts w:ascii="Arial" w:hAnsi="Arial" w:cs="Arial"/>
          <w:color w:val="000000"/>
          <w:sz w:val="22"/>
          <w:szCs w:val="22"/>
          <w:lang w:eastAsia="it-IT"/>
        </w:rPr>
      </w:pPr>
      <w:r w:rsidRPr="00BC7710">
        <w:rPr>
          <w:rFonts w:ascii="Arial" w:hAnsi="Arial" w:cs="Arial"/>
          <w:b/>
          <w:sz w:val="22"/>
          <w:szCs w:val="22"/>
          <w:lang w:eastAsia="it-IT"/>
        </w:rPr>
        <w:t>UNRWA</w:t>
      </w:r>
      <w:r w:rsidRPr="00BC7710">
        <w:rPr>
          <w:rFonts w:ascii="Arial" w:hAnsi="Arial" w:cs="Arial"/>
          <w:color w:val="000000"/>
          <w:sz w:val="22"/>
          <w:szCs w:val="22"/>
          <w:lang w:eastAsia="it-IT"/>
        </w:rPr>
        <w:t xml:space="preserve"> Annual Report UNGA; 2008</w:t>
      </w:r>
    </w:p>
    <w:p w:rsidR="00FC181F" w:rsidRPr="00BC7710" w:rsidRDefault="00FC181F" w:rsidP="00B54C8F">
      <w:pPr>
        <w:pStyle w:val="Paragrafoelenco"/>
        <w:numPr>
          <w:ilvl w:val="0"/>
          <w:numId w:val="58"/>
        </w:numPr>
        <w:spacing w:before="0" w:after="0"/>
        <w:ind w:left="426" w:hanging="426"/>
        <w:jc w:val="left"/>
        <w:rPr>
          <w:rFonts w:ascii="Arial" w:hAnsi="Arial" w:cs="Arial"/>
          <w:color w:val="000000"/>
          <w:sz w:val="22"/>
          <w:szCs w:val="22"/>
          <w:lang w:eastAsia="it-IT"/>
        </w:rPr>
      </w:pPr>
      <w:r w:rsidRPr="00BC7710">
        <w:rPr>
          <w:rFonts w:ascii="Arial" w:hAnsi="Arial" w:cs="Arial"/>
          <w:b/>
          <w:sz w:val="22"/>
          <w:szCs w:val="22"/>
          <w:lang w:eastAsia="it-IT"/>
        </w:rPr>
        <w:t>UNRWA</w:t>
      </w:r>
      <w:r w:rsidRPr="00BC7710">
        <w:rPr>
          <w:rFonts w:ascii="Arial" w:hAnsi="Arial" w:cs="Arial"/>
          <w:color w:val="000000"/>
          <w:sz w:val="22"/>
          <w:szCs w:val="22"/>
          <w:lang w:eastAsia="it-IT"/>
        </w:rPr>
        <w:t xml:space="preserve"> Annual Report UNGA; 2009</w:t>
      </w:r>
    </w:p>
    <w:p w:rsidR="00FC181F" w:rsidRPr="00BC7710" w:rsidRDefault="00FC181F" w:rsidP="00B54C8F">
      <w:pPr>
        <w:pStyle w:val="Paragrafoelenco"/>
        <w:numPr>
          <w:ilvl w:val="0"/>
          <w:numId w:val="58"/>
        </w:numPr>
        <w:spacing w:before="0" w:after="0"/>
        <w:ind w:left="426" w:hanging="426"/>
        <w:jc w:val="left"/>
        <w:rPr>
          <w:rFonts w:ascii="Arial" w:hAnsi="Arial" w:cs="Arial"/>
          <w:color w:val="000000"/>
          <w:sz w:val="22"/>
          <w:szCs w:val="22"/>
          <w:lang w:eastAsia="it-IT"/>
        </w:rPr>
      </w:pPr>
      <w:r w:rsidRPr="00BC7710">
        <w:rPr>
          <w:rFonts w:ascii="Arial" w:hAnsi="Arial" w:cs="Arial"/>
          <w:b/>
          <w:sz w:val="22"/>
          <w:szCs w:val="22"/>
          <w:lang w:eastAsia="it-IT"/>
        </w:rPr>
        <w:t>UNRWA</w:t>
      </w:r>
      <w:r w:rsidRPr="00BC7710">
        <w:rPr>
          <w:rFonts w:ascii="Arial" w:hAnsi="Arial" w:cs="Arial"/>
          <w:color w:val="000000"/>
          <w:sz w:val="22"/>
          <w:szCs w:val="22"/>
          <w:lang w:eastAsia="it-IT"/>
        </w:rPr>
        <w:t xml:space="preserve"> Annual Report UNGA; 2010</w:t>
      </w:r>
    </w:p>
    <w:p w:rsidR="00FC181F" w:rsidRPr="00BC7710" w:rsidRDefault="00FC181F" w:rsidP="00B54C8F">
      <w:pPr>
        <w:pStyle w:val="Paragrafoelenco"/>
        <w:numPr>
          <w:ilvl w:val="0"/>
          <w:numId w:val="58"/>
        </w:numPr>
        <w:spacing w:before="0" w:after="0"/>
        <w:ind w:left="426" w:hanging="426"/>
        <w:jc w:val="left"/>
        <w:rPr>
          <w:rFonts w:ascii="Arial" w:hAnsi="Arial" w:cs="Arial"/>
          <w:color w:val="000000"/>
          <w:sz w:val="22"/>
          <w:szCs w:val="22"/>
          <w:lang w:eastAsia="it-IT"/>
        </w:rPr>
      </w:pPr>
      <w:r w:rsidRPr="00BC7710">
        <w:rPr>
          <w:rFonts w:ascii="Arial" w:hAnsi="Arial" w:cs="Arial"/>
          <w:b/>
          <w:sz w:val="22"/>
          <w:szCs w:val="22"/>
          <w:lang w:eastAsia="it-IT"/>
        </w:rPr>
        <w:t>UNRWA</w:t>
      </w:r>
      <w:r w:rsidRPr="00BC7710">
        <w:rPr>
          <w:rFonts w:ascii="Arial" w:hAnsi="Arial" w:cs="Arial"/>
          <w:color w:val="000000"/>
          <w:sz w:val="22"/>
          <w:szCs w:val="22"/>
          <w:lang w:eastAsia="it-IT"/>
        </w:rPr>
        <w:t xml:space="preserve"> Annual Report UNGA; 2011</w:t>
      </w:r>
    </w:p>
    <w:p w:rsidR="00FC181F" w:rsidRPr="00BC7710" w:rsidRDefault="00FC181F" w:rsidP="00B54C8F">
      <w:pPr>
        <w:pStyle w:val="Paragrafoelenco"/>
        <w:numPr>
          <w:ilvl w:val="0"/>
          <w:numId w:val="58"/>
        </w:numPr>
        <w:spacing w:before="0" w:after="0"/>
        <w:ind w:left="426" w:hanging="426"/>
        <w:jc w:val="left"/>
        <w:rPr>
          <w:rFonts w:ascii="Arial" w:hAnsi="Arial" w:cs="Arial"/>
          <w:color w:val="000000"/>
          <w:sz w:val="22"/>
          <w:szCs w:val="22"/>
          <w:lang w:eastAsia="it-IT"/>
        </w:rPr>
      </w:pPr>
      <w:r w:rsidRPr="00BC7710">
        <w:rPr>
          <w:rFonts w:ascii="Arial" w:hAnsi="Arial" w:cs="Arial"/>
          <w:b/>
          <w:sz w:val="22"/>
          <w:szCs w:val="22"/>
          <w:lang w:eastAsia="it-IT"/>
        </w:rPr>
        <w:t>UNRWA</w:t>
      </w:r>
      <w:r w:rsidRPr="00BC7710">
        <w:rPr>
          <w:rFonts w:ascii="Arial" w:hAnsi="Arial" w:cs="Arial"/>
          <w:color w:val="000000"/>
          <w:sz w:val="22"/>
          <w:szCs w:val="22"/>
          <w:lang w:eastAsia="it-IT"/>
        </w:rPr>
        <w:t xml:space="preserve"> Annual Report UNGA; 2012</w:t>
      </w:r>
    </w:p>
    <w:p w:rsidR="00FC181F" w:rsidRPr="00BC7710" w:rsidRDefault="00FC181F" w:rsidP="00B54C8F">
      <w:pPr>
        <w:pStyle w:val="Paragrafoelenco"/>
        <w:numPr>
          <w:ilvl w:val="0"/>
          <w:numId w:val="58"/>
        </w:numPr>
        <w:spacing w:before="0" w:after="0"/>
        <w:ind w:left="426" w:hanging="426"/>
        <w:jc w:val="left"/>
        <w:rPr>
          <w:rFonts w:ascii="Arial" w:hAnsi="Arial" w:cs="Arial"/>
          <w:color w:val="000000"/>
          <w:sz w:val="22"/>
          <w:szCs w:val="22"/>
          <w:lang w:eastAsia="it-IT"/>
        </w:rPr>
      </w:pPr>
      <w:r w:rsidRPr="00BC7710">
        <w:rPr>
          <w:rFonts w:ascii="Arial" w:hAnsi="Arial" w:cs="Arial"/>
          <w:b/>
          <w:sz w:val="22"/>
          <w:szCs w:val="22"/>
          <w:lang w:eastAsia="it-IT"/>
        </w:rPr>
        <w:t>UNRWA</w:t>
      </w:r>
      <w:r w:rsidRPr="00BC7710">
        <w:rPr>
          <w:rFonts w:ascii="Arial" w:hAnsi="Arial" w:cs="Arial"/>
          <w:color w:val="000000"/>
          <w:sz w:val="22"/>
          <w:szCs w:val="22"/>
          <w:lang w:eastAsia="it-IT"/>
        </w:rPr>
        <w:t xml:space="preserve"> </w:t>
      </w:r>
      <w:proofErr w:type="spellStart"/>
      <w:r w:rsidRPr="00BC7710">
        <w:rPr>
          <w:rFonts w:ascii="Arial" w:hAnsi="Arial" w:cs="Arial"/>
          <w:color w:val="000000"/>
          <w:sz w:val="22"/>
          <w:szCs w:val="22"/>
          <w:lang w:eastAsia="it-IT"/>
        </w:rPr>
        <w:t>UNRWA</w:t>
      </w:r>
      <w:proofErr w:type="spellEnd"/>
      <w:r w:rsidRPr="00BC7710">
        <w:rPr>
          <w:rFonts w:ascii="Arial" w:hAnsi="Arial" w:cs="Arial"/>
          <w:color w:val="000000"/>
          <w:sz w:val="22"/>
          <w:szCs w:val="22"/>
          <w:lang w:eastAsia="it-IT"/>
        </w:rPr>
        <w:t xml:space="preserve"> Management Response to OD Evaluation ; 29 February 2012</w:t>
      </w:r>
    </w:p>
    <w:p w:rsidR="00FC181F" w:rsidRPr="00BC7710" w:rsidRDefault="00FC181F" w:rsidP="00B54C8F">
      <w:pPr>
        <w:pStyle w:val="Paragrafoelenco"/>
        <w:numPr>
          <w:ilvl w:val="0"/>
          <w:numId w:val="58"/>
        </w:numPr>
        <w:spacing w:before="0" w:after="0"/>
        <w:ind w:left="426" w:hanging="426"/>
        <w:jc w:val="left"/>
        <w:rPr>
          <w:rFonts w:ascii="Arial" w:hAnsi="Arial" w:cs="Arial"/>
          <w:color w:val="000000"/>
          <w:sz w:val="22"/>
          <w:szCs w:val="22"/>
          <w:lang w:eastAsia="it-IT"/>
        </w:rPr>
      </w:pPr>
      <w:r w:rsidRPr="00BC7710">
        <w:rPr>
          <w:rFonts w:ascii="Arial" w:hAnsi="Arial" w:cs="Arial"/>
          <w:b/>
          <w:sz w:val="22"/>
          <w:szCs w:val="22"/>
          <w:lang w:eastAsia="it-IT"/>
        </w:rPr>
        <w:t>UNRWA</w:t>
      </w:r>
      <w:r w:rsidRPr="00BC7710">
        <w:rPr>
          <w:rFonts w:ascii="Arial" w:hAnsi="Arial" w:cs="Arial"/>
          <w:color w:val="000000"/>
          <w:sz w:val="22"/>
          <w:szCs w:val="22"/>
          <w:lang w:eastAsia="it-IT"/>
        </w:rPr>
        <w:t xml:space="preserve"> Outline of Protection Initiatives FINAL;  </w:t>
      </w:r>
    </w:p>
    <w:p w:rsidR="00FC181F" w:rsidRPr="00BC7710" w:rsidRDefault="00FC181F" w:rsidP="00B54C8F">
      <w:pPr>
        <w:pStyle w:val="Paragrafoelenco"/>
        <w:numPr>
          <w:ilvl w:val="0"/>
          <w:numId w:val="58"/>
        </w:numPr>
        <w:spacing w:before="0" w:after="0"/>
        <w:ind w:left="426" w:hanging="426"/>
        <w:jc w:val="left"/>
        <w:rPr>
          <w:rFonts w:ascii="Arial" w:hAnsi="Arial" w:cs="Arial"/>
          <w:color w:val="000000"/>
          <w:sz w:val="22"/>
          <w:szCs w:val="22"/>
          <w:lang w:eastAsia="it-IT"/>
        </w:rPr>
      </w:pPr>
      <w:r w:rsidRPr="00BC7710">
        <w:rPr>
          <w:rFonts w:ascii="Arial" w:hAnsi="Arial" w:cs="Arial"/>
          <w:b/>
          <w:sz w:val="22"/>
          <w:szCs w:val="22"/>
          <w:lang w:eastAsia="it-IT"/>
        </w:rPr>
        <w:t>UNRWA</w:t>
      </w:r>
      <w:r w:rsidRPr="00BC7710">
        <w:rPr>
          <w:rFonts w:ascii="Arial" w:hAnsi="Arial" w:cs="Arial"/>
          <w:color w:val="000000"/>
          <w:sz w:val="22"/>
          <w:szCs w:val="22"/>
          <w:lang w:eastAsia="it-IT"/>
        </w:rPr>
        <w:t xml:space="preserve"> Protection Policy 2012; June 2012</w:t>
      </w:r>
    </w:p>
    <w:p w:rsidR="00FC181F" w:rsidRPr="00BC7710" w:rsidRDefault="00FC181F" w:rsidP="00B54C8F">
      <w:pPr>
        <w:pStyle w:val="Paragrafoelenco"/>
        <w:numPr>
          <w:ilvl w:val="0"/>
          <w:numId w:val="58"/>
        </w:numPr>
        <w:spacing w:before="0" w:after="0"/>
        <w:ind w:left="426" w:hanging="426"/>
        <w:jc w:val="left"/>
        <w:rPr>
          <w:rFonts w:ascii="Arial" w:hAnsi="Arial" w:cs="Arial"/>
          <w:color w:val="000000"/>
          <w:sz w:val="22"/>
          <w:szCs w:val="22"/>
          <w:lang w:eastAsia="it-IT"/>
        </w:rPr>
      </w:pPr>
      <w:r w:rsidRPr="00BC7710">
        <w:rPr>
          <w:rFonts w:ascii="Arial" w:hAnsi="Arial" w:cs="Arial"/>
          <w:b/>
          <w:sz w:val="22"/>
          <w:szCs w:val="22"/>
          <w:lang w:eastAsia="it-IT"/>
        </w:rPr>
        <w:t>UNRWA</w:t>
      </w:r>
      <w:r w:rsidRPr="00BC7710">
        <w:rPr>
          <w:rFonts w:ascii="Arial" w:hAnsi="Arial" w:cs="Arial"/>
          <w:color w:val="000000"/>
          <w:sz w:val="22"/>
          <w:szCs w:val="22"/>
          <w:lang w:eastAsia="it-IT"/>
        </w:rPr>
        <w:t xml:space="preserve"> Protection Standards Tool - English 071010; February 2010</w:t>
      </w:r>
    </w:p>
    <w:p w:rsidR="00FC181F" w:rsidRPr="00BC7710" w:rsidRDefault="00FC181F" w:rsidP="00B54C8F">
      <w:pPr>
        <w:pStyle w:val="Paragrafoelenco"/>
        <w:numPr>
          <w:ilvl w:val="0"/>
          <w:numId w:val="58"/>
        </w:numPr>
        <w:spacing w:before="0" w:after="0"/>
        <w:ind w:left="426" w:hanging="426"/>
        <w:jc w:val="left"/>
        <w:rPr>
          <w:rFonts w:ascii="Arial" w:hAnsi="Arial" w:cs="Arial"/>
          <w:color w:val="000000"/>
          <w:sz w:val="22"/>
          <w:szCs w:val="22"/>
          <w:lang w:eastAsia="it-IT"/>
        </w:rPr>
      </w:pPr>
      <w:r w:rsidRPr="00BC7710">
        <w:rPr>
          <w:rFonts w:ascii="Arial" w:hAnsi="Arial" w:cs="Arial"/>
          <w:b/>
          <w:sz w:val="22"/>
          <w:szCs w:val="22"/>
          <w:lang w:eastAsia="it-IT"/>
        </w:rPr>
        <w:t>UNRWA</w:t>
      </w:r>
      <w:r w:rsidRPr="00BC7710">
        <w:rPr>
          <w:rFonts w:ascii="Arial" w:hAnsi="Arial" w:cs="Arial"/>
          <w:color w:val="000000"/>
          <w:sz w:val="22"/>
          <w:szCs w:val="22"/>
          <w:lang w:eastAsia="it-IT"/>
        </w:rPr>
        <w:t xml:space="preserve"> Filed implementation plan Gaza </w:t>
      </w:r>
      <w:proofErr w:type="spellStart"/>
      <w:r w:rsidRPr="00BC7710">
        <w:rPr>
          <w:rFonts w:ascii="Arial" w:hAnsi="Arial" w:cs="Arial"/>
          <w:color w:val="000000"/>
          <w:sz w:val="22"/>
          <w:szCs w:val="22"/>
          <w:lang w:eastAsia="it-IT"/>
        </w:rPr>
        <w:t>Fiel</w:t>
      </w:r>
      <w:proofErr w:type="spellEnd"/>
      <w:r w:rsidRPr="00BC7710">
        <w:rPr>
          <w:rFonts w:ascii="Arial" w:hAnsi="Arial" w:cs="Arial"/>
          <w:color w:val="000000"/>
          <w:sz w:val="22"/>
          <w:szCs w:val="22"/>
          <w:lang w:eastAsia="it-IT"/>
        </w:rPr>
        <w:t xml:space="preserve"> Office GFO 2010-11;  </w:t>
      </w:r>
    </w:p>
    <w:p w:rsidR="00FC181F" w:rsidRPr="00BC7710" w:rsidRDefault="00FC181F" w:rsidP="00B54C8F">
      <w:pPr>
        <w:pStyle w:val="Paragrafoelenco"/>
        <w:numPr>
          <w:ilvl w:val="0"/>
          <w:numId w:val="58"/>
        </w:numPr>
        <w:spacing w:before="0" w:after="0"/>
        <w:ind w:left="426" w:hanging="426"/>
        <w:jc w:val="left"/>
        <w:rPr>
          <w:rFonts w:ascii="Arial" w:hAnsi="Arial" w:cs="Arial"/>
          <w:color w:val="000000"/>
          <w:sz w:val="22"/>
          <w:szCs w:val="22"/>
          <w:lang w:eastAsia="it-IT"/>
        </w:rPr>
      </w:pPr>
      <w:r w:rsidRPr="00BC7710">
        <w:rPr>
          <w:rFonts w:ascii="Arial" w:hAnsi="Arial" w:cs="Arial"/>
          <w:b/>
          <w:sz w:val="22"/>
          <w:szCs w:val="22"/>
          <w:lang w:eastAsia="it-IT"/>
        </w:rPr>
        <w:t>UNRWA</w:t>
      </w:r>
      <w:r w:rsidRPr="00BC7710">
        <w:rPr>
          <w:rFonts w:ascii="Arial" w:hAnsi="Arial" w:cs="Arial"/>
          <w:color w:val="000000"/>
          <w:sz w:val="22"/>
          <w:szCs w:val="22"/>
          <w:lang w:eastAsia="it-IT"/>
        </w:rPr>
        <w:t xml:space="preserve"> Filed implementation plan Jordan Field Office JFO 2010-11;  </w:t>
      </w:r>
    </w:p>
    <w:p w:rsidR="00FC181F" w:rsidRPr="00BC7710" w:rsidRDefault="00FC181F" w:rsidP="00B54C8F">
      <w:pPr>
        <w:pStyle w:val="Paragrafoelenco"/>
        <w:numPr>
          <w:ilvl w:val="0"/>
          <w:numId w:val="58"/>
        </w:numPr>
        <w:spacing w:before="0" w:after="0"/>
        <w:ind w:left="426" w:hanging="426"/>
        <w:jc w:val="left"/>
        <w:rPr>
          <w:rFonts w:ascii="Arial" w:hAnsi="Arial" w:cs="Arial"/>
          <w:color w:val="000000"/>
          <w:sz w:val="22"/>
          <w:szCs w:val="22"/>
          <w:lang w:eastAsia="it-IT"/>
        </w:rPr>
      </w:pPr>
      <w:r w:rsidRPr="00BC7710">
        <w:rPr>
          <w:rFonts w:ascii="Arial" w:hAnsi="Arial" w:cs="Arial"/>
          <w:b/>
          <w:sz w:val="22"/>
          <w:szCs w:val="22"/>
          <w:lang w:eastAsia="it-IT"/>
        </w:rPr>
        <w:t>UNRWA</w:t>
      </w:r>
      <w:r w:rsidRPr="00BC7710">
        <w:rPr>
          <w:rFonts w:ascii="Arial" w:hAnsi="Arial" w:cs="Arial"/>
          <w:color w:val="000000"/>
          <w:sz w:val="22"/>
          <w:szCs w:val="22"/>
          <w:lang w:eastAsia="it-IT"/>
        </w:rPr>
        <w:t xml:space="preserve"> Filed implementation plan Lebanon Field Office LFO 2010-11;  </w:t>
      </w:r>
    </w:p>
    <w:p w:rsidR="00FC181F" w:rsidRPr="00BC7710" w:rsidRDefault="00FC181F" w:rsidP="00B54C8F">
      <w:pPr>
        <w:pStyle w:val="Paragrafoelenco"/>
        <w:numPr>
          <w:ilvl w:val="0"/>
          <w:numId w:val="58"/>
        </w:numPr>
        <w:spacing w:before="0" w:after="0"/>
        <w:ind w:left="426" w:hanging="426"/>
        <w:jc w:val="left"/>
        <w:rPr>
          <w:rFonts w:ascii="Arial" w:hAnsi="Arial" w:cs="Arial"/>
          <w:color w:val="000000"/>
          <w:sz w:val="22"/>
          <w:szCs w:val="22"/>
          <w:lang w:eastAsia="it-IT"/>
        </w:rPr>
      </w:pPr>
      <w:r w:rsidRPr="00BC7710">
        <w:rPr>
          <w:rFonts w:ascii="Arial" w:hAnsi="Arial" w:cs="Arial"/>
          <w:b/>
          <w:sz w:val="22"/>
          <w:szCs w:val="22"/>
          <w:lang w:eastAsia="it-IT"/>
        </w:rPr>
        <w:t>UNRWA</w:t>
      </w:r>
      <w:r w:rsidRPr="00BC7710">
        <w:rPr>
          <w:rFonts w:ascii="Arial" w:hAnsi="Arial" w:cs="Arial"/>
          <w:color w:val="000000"/>
          <w:sz w:val="22"/>
          <w:szCs w:val="22"/>
          <w:lang w:eastAsia="it-IT"/>
        </w:rPr>
        <w:t xml:space="preserve"> Filed implementation plan Syria Field Office SFO 2010-11;  </w:t>
      </w:r>
    </w:p>
    <w:p w:rsidR="00FC181F" w:rsidRPr="00BC7710" w:rsidRDefault="00FC181F" w:rsidP="00B54C8F">
      <w:pPr>
        <w:pStyle w:val="Paragrafoelenco"/>
        <w:numPr>
          <w:ilvl w:val="0"/>
          <w:numId w:val="58"/>
        </w:numPr>
        <w:spacing w:before="0" w:after="0"/>
        <w:ind w:left="426" w:hanging="426"/>
        <w:jc w:val="left"/>
        <w:rPr>
          <w:rFonts w:ascii="Arial" w:hAnsi="Arial" w:cs="Arial"/>
          <w:color w:val="000000"/>
          <w:sz w:val="22"/>
          <w:szCs w:val="22"/>
          <w:lang w:eastAsia="it-IT"/>
        </w:rPr>
      </w:pPr>
      <w:r w:rsidRPr="00BC7710">
        <w:rPr>
          <w:rFonts w:ascii="Arial" w:hAnsi="Arial" w:cs="Arial"/>
          <w:b/>
          <w:sz w:val="22"/>
          <w:szCs w:val="22"/>
          <w:lang w:eastAsia="it-IT"/>
        </w:rPr>
        <w:t>UNRWA</w:t>
      </w:r>
      <w:r w:rsidRPr="00BC7710">
        <w:rPr>
          <w:rFonts w:ascii="Arial" w:hAnsi="Arial" w:cs="Arial"/>
          <w:color w:val="000000"/>
          <w:sz w:val="22"/>
          <w:szCs w:val="22"/>
          <w:lang w:eastAsia="it-IT"/>
        </w:rPr>
        <w:t xml:space="preserve"> Filed implementation plan West Bank Field Office WBFO 2010-11;  </w:t>
      </w:r>
    </w:p>
    <w:p w:rsidR="00FC181F" w:rsidRPr="00BC7710" w:rsidRDefault="00FC181F" w:rsidP="00B54C8F">
      <w:pPr>
        <w:pStyle w:val="Paragrafoelenco"/>
        <w:numPr>
          <w:ilvl w:val="0"/>
          <w:numId w:val="58"/>
        </w:numPr>
        <w:spacing w:before="0" w:after="0"/>
        <w:ind w:left="426" w:hanging="426"/>
        <w:jc w:val="left"/>
        <w:rPr>
          <w:rFonts w:ascii="Arial" w:hAnsi="Arial" w:cs="Arial"/>
          <w:color w:val="000000"/>
          <w:sz w:val="22"/>
          <w:szCs w:val="22"/>
          <w:lang w:eastAsia="it-IT"/>
        </w:rPr>
      </w:pPr>
      <w:r w:rsidRPr="00BC7710">
        <w:rPr>
          <w:rFonts w:ascii="Arial" w:hAnsi="Arial" w:cs="Arial"/>
          <w:b/>
          <w:sz w:val="22"/>
          <w:szCs w:val="22"/>
          <w:lang w:eastAsia="it-IT"/>
        </w:rPr>
        <w:t>UNRWA</w:t>
      </w:r>
      <w:r w:rsidRPr="00BC7710">
        <w:rPr>
          <w:rFonts w:ascii="Arial" w:hAnsi="Arial" w:cs="Arial"/>
          <w:color w:val="000000"/>
          <w:sz w:val="22"/>
          <w:szCs w:val="22"/>
          <w:lang w:eastAsia="it-IT"/>
        </w:rPr>
        <w:t xml:space="preserve"> Filed implementation plan Gaza </w:t>
      </w:r>
      <w:proofErr w:type="spellStart"/>
      <w:r w:rsidRPr="00BC7710">
        <w:rPr>
          <w:rFonts w:ascii="Arial" w:hAnsi="Arial" w:cs="Arial"/>
          <w:color w:val="000000"/>
          <w:sz w:val="22"/>
          <w:szCs w:val="22"/>
          <w:lang w:eastAsia="it-IT"/>
        </w:rPr>
        <w:t>Fiel</w:t>
      </w:r>
      <w:proofErr w:type="spellEnd"/>
      <w:r w:rsidRPr="00BC7710">
        <w:rPr>
          <w:rFonts w:ascii="Arial" w:hAnsi="Arial" w:cs="Arial"/>
          <w:color w:val="000000"/>
          <w:sz w:val="22"/>
          <w:szCs w:val="22"/>
          <w:lang w:eastAsia="it-IT"/>
        </w:rPr>
        <w:t xml:space="preserve"> Office GFO 2012-13;  </w:t>
      </w:r>
    </w:p>
    <w:p w:rsidR="00FC181F" w:rsidRPr="00BC7710" w:rsidRDefault="00FC181F" w:rsidP="00B54C8F">
      <w:pPr>
        <w:pStyle w:val="Paragrafoelenco"/>
        <w:numPr>
          <w:ilvl w:val="0"/>
          <w:numId w:val="58"/>
        </w:numPr>
        <w:spacing w:before="0" w:after="0"/>
        <w:ind w:left="426" w:hanging="426"/>
        <w:jc w:val="left"/>
        <w:rPr>
          <w:rFonts w:ascii="Arial" w:hAnsi="Arial" w:cs="Arial"/>
          <w:color w:val="000000"/>
          <w:sz w:val="22"/>
          <w:szCs w:val="22"/>
          <w:lang w:eastAsia="it-IT"/>
        </w:rPr>
      </w:pPr>
      <w:r w:rsidRPr="00BC7710">
        <w:rPr>
          <w:rFonts w:ascii="Arial" w:hAnsi="Arial" w:cs="Arial"/>
          <w:b/>
          <w:sz w:val="22"/>
          <w:szCs w:val="22"/>
          <w:lang w:eastAsia="it-IT"/>
        </w:rPr>
        <w:t>UNRWA</w:t>
      </w:r>
      <w:r w:rsidRPr="00BC7710">
        <w:rPr>
          <w:rFonts w:ascii="Arial" w:hAnsi="Arial" w:cs="Arial"/>
          <w:color w:val="000000"/>
          <w:sz w:val="22"/>
          <w:szCs w:val="22"/>
          <w:lang w:eastAsia="it-IT"/>
        </w:rPr>
        <w:t xml:space="preserve"> Headquarters Implementation Plan 2012-13;  </w:t>
      </w:r>
    </w:p>
    <w:p w:rsidR="00FC181F" w:rsidRPr="00BC7710" w:rsidRDefault="00FC181F" w:rsidP="00B54C8F">
      <w:pPr>
        <w:pStyle w:val="Paragrafoelenco"/>
        <w:numPr>
          <w:ilvl w:val="0"/>
          <w:numId w:val="58"/>
        </w:numPr>
        <w:spacing w:before="0" w:after="0"/>
        <w:ind w:left="426" w:hanging="426"/>
        <w:jc w:val="left"/>
        <w:rPr>
          <w:rFonts w:ascii="Arial" w:hAnsi="Arial" w:cs="Arial"/>
          <w:color w:val="000000"/>
          <w:sz w:val="22"/>
          <w:szCs w:val="22"/>
          <w:lang w:eastAsia="it-IT"/>
        </w:rPr>
      </w:pPr>
      <w:r w:rsidRPr="00BC7710">
        <w:rPr>
          <w:rFonts w:ascii="Arial" w:hAnsi="Arial" w:cs="Arial"/>
          <w:b/>
          <w:sz w:val="22"/>
          <w:szCs w:val="22"/>
          <w:lang w:eastAsia="it-IT"/>
        </w:rPr>
        <w:t>UNRWA</w:t>
      </w:r>
      <w:r w:rsidRPr="00BC7710">
        <w:rPr>
          <w:rFonts w:ascii="Arial" w:hAnsi="Arial" w:cs="Arial"/>
          <w:color w:val="000000"/>
          <w:sz w:val="22"/>
          <w:szCs w:val="22"/>
          <w:lang w:eastAsia="it-IT"/>
        </w:rPr>
        <w:t xml:space="preserve"> Headquarters Implementation Plan Education 2010-11;  </w:t>
      </w:r>
    </w:p>
    <w:p w:rsidR="00FC181F" w:rsidRPr="00BC7710" w:rsidRDefault="00FC181F" w:rsidP="00B54C8F">
      <w:pPr>
        <w:pStyle w:val="Paragrafoelenco"/>
        <w:numPr>
          <w:ilvl w:val="0"/>
          <w:numId w:val="58"/>
        </w:numPr>
        <w:spacing w:before="0" w:after="0"/>
        <w:ind w:left="426" w:hanging="426"/>
        <w:jc w:val="left"/>
        <w:rPr>
          <w:rFonts w:ascii="Arial" w:hAnsi="Arial" w:cs="Arial"/>
          <w:color w:val="000000"/>
          <w:sz w:val="22"/>
          <w:szCs w:val="22"/>
          <w:lang w:eastAsia="it-IT"/>
        </w:rPr>
      </w:pPr>
      <w:r w:rsidRPr="00BC7710">
        <w:rPr>
          <w:rFonts w:ascii="Arial" w:hAnsi="Arial" w:cs="Arial"/>
          <w:b/>
          <w:sz w:val="22"/>
          <w:szCs w:val="22"/>
          <w:lang w:eastAsia="it-IT"/>
        </w:rPr>
        <w:lastRenderedPageBreak/>
        <w:t>UNRWA</w:t>
      </w:r>
      <w:r w:rsidRPr="00BC7710">
        <w:rPr>
          <w:rFonts w:ascii="Arial" w:hAnsi="Arial" w:cs="Arial"/>
          <w:color w:val="000000"/>
          <w:sz w:val="22"/>
          <w:szCs w:val="22"/>
          <w:lang w:eastAsia="it-IT"/>
        </w:rPr>
        <w:t xml:space="preserve"> Headquarters Implementation Plan Health 2010-11;  </w:t>
      </w:r>
    </w:p>
    <w:p w:rsidR="00FC181F" w:rsidRPr="00BC7710" w:rsidRDefault="00FC181F" w:rsidP="00B54C8F">
      <w:pPr>
        <w:pStyle w:val="Paragrafoelenco"/>
        <w:numPr>
          <w:ilvl w:val="0"/>
          <w:numId w:val="58"/>
        </w:numPr>
        <w:spacing w:before="0" w:after="0"/>
        <w:ind w:left="426" w:hanging="426"/>
        <w:jc w:val="left"/>
        <w:rPr>
          <w:rFonts w:ascii="Arial" w:hAnsi="Arial" w:cs="Arial"/>
          <w:color w:val="000000"/>
          <w:sz w:val="22"/>
          <w:szCs w:val="22"/>
          <w:lang w:eastAsia="it-IT"/>
        </w:rPr>
      </w:pPr>
      <w:r w:rsidRPr="00BC7710">
        <w:rPr>
          <w:rFonts w:ascii="Arial" w:hAnsi="Arial" w:cs="Arial"/>
          <w:b/>
          <w:sz w:val="22"/>
          <w:szCs w:val="22"/>
          <w:lang w:eastAsia="it-IT"/>
        </w:rPr>
        <w:t>UNRWA</w:t>
      </w:r>
      <w:r w:rsidRPr="00BC7710">
        <w:rPr>
          <w:rFonts w:ascii="Arial" w:hAnsi="Arial" w:cs="Arial"/>
          <w:color w:val="000000"/>
          <w:sz w:val="22"/>
          <w:szCs w:val="22"/>
          <w:lang w:eastAsia="it-IT"/>
        </w:rPr>
        <w:t xml:space="preserve"> Headquarters Implementation Plan Relief 2010-11;  </w:t>
      </w:r>
    </w:p>
    <w:p w:rsidR="00FC181F" w:rsidRPr="00BC7710" w:rsidRDefault="00FC181F" w:rsidP="00B54C8F">
      <w:pPr>
        <w:pStyle w:val="Paragrafoelenco"/>
        <w:numPr>
          <w:ilvl w:val="0"/>
          <w:numId w:val="58"/>
        </w:numPr>
        <w:spacing w:before="0" w:after="0"/>
        <w:ind w:left="426" w:hanging="426"/>
        <w:jc w:val="left"/>
        <w:rPr>
          <w:rFonts w:ascii="Arial" w:hAnsi="Arial" w:cs="Arial"/>
          <w:color w:val="000000"/>
          <w:sz w:val="22"/>
          <w:szCs w:val="22"/>
          <w:lang w:eastAsia="it-IT"/>
        </w:rPr>
      </w:pPr>
      <w:r w:rsidRPr="00BC7710">
        <w:rPr>
          <w:rFonts w:ascii="Arial" w:hAnsi="Arial" w:cs="Arial"/>
          <w:b/>
          <w:sz w:val="22"/>
          <w:szCs w:val="22"/>
          <w:lang w:eastAsia="it-IT"/>
        </w:rPr>
        <w:t>UNRWA</w:t>
      </w:r>
      <w:r w:rsidRPr="00BC7710">
        <w:rPr>
          <w:rFonts w:ascii="Arial" w:hAnsi="Arial" w:cs="Arial"/>
          <w:color w:val="000000"/>
          <w:sz w:val="22"/>
          <w:szCs w:val="22"/>
          <w:lang w:eastAsia="it-IT"/>
        </w:rPr>
        <w:t xml:space="preserve"> Filed implementation plan Jordan Field Office JFO 2012-13;  </w:t>
      </w:r>
    </w:p>
    <w:p w:rsidR="00FC181F" w:rsidRPr="00BC7710" w:rsidRDefault="00FC181F" w:rsidP="00B54C8F">
      <w:pPr>
        <w:pStyle w:val="Paragrafoelenco"/>
        <w:numPr>
          <w:ilvl w:val="0"/>
          <w:numId w:val="58"/>
        </w:numPr>
        <w:spacing w:before="0" w:after="0"/>
        <w:ind w:left="426" w:hanging="426"/>
        <w:jc w:val="left"/>
        <w:rPr>
          <w:rFonts w:ascii="Arial" w:hAnsi="Arial" w:cs="Arial"/>
          <w:color w:val="000000"/>
          <w:sz w:val="22"/>
          <w:szCs w:val="22"/>
          <w:lang w:eastAsia="it-IT"/>
        </w:rPr>
      </w:pPr>
      <w:r w:rsidRPr="00BC7710">
        <w:rPr>
          <w:rFonts w:ascii="Arial" w:hAnsi="Arial" w:cs="Arial"/>
          <w:b/>
          <w:sz w:val="22"/>
          <w:szCs w:val="22"/>
          <w:lang w:eastAsia="it-IT"/>
        </w:rPr>
        <w:t>UNRWA</w:t>
      </w:r>
      <w:r w:rsidRPr="00BC7710">
        <w:rPr>
          <w:rFonts w:ascii="Arial" w:hAnsi="Arial" w:cs="Arial"/>
          <w:color w:val="000000"/>
          <w:sz w:val="22"/>
          <w:szCs w:val="22"/>
          <w:lang w:eastAsia="it-IT"/>
        </w:rPr>
        <w:t xml:space="preserve"> Filed implementation plan Lebanon Field Office LFO 2012-13;  </w:t>
      </w:r>
    </w:p>
    <w:p w:rsidR="00FC181F" w:rsidRPr="00BC7710" w:rsidRDefault="00FC181F" w:rsidP="00B54C8F">
      <w:pPr>
        <w:pStyle w:val="Paragrafoelenco"/>
        <w:numPr>
          <w:ilvl w:val="0"/>
          <w:numId w:val="58"/>
        </w:numPr>
        <w:spacing w:before="0" w:after="0"/>
        <w:ind w:left="426" w:hanging="426"/>
        <w:jc w:val="left"/>
        <w:rPr>
          <w:rFonts w:ascii="Arial" w:hAnsi="Arial" w:cs="Arial"/>
          <w:color w:val="000000"/>
          <w:sz w:val="22"/>
          <w:szCs w:val="22"/>
          <w:lang w:eastAsia="it-IT"/>
        </w:rPr>
      </w:pPr>
      <w:r w:rsidRPr="00BC7710">
        <w:rPr>
          <w:rFonts w:ascii="Arial" w:hAnsi="Arial" w:cs="Arial"/>
          <w:b/>
          <w:sz w:val="22"/>
          <w:szCs w:val="22"/>
          <w:lang w:eastAsia="it-IT"/>
        </w:rPr>
        <w:t>UNRWA</w:t>
      </w:r>
      <w:r w:rsidRPr="00BC7710">
        <w:rPr>
          <w:rFonts w:ascii="Arial" w:hAnsi="Arial" w:cs="Arial"/>
          <w:color w:val="000000"/>
          <w:sz w:val="22"/>
          <w:szCs w:val="22"/>
          <w:lang w:eastAsia="it-IT"/>
        </w:rPr>
        <w:t xml:space="preserve"> Filed implementation plan Syria Field Office SFO 2012-13;  </w:t>
      </w:r>
    </w:p>
    <w:p w:rsidR="00FC181F" w:rsidRPr="00BC7710" w:rsidRDefault="00FC181F" w:rsidP="00B54C8F">
      <w:pPr>
        <w:pStyle w:val="Paragrafoelenco"/>
        <w:numPr>
          <w:ilvl w:val="0"/>
          <w:numId w:val="58"/>
        </w:numPr>
        <w:spacing w:before="0" w:after="0"/>
        <w:ind w:left="426" w:hanging="426"/>
        <w:jc w:val="left"/>
        <w:rPr>
          <w:rFonts w:ascii="Arial" w:hAnsi="Arial" w:cs="Arial"/>
          <w:color w:val="000000"/>
          <w:sz w:val="22"/>
          <w:szCs w:val="22"/>
          <w:lang w:eastAsia="it-IT"/>
        </w:rPr>
      </w:pPr>
      <w:r w:rsidRPr="00BC7710">
        <w:rPr>
          <w:rFonts w:ascii="Arial" w:hAnsi="Arial" w:cs="Arial"/>
          <w:b/>
          <w:sz w:val="22"/>
          <w:szCs w:val="22"/>
          <w:lang w:eastAsia="it-IT"/>
        </w:rPr>
        <w:t>UNRWA</w:t>
      </w:r>
      <w:r w:rsidRPr="00BC7710">
        <w:rPr>
          <w:rFonts w:ascii="Arial" w:hAnsi="Arial" w:cs="Arial"/>
          <w:color w:val="000000"/>
          <w:sz w:val="22"/>
          <w:szCs w:val="22"/>
          <w:lang w:eastAsia="it-IT"/>
        </w:rPr>
        <w:t xml:space="preserve"> Filed implementation plan West Bank Field Office WBFO 2012-13;  </w:t>
      </w:r>
    </w:p>
    <w:p w:rsidR="00725733" w:rsidRDefault="00725733" w:rsidP="00B54C8F">
      <w:pPr>
        <w:pStyle w:val="Paragrafoelenco"/>
        <w:numPr>
          <w:ilvl w:val="0"/>
          <w:numId w:val="58"/>
        </w:numPr>
        <w:autoSpaceDE w:val="0"/>
        <w:autoSpaceDN w:val="0"/>
        <w:adjustRightInd w:val="0"/>
        <w:spacing w:before="0" w:after="0"/>
        <w:ind w:left="426" w:hanging="426"/>
        <w:contextualSpacing w:val="0"/>
        <w:jc w:val="left"/>
        <w:rPr>
          <w:rFonts w:ascii="Arial" w:hAnsi="Arial" w:cs="Arial"/>
          <w:sz w:val="23"/>
          <w:szCs w:val="23"/>
          <w:lang w:eastAsia="it-IT"/>
        </w:rPr>
      </w:pPr>
      <w:r w:rsidRPr="00952738">
        <w:rPr>
          <w:rFonts w:ascii="Arial" w:hAnsi="Arial" w:cs="Arial"/>
          <w:b/>
          <w:sz w:val="23"/>
          <w:szCs w:val="23"/>
          <w:lang w:eastAsia="it-IT"/>
        </w:rPr>
        <w:t>UNRWA</w:t>
      </w:r>
      <w:r w:rsidRPr="00952738">
        <w:rPr>
          <w:rFonts w:ascii="Arial" w:hAnsi="Arial" w:cs="Arial"/>
          <w:sz w:val="23"/>
          <w:szCs w:val="23"/>
          <w:lang w:eastAsia="it-IT"/>
        </w:rPr>
        <w:t xml:space="preserve"> Explanatory Note Key privileges and immunities of UNRWA and related responsibilities and standard operating procedures of UNRWA and the Palestinian Authority</w:t>
      </w:r>
    </w:p>
    <w:p w:rsidR="00725733" w:rsidRPr="00952738" w:rsidRDefault="00725733" w:rsidP="00B54C8F">
      <w:pPr>
        <w:pStyle w:val="Paragrafoelenco"/>
        <w:numPr>
          <w:ilvl w:val="0"/>
          <w:numId w:val="58"/>
        </w:numPr>
        <w:autoSpaceDE w:val="0"/>
        <w:autoSpaceDN w:val="0"/>
        <w:adjustRightInd w:val="0"/>
        <w:spacing w:before="0" w:after="0"/>
        <w:ind w:left="426" w:hanging="426"/>
        <w:contextualSpacing w:val="0"/>
        <w:jc w:val="left"/>
        <w:rPr>
          <w:rFonts w:ascii="Arial" w:hAnsi="Arial" w:cs="Arial"/>
          <w:sz w:val="23"/>
          <w:szCs w:val="23"/>
          <w:lang w:eastAsia="it-IT"/>
        </w:rPr>
      </w:pPr>
      <w:r w:rsidRPr="00952738">
        <w:rPr>
          <w:rFonts w:ascii="Arial" w:hAnsi="Arial" w:cs="Arial"/>
          <w:b/>
          <w:sz w:val="23"/>
          <w:szCs w:val="23"/>
          <w:lang w:eastAsia="it-IT"/>
        </w:rPr>
        <w:t>UNRWA</w:t>
      </w:r>
      <w:r w:rsidRPr="00952738">
        <w:rPr>
          <w:rFonts w:ascii="Arial" w:hAnsi="Arial" w:cs="Arial"/>
          <w:sz w:val="23"/>
          <w:szCs w:val="23"/>
          <w:lang w:eastAsia="it-IT"/>
        </w:rPr>
        <w:t xml:space="preserve"> in the Near East and Lebanon, Exchange of notes constituting an over-all agreement (with annexed specific arrangement). Beirut, 26 November 1954 </w:t>
      </w:r>
    </w:p>
    <w:p w:rsidR="00725733" w:rsidRPr="00952738" w:rsidRDefault="00725733" w:rsidP="00B54C8F">
      <w:pPr>
        <w:pStyle w:val="Paragrafoelenco"/>
        <w:numPr>
          <w:ilvl w:val="0"/>
          <w:numId w:val="58"/>
        </w:numPr>
        <w:autoSpaceDE w:val="0"/>
        <w:autoSpaceDN w:val="0"/>
        <w:adjustRightInd w:val="0"/>
        <w:spacing w:before="0" w:after="0"/>
        <w:ind w:left="426" w:hanging="426"/>
        <w:contextualSpacing w:val="0"/>
        <w:jc w:val="left"/>
        <w:rPr>
          <w:rFonts w:ascii="Arial" w:hAnsi="Arial" w:cs="Arial"/>
          <w:sz w:val="23"/>
          <w:szCs w:val="23"/>
          <w:lang w:eastAsia="it-IT"/>
        </w:rPr>
      </w:pPr>
      <w:r w:rsidRPr="00952738">
        <w:rPr>
          <w:rFonts w:ascii="Arial" w:hAnsi="Arial" w:cs="Arial"/>
          <w:b/>
          <w:sz w:val="23"/>
          <w:szCs w:val="23"/>
          <w:lang w:eastAsia="it-IT"/>
        </w:rPr>
        <w:t>UNRWA</w:t>
      </w:r>
      <w:r w:rsidRPr="00952738">
        <w:rPr>
          <w:rFonts w:ascii="Arial" w:hAnsi="Arial" w:cs="Arial"/>
          <w:sz w:val="23"/>
          <w:szCs w:val="23"/>
          <w:lang w:eastAsia="it-IT"/>
        </w:rPr>
        <w:t xml:space="preserve"> Report on UNRWA’s resource mobilization strategy 2012-2015 final 2012 findings/ April 2013</w:t>
      </w:r>
    </w:p>
    <w:p w:rsidR="00725733" w:rsidRPr="00952738" w:rsidRDefault="00725733" w:rsidP="00B54C8F">
      <w:pPr>
        <w:pStyle w:val="Paragrafoelenco"/>
        <w:numPr>
          <w:ilvl w:val="0"/>
          <w:numId w:val="58"/>
        </w:numPr>
        <w:autoSpaceDE w:val="0"/>
        <w:autoSpaceDN w:val="0"/>
        <w:adjustRightInd w:val="0"/>
        <w:spacing w:before="0" w:after="0"/>
        <w:ind w:left="426" w:hanging="426"/>
        <w:contextualSpacing w:val="0"/>
        <w:jc w:val="left"/>
        <w:rPr>
          <w:rFonts w:ascii="Arial" w:hAnsi="Arial" w:cs="Arial"/>
          <w:sz w:val="23"/>
          <w:szCs w:val="23"/>
          <w:lang w:eastAsia="it-IT"/>
        </w:rPr>
      </w:pPr>
      <w:r w:rsidRPr="00952738">
        <w:rPr>
          <w:rFonts w:ascii="Arial" w:hAnsi="Arial" w:cs="Arial"/>
          <w:b/>
          <w:sz w:val="23"/>
          <w:szCs w:val="23"/>
          <w:lang w:eastAsia="it-IT"/>
        </w:rPr>
        <w:t>UNRWA</w:t>
      </w:r>
      <w:r w:rsidRPr="00952738">
        <w:rPr>
          <w:rFonts w:ascii="Arial" w:hAnsi="Arial" w:cs="Arial"/>
          <w:sz w:val="23"/>
          <w:szCs w:val="23"/>
          <w:lang w:eastAsia="it-IT"/>
        </w:rPr>
        <w:t xml:space="preserve"> medium term strategy (</w:t>
      </w:r>
      <w:proofErr w:type="spellStart"/>
      <w:r w:rsidRPr="00952738">
        <w:rPr>
          <w:rFonts w:ascii="Arial" w:hAnsi="Arial" w:cs="Arial"/>
          <w:sz w:val="23"/>
          <w:szCs w:val="23"/>
          <w:lang w:eastAsia="it-IT"/>
        </w:rPr>
        <w:t>mts</w:t>
      </w:r>
      <w:proofErr w:type="spellEnd"/>
      <w:r w:rsidRPr="00952738">
        <w:rPr>
          <w:rFonts w:ascii="Arial" w:hAnsi="Arial" w:cs="Arial"/>
          <w:sz w:val="23"/>
          <w:szCs w:val="23"/>
          <w:lang w:eastAsia="it-IT"/>
        </w:rPr>
        <w:t>) blueprint, November 2013</w:t>
      </w:r>
    </w:p>
    <w:p w:rsidR="00725733" w:rsidRPr="00952738" w:rsidRDefault="00725733" w:rsidP="00B54C8F">
      <w:pPr>
        <w:pStyle w:val="Paragrafoelenco"/>
        <w:numPr>
          <w:ilvl w:val="0"/>
          <w:numId w:val="58"/>
        </w:numPr>
        <w:spacing w:before="0" w:after="0"/>
        <w:ind w:left="426" w:hanging="426"/>
        <w:contextualSpacing w:val="0"/>
        <w:jc w:val="left"/>
        <w:rPr>
          <w:rFonts w:ascii="Arial" w:hAnsi="Arial" w:cs="Arial"/>
          <w:sz w:val="23"/>
          <w:szCs w:val="23"/>
          <w:lang w:eastAsia="it-IT"/>
        </w:rPr>
      </w:pPr>
      <w:r w:rsidRPr="00952738">
        <w:rPr>
          <w:rFonts w:ascii="Arial" w:hAnsi="Arial" w:cs="Arial"/>
          <w:b/>
          <w:sz w:val="23"/>
          <w:szCs w:val="23"/>
          <w:lang w:eastAsia="it-IT"/>
        </w:rPr>
        <w:t>UNRWA</w:t>
      </w:r>
      <w:r w:rsidRPr="00952738">
        <w:rPr>
          <w:rFonts w:ascii="Arial" w:hAnsi="Arial" w:cs="Arial"/>
          <w:sz w:val="23"/>
          <w:szCs w:val="23"/>
          <w:lang w:eastAsia="it-IT"/>
        </w:rPr>
        <w:t xml:space="preserve"> Joint Declaration  between the European Commission and UNRWA on European Union support to UNRWA in 2011-2013</w:t>
      </w:r>
    </w:p>
    <w:p w:rsidR="00725733" w:rsidRPr="00952738" w:rsidRDefault="00725733" w:rsidP="00B54C8F">
      <w:pPr>
        <w:pStyle w:val="Paragrafoelenco"/>
        <w:numPr>
          <w:ilvl w:val="0"/>
          <w:numId w:val="58"/>
        </w:numPr>
        <w:autoSpaceDE w:val="0"/>
        <w:autoSpaceDN w:val="0"/>
        <w:adjustRightInd w:val="0"/>
        <w:spacing w:before="0" w:after="0"/>
        <w:ind w:left="426" w:hanging="426"/>
        <w:contextualSpacing w:val="0"/>
        <w:jc w:val="left"/>
        <w:rPr>
          <w:rFonts w:ascii="Arial" w:hAnsi="Arial" w:cs="Arial"/>
          <w:sz w:val="23"/>
          <w:szCs w:val="23"/>
          <w:lang w:eastAsia="it-IT"/>
        </w:rPr>
      </w:pPr>
      <w:r w:rsidRPr="00952738">
        <w:rPr>
          <w:rFonts w:ascii="Arial" w:hAnsi="Arial" w:cs="Arial"/>
          <w:b/>
          <w:sz w:val="23"/>
          <w:szCs w:val="23"/>
          <w:lang w:eastAsia="it-IT"/>
        </w:rPr>
        <w:t>UNRWA</w:t>
      </w:r>
      <w:r w:rsidRPr="00952738">
        <w:rPr>
          <w:rFonts w:ascii="Arial" w:hAnsi="Arial" w:cs="Arial"/>
          <w:sz w:val="23"/>
          <w:szCs w:val="23"/>
          <w:lang w:eastAsia="it-IT"/>
        </w:rPr>
        <w:t xml:space="preserve"> </w:t>
      </w:r>
      <w:proofErr w:type="spellStart"/>
      <w:r w:rsidRPr="00952738">
        <w:rPr>
          <w:rFonts w:ascii="Arial" w:hAnsi="Arial" w:cs="Arial"/>
          <w:sz w:val="23"/>
          <w:szCs w:val="23"/>
          <w:lang w:eastAsia="it-IT"/>
        </w:rPr>
        <w:t>Harmonised</w:t>
      </w:r>
      <w:proofErr w:type="spellEnd"/>
      <w:r w:rsidRPr="00952738">
        <w:rPr>
          <w:rFonts w:ascii="Arial" w:hAnsi="Arial" w:cs="Arial"/>
          <w:sz w:val="23"/>
          <w:szCs w:val="23"/>
          <w:lang w:eastAsia="it-IT"/>
        </w:rPr>
        <w:t xml:space="preserve"> UNRWA-Donor Report 2011</w:t>
      </w:r>
    </w:p>
    <w:p w:rsidR="00FC181F" w:rsidRPr="00D72AAA" w:rsidRDefault="00725733" w:rsidP="00BC7710">
      <w:pPr>
        <w:pStyle w:val="Paragrafoelenco"/>
        <w:numPr>
          <w:ilvl w:val="0"/>
          <w:numId w:val="58"/>
        </w:numPr>
        <w:autoSpaceDE w:val="0"/>
        <w:autoSpaceDN w:val="0"/>
        <w:adjustRightInd w:val="0"/>
        <w:spacing w:before="0" w:after="0"/>
        <w:ind w:left="426" w:hanging="426"/>
        <w:contextualSpacing w:val="0"/>
        <w:jc w:val="left"/>
        <w:rPr>
          <w:rFonts w:ascii="Arial" w:hAnsi="Arial" w:cs="Arial"/>
          <w:b/>
          <w:bCs/>
          <w:color w:val="1F497D" w:themeColor="text2"/>
          <w:sz w:val="22"/>
          <w:szCs w:val="22"/>
        </w:rPr>
      </w:pPr>
      <w:r w:rsidRPr="00D72AAA">
        <w:rPr>
          <w:rFonts w:ascii="Arial" w:hAnsi="Arial" w:cs="Arial"/>
          <w:b/>
          <w:sz w:val="23"/>
          <w:szCs w:val="23"/>
          <w:lang w:eastAsia="it-IT"/>
        </w:rPr>
        <w:t>EC</w:t>
      </w:r>
      <w:r w:rsidRPr="00D72AAA">
        <w:rPr>
          <w:rFonts w:ascii="Arial" w:hAnsi="Arial" w:cs="Arial"/>
          <w:sz w:val="23"/>
          <w:szCs w:val="23"/>
          <w:lang w:eastAsia="it-IT"/>
        </w:rPr>
        <w:t xml:space="preserve"> Note for the Attention of Mr. Christian Berger, Director, EEAS IV A, Subject UNRWA Development and upcoming Advisory </w:t>
      </w:r>
      <w:proofErr w:type="spellStart"/>
      <w:r w:rsidRPr="00D72AAA">
        <w:rPr>
          <w:rFonts w:ascii="Arial" w:hAnsi="Arial" w:cs="Arial"/>
          <w:sz w:val="23"/>
          <w:szCs w:val="23"/>
          <w:lang w:eastAsia="it-IT"/>
        </w:rPr>
        <w:t>Commision</w:t>
      </w:r>
      <w:proofErr w:type="spellEnd"/>
      <w:r w:rsidRPr="00D72AAA">
        <w:rPr>
          <w:rFonts w:ascii="Arial" w:hAnsi="Arial" w:cs="Arial"/>
          <w:sz w:val="23"/>
          <w:szCs w:val="23"/>
          <w:lang w:eastAsia="it-IT"/>
        </w:rPr>
        <w:t xml:space="preserve"> June 2012, March 2012</w:t>
      </w:r>
    </w:p>
    <w:bookmarkStart w:id="7" w:name="_GoBack"/>
    <w:bookmarkEnd w:id="7"/>
    <w:p w:rsidR="00D72AAA" w:rsidRPr="00D72AAA" w:rsidRDefault="00A43E18" w:rsidP="00227E35">
      <w:pPr>
        <w:pStyle w:val="Paragrafoelenco"/>
        <w:numPr>
          <w:ilvl w:val="0"/>
          <w:numId w:val="58"/>
        </w:numPr>
        <w:shd w:val="clear" w:color="auto" w:fill="FFFFFF"/>
        <w:ind w:left="426" w:hanging="426"/>
        <w:jc w:val="left"/>
        <w:rPr>
          <w:rFonts w:ascii="Arial" w:hAnsi="Arial" w:cs="Arial"/>
          <w:sz w:val="23"/>
          <w:szCs w:val="23"/>
          <w:lang w:eastAsia="it-IT"/>
        </w:rPr>
      </w:pPr>
      <w:r w:rsidRPr="00D72AAA">
        <w:rPr>
          <w:rFonts w:ascii="Arial" w:hAnsi="Arial" w:cs="Arial"/>
          <w:sz w:val="23"/>
          <w:szCs w:val="23"/>
          <w:lang w:eastAsia="it-IT"/>
        </w:rPr>
        <w:fldChar w:fldCharType="begin"/>
      </w:r>
      <w:r w:rsidR="00D72AAA" w:rsidRPr="00D72AAA">
        <w:rPr>
          <w:rFonts w:ascii="Arial" w:hAnsi="Arial" w:cs="Arial"/>
          <w:sz w:val="23"/>
          <w:szCs w:val="23"/>
          <w:lang w:eastAsia="it-IT"/>
        </w:rPr>
        <w:instrText xml:space="preserve"> HYPERLINK "http://ghf.globalhealthforum.net/2011/12/11/family-health-team-approach-modern-and-efficient-primary-health-care-in-unrwa-un-agency-for-palestine-refugees/" </w:instrText>
      </w:r>
      <w:r w:rsidRPr="00D72AAA">
        <w:rPr>
          <w:rFonts w:ascii="Arial" w:hAnsi="Arial" w:cs="Arial"/>
          <w:sz w:val="23"/>
          <w:szCs w:val="23"/>
          <w:lang w:eastAsia="it-IT"/>
        </w:rPr>
        <w:fldChar w:fldCharType="separate"/>
      </w:r>
      <w:r w:rsidR="00D72AAA" w:rsidRPr="00D72AAA">
        <w:rPr>
          <w:rFonts w:ascii="Arial" w:hAnsi="Arial" w:cs="Arial"/>
          <w:sz w:val="23"/>
          <w:szCs w:val="23"/>
          <w:lang w:eastAsia="it-IT"/>
        </w:rPr>
        <w:t>Family Health Team</w:t>
      </w:r>
      <w:r w:rsidRPr="00D72AAA">
        <w:rPr>
          <w:rFonts w:ascii="Arial" w:hAnsi="Arial" w:cs="Arial"/>
          <w:sz w:val="23"/>
          <w:szCs w:val="23"/>
          <w:lang w:eastAsia="it-IT"/>
        </w:rPr>
        <w:fldChar w:fldCharType="end"/>
      </w:r>
      <w:r w:rsidR="00D72AAA" w:rsidRPr="00D72AAA">
        <w:rPr>
          <w:rFonts w:ascii="Arial" w:hAnsi="Arial" w:cs="Arial"/>
          <w:sz w:val="23"/>
          <w:szCs w:val="23"/>
          <w:lang w:eastAsia="it-IT"/>
        </w:rPr>
        <w:t xml:space="preserve"> data 2013</w:t>
      </w:r>
    </w:p>
    <w:p w:rsidR="00D72AAA" w:rsidRPr="00D72AAA" w:rsidRDefault="00D72AAA" w:rsidP="00D72AAA">
      <w:pPr>
        <w:pStyle w:val="Paragrafoelenco"/>
        <w:numPr>
          <w:ilvl w:val="0"/>
          <w:numId w:val="58"/>
        </w:numPr>
        <w:ind w:left="426" w:hanging="426"/>
        <w:jc w:val="left"/>
        <w:rPr>
          <w:rFonts w:ascii="Arial" w:hAnsi="Arial" w:cs="Arial"/>
          <w:sz w:val="23"/>
          <w:szCs w:val="23"/>
          <w:lang w:eastAsia="it-IT"/>
        </w:rPr>
      </w:pPr>
      <w:r w:rsidRPr="00D72AAA">
        <w:rPr>
          <w:rFonts w:ascii="Arial" w:hAnsi="Arial" w:cs="Arial"/>
          <w:sz w:val="23"/>
          <w:szCs w:val="23"/>
          <w:lang w:eastAsia="it-IT"/>
        </w:rPr>
        <w:t xml:space="preserve">2011 TIMSS Results </w:t>
      </w:r>
    </w:p>
    <w:p w:rsidR="00D72AAA" w:rsidRPr="00D72AAA" w:rsidRDefault="00D72AAA" w:rsidP="00D72AAA">
      <w:pPr>
        <w:pStyle w:val="Paragrafoelenco"/>
        <w:shd w:val="clear" w:color="auto" w:fill="FFFFFF"/>
        <w:ind w:left="426" w:hanging="426"/>
        <w:outlineLvl w:val="2"/>
        <w:rPr>
          <w:rFonts w:ascii="Arial" w:hAnsi="Arial" w:cs="Arial"/>
          <w:b/>
          <w:sz w:val="27"/>
          <w:szCs w:val="27"/>
          <w:lang w:val="it-IT" w:eastAsia="it-IT"/>
        </w:rPr>
      </w:pPr>
    </w:p>
    <w:p w:rsidR="00A574EB" w:rsidRPr="00BC7710" w:rsidRDefault="00A574EB" w:rsidP="00BC7710">
      <w:pPr>
        <w:spacing w:before="0" w:after="0"/>
        <w:rPr>
          <w:rFonts w:ascii="Arial" w:hAnsi="Arial" w:cs="Arial"/>
          <w:b/>
          <w:bCs/>
          <w:caps/>
          <w:color w:val="365F92"/>
          <w:sz w:val="24"/>
          <w:szCs w:val="24"/>
        </w:rPr>
      </w:pPr>
      <w:r w:rsidRPr="00BC7710">
        <w:rPr>
          <w:rFonts w:ascii="Arial" w:hAnsi="Arial" w:cs="Arial"/>
          <w:b/>
          <w:bCs/>
          <w:caps/>
          <w:color w:val="365F92"/>
          <w:sz w:val="24"/>
          <w:szCs w:val="24"/>
        </w:rPr>
        <w:t>Other Studies and Publications</w:t>
      </w:r>
    </w:p>
    <w:p w:rsidR="00FC181F" w:rsidRPr="004B73B7" w:rsidRDefault="00FC181F" w:rsidP="00B54C8F">
      <w:pPr>
        <w:pStyle w:val="Paragrafoelenco"/>
        <w:widowControl w:val="0"/>
        <w:numPr>
          <w:ilvl w:val="0"/>
          <w:numId w:val="55"/>
        </w:numPr>
        <w:autoSpaceDE w:val="0"/>
        <w:autoSpaceDN w:val="0"/>
        <w:adjustRightInd w:val="0"/>
        <w:spacing w:before="0" w:after="0"/>
        <w:ind w:left="426" w:hanging="426"/>
        <w:jc w:val="left"/>
        <w:rPr>
          <w:rFonts w:ascii="Arial" w:eastAsia="Calibri" w:hAnsi="Arial" w:cs="Arial"/>
          <w:bCs/>
          <w:sz w:val="22"/>
          <w:szCs w:val="22"/>
          <w:lang w:eastAsia="it-IT"/>
        </w:rPr>
      </w:pPr>
      <w:r w:rsidRPr="00BC7710">
        <w:rPr>
          <w:rFonts w:ascii="Arial" w:eastAsia="Calibri" w:hAnsi="Arial" w:cs="Arial"/>
          <w:b/>
          <w:bCs/>
          <w:sz w:val="22"/>
          <w:szCs w:val="22"/>
          <w:lang w:eastAsia="it-IT"/>
        </w:rPr>
        <w:t>Al-</w:t>
      </w:r>
      <w:proofErr w:type="spellStart"/>
      <w:r w:rsidRPr="00BC7710">
        <w:rPr>
          <w:rFonts w:ascii="Arial" w:eastAsia="Calibri" w:hAnsi="Arial" w:cs="Arial"/>
          <w:b/>
          <w:bCs/>
          <w:sz w:val="22"/>
          <w:szCs w:val="22"/>
          <w:lang w:eastAsia="it-IT"/>
        </w:rPr>
        <w:t>Haq</w:t>
      </w:r>
      <w:proofErr w:type="spellEnd"/>
      <w:r w:rsidRPr="00BC7710">
        <w:rPr>
          <w:rFonts w:ascii="Arial" w:eastAsia="Calibri" w:hAnsi="Arial" w:cs="Arial"/>
          <w:b/>
          <w:sz w:val="22"/>
          <w:szCs w:val="22"/>
          <w:lang w:eastAsia="it-IT"/>
        </w:rPr>
        <w:t xml:space="preserve"> Defending Human Rights, Elisabeth </w:t>
      </w:r>
      <w:proofErr w:type="spellStart"/>
      <w:r w:rsidRPr="00BC7710">
        <w:rPr>
          <w:rFonts w:ascii="Arial" w:eastAsia="Calibri" w:hAnsi="Arial" w:cs="Arial"/>
          <w:b/>
          <w:sz w:val="22"/>
          <w:szCs w:val="22"/>
          <w:lang w:eastAsia="it-IT"/>
        </w:rPr>
        <w:t>Koek</w:t>
      </w:r>
      <w:proofErr w:type="spellEnd"/>
      <w:r w:rsidRPr="00BC7710">
        <w:rPr>
          <w:rFonts w:ascii="Arial" w:eastAsia="Calibri" w:hAnsi="Arial" w:cs="Arial"/>
          <w:sz w:val="22"/>
          <w:szCs w:val="22"/>
          <w:lang w:eastAsia="it-IT"/>
        </w:rPr>
        <w:t>,</w:t>
      </w:r>
      <w:r w:rsidR="00837DF9" w:rsidRPr="00BC7710">
        <w:rPr>
          <w:rFonts w:ascii="Arial" w:eastAsia="Calibri" w:hAnsi="Arial" w:cs="Arial"/>
          <w:sz w:val="22"/>
          <w:szCs w:val="22"/>
          <w:lang w:eastAsia="it-IT"/>
        </w:rPr>
        <w:t xml:space="preserve"> </w:t>
      </w:r>
      <w:r w:rsidRPr="00BC7710">
        <w:rPr>
          <w:rFonts w:ascii="Arial" w:eastAsia="Calibri" w:hAnsi="Arial" w:cs="Arial"/>
          <w:bCs/>
          <w:sz w:val="22"/>
          <w:szCs w:val="22"/>
          <w:lang w:eastAsia="it-IT"/>
        </w:rPr>
        <w:t xml:space="preserve">Water </w:t>
      </w:r>
      <w:r w:rsidRPr="00BC7710">
        <w:rPr>
          <w:rFonts w:ascii="Arial" w:eastAsia="Calibri" w:hAnsi="Arial" w:cs="Arial"/>
          <w:bCs/>
          <w:iCs/>
          <w:sz w:val="22"/>
          <w:szCs w:val="22"/>
          <w:lang w:eastAsia="it-IT"/>
        </w:rPr>
        <w:t>Discriminatory Access and ‘Water-Apartheid’ in the OPT</w:t>
      </w:r>
      <w:r w:rsidR="00837DF9" w:rsidRPr="00BC7710">
        <w:rPr>
          <w:rFonts w:ascii="Arial" w:eastAsia="Calibri" w:hAnsi="Arial" w:cs="Arial"/>
          <w:bCs/>
          <w:iCs/>
          <w:sz w:val="22"/>
          <w:szCs w:val="22"/>
          <w:lang w:eastAsia="it-IT"/>
        </w:rPr>
        <w:t xml:space="preserve"> </w:t>
      </w:r>
      <w:r w:rsidRPr="00BC7710">
        <w:rPr>
          <w:rFonts w:ascii="Arial" w:eastAsia="Calibri" w:hAnsi="Arial" w:cs="Arial"/>
          <w:sz w:val="22"/>
          <w:szCs w:val="22"/>
          <w:lang w:eastAsia="it-IT"/>
        </w:rPr>
        <w:t>March 2013</w:t>
      </w:r>
    </w:p>
    <w:p w:rsidR="004B73B7" w:rsidRPr="004B73B7" w:rsidRDefault="004B73B7" w:rsidP="00B54C8F">
      <w:pPr>
        <w:pStyle w:val="Default"/>
        <w:numPr>
          <w:ilvl w:val="0"/>
          <w:numId w:val="55"/>
        </w:numPr>
        <w:spacing w:before="0" w:after="0"/>
        <w:ind w:left="426" w:hanging="426"/>
        <w:jc w:val="left"/>
        <w:rPr>
          <w:rFonts w:ascii="Arial" w:hAnsi="Arial" w:cs="Arial"/>
          <w:bCs/>
          <w:sz w:val="22"/>
          <w:szCs w:val="22"/>
          <w:lang w:eastAsia="it-IT"/>
        </w:rPr>
      </w:pPr>
      <w:r w:rsidRPr="004B73B7">
        <w:rPr>
          <w:rFonts w:ascii="Arial" w:hAnsi="Arial" w:cs="Arial"/>
          <w:b/>
          <w:bCs/>
          <w:color w:val="auto"/>
          <w:sz w:val="22"/>
          <w:szCs w:val="22"/>
          <w:lang w:eastAsia="it-IT"/>
        </w:rPr>
        <w:t>Al-</w:t>
      </w:r>
      <w:proofErr w:type="spellStart"/>
      <w:r w:rsidRPr="004B73B7">
        <w:rPr>
          <w:rFonts w:ascii="Arial" w:hAnsi="Arial" w:cs="Arial"/>
          <w:b/>
          <w:bCs/>
          <w:color w:val="auto"/>
          <w:sz w:val="22"/>
          <w:szCs w:val="22"/>
          <w:lang w:eastAsia="it-IT"/>
        </w:rPr>
        <w:t>Haq</w:t>
      </w:r>
      <w:proofErr w:type="spellEnd"/>
      <w:r w:rsidRPr="004B73B7">
        <w:rPr>
          <w:rFonts w:ascii="Arial" w:hAnsi="Arial" w:cs="Arial"/>
          <w:bCs/>
          <w:color w:val="auto"/>
          <w:sz w:val="22"/>
          <w:szCs w:val="22"/>
          <w:lang w:eastAsia="it-IT"/>
        </w:rPr>
        <w:t xml:space="preserve"> Submission to the EU</w:t>
      </w:r>
      <w:r w:rsidRPr="004B73B7">
        <w:rPr>
          <w:rFonts w:ascii="Arial" w:hAnsi="Arial" w:cs="Arial"/>
          <w:bCs/>
          <w:sz w:val="22"/>
          <w:szCs w:val="22"/>
          <w:lang w:eastAsia="it-IT"/>
        </w:rPr>
        <w:t xml:space="preserve"> </w:t>
      </w:r>
      <w:r w:rsidRPr="004B73B7">
        <w:rPr>
          <w:rFonts w:ascii="Arial" w:hAnsi="Arial" w:cs="Arial"/>
          <w:bCs/>
          <w:color w:val="auto"/>
          <w:sz w:val="22"/>
          <w:szCs w:val="22"/>
          <w:lang w:eastAsia="it-IT"/>
        </w:rPr>
        <w:t>on its 2013 ENP Progress Report on Israel</w:t>
      </w:r>
      <w:r w:rsidRPr="004B73B7">
        <w:rPr>
          <w:rFonts w:ascii="Arial" w:hAnsi="Arial" w:cs="Arial"/>
          <w:bCs/>
          <w:color w:val="auto"/>
          <w:sz w:val="22"/>
          <w:szCs w:val="22"/>
        </w:rPr>
        <w:t xml:space="preserve">, </w:t>
      </w:r>
      <w:r w:rsidRPr="004B73B7">
        <w:rPr>
          <w:rFonts w:ascii="Arial" w:hAnsi="Arial" w:cs="Arial"/>
          <w:bCs/>
          <w:color w:val="auto"/>
          <w:sz w:val="22"/>
          <w:szCs w:val="22"/>
          <w:lang w:eastAsia="it-IT"/>
        </w:rPr>
        <w:t>14 October 2013</w:t>
      </w:r>
    </w:p>
    <w:p w:rsidR="00837DF9" w:rsidRPr="00BC7710" w:rsidRDefault="00837DF9" w:rsidP="00B54C8F">
      <w:pPr>
        <w:pStyle w:val="Paragrafoelenco"/>
        <w:widowControl w:val="0"/>
        <w:numPr>
          <w:ilvl w:val="0"/>
          <w:numId w:val="55"/>
        </w:numPr>
        <w:autoSpaceDE w:val="0"/>
        <w:autoSpaceDN w:val="0"/>
        <w:adjustRightInd w:val="0"/>
        <w:spacing w:before="0" w:after="0"/>
        <w:ind w:left="426" w:hanging="426"/>
        <w:jc w:val="left"/>
        <w:rPr>
          <w:rFonts w:ascii="Arial" w:eastAsia="Calibri" w:hAnsi="Arial" w:cs="Arial"/>
          <w:bCs/>
          <w:sz w:val="22"/>
          <w:szCs w:val="22"/>
          <w:lang w:eastAsia="it-IT"/>
        </w:rPr>
      </w:pPr>
      <w:r w:rsidRPr="00BC7710">
        <w:rPr>
          <w:rFonts w:ascii="Arial" w:hAnsi="Arial" w:cs="Arial"/>
          <w:b/>
          <w:color w:val="000000"/>
          <w:sz w:val="22"/>
          <w:szCs w:val="22"/>
          <w:lang w:eastAsia="it-IT"/>
        </w:rPr>
        <w:t>AIDA</w:t>
      </w:r>
      <w:r w:rsidRPr="00BC7710">
        <w:rPr>
          <w:rFonts w:ascii="Arial" w:hAnsi="Arial" w:cs="Arial"/>
          <w:color w:val="000000"/>
          <w:sz w:val="22"/>
          <w:szCs w:val="22"/>
          <w:lang w:eastAsia="it-IT"/>
        </w:rPr>
        <w:t xml:space="preserve"> - Failing to Make the Grade-</w:t>
      </w:r>
      <w:r w:rsidR="00896A66">
        <w:rPr>
          <w:rFonts w:ascii="Arial" w:hAnsi="Arial" w:cs="Arial"/>
          <w:color w:val="000000"/>
          <w:sz w:val="22"/>
          <w:szCs w:val="22"/>
          <w:lang w:eastAsia="it-IT"/>
        </w:rPr>
        <w:t>may 2012</w:t>
      </w:r>
    </w:p>
    <w:p w:rsidR="00FC181F" w:rsidRPr="00BC7710" w:rsidRDefault="00FC181F" w:rsidP="00B54C8F">
      <w:pPr>
        <w:pStyle w:val="Paragrafoelenco"/>
        <w:numPr>
          <w:ilvl w:val="0"/>
          <w:numId w:val="55"/>
        </w:numPr>
        <w:spacing w:before="0" w:after="0"/>
        <w:ind w:left="426" w:hanging="426"/>
        <w:rPr>
          <w:rFonts w:ascii="Arial" w:hAnsi="Arial" w:cs="Arial"/>
          <w:sz w:val="22"/>
          <w:szCs w:val="22"/>
          <w:lang w:eastAsia="ja-JP"/>
        </w:rPr>
      </w:pPr>
      <w:r w:rsidRPr="00BC7710">
        <w:rPr>
          <w:rFonts w:ascii="Arial" w:hAnsi="Arial" w:cs="Arial"/>
          <w:b/>
          <w:sz w:val="22"/>
          <w:szCs w:val="22"/>
          <w:lang w:eastAsia="ja-JP"/>
        </w:rPr>
        <w:t>Amnesty International</w:t>
      </w:r>
      <w:r w:rsidRPr="00BC7710">
        <w:rPr>
          <w:rFonts w:ascii="Arial" w:hAnsi="Arial" w:cs="Arial"/>
          <w:sz w:val="22"/>
          <w:szCs w:val="22"/>
          <w:lang w:eastAsia="ja-JP"/>
        </w:rPr>
        <w:t>, Troubled Waters – Palestinians Denied fair Access to Water. Israel-Occupied Palestinian Territories, London: Amnesty International, 2009.</w:t>
      </w:r>
    </w:p>
    <w:p w:rsidR="00FC181F" w:rsidRPr="00BC7710" w:rsidRDefault="00FC181F" w:rsidP="00B54C8F">
      <w:pPr>
        <w:pStyle w:val="Paragrafoelenco"/>
        <w:numPr>
          <w:ilvl w:val="0"/>
          <w:numId w:val="55"/>
        </w:numPr>
        <w:spacing w:before="0" w:after="0"/>
        <w:ind w:left="426" w:hanging="426"/>
        <w:rPr>
          <w:rFonts w:ascii="Arial" w:hAnsi="Arial" w:cs="Arial"/>
          <w:b/>
          <w:bCs/>
          <w:sz w:val="22"/>
          <w:szCs w:val="22"/>
        </w:rPr>
      </w:pPr>
      <w:r w:rsidRPr="00BC7710">
        <w:rPr>
          <w:rFonts w:ascii="Arial" w:eastAsiaTheme="minorEastAsia" w:hAnsi="Arial" w:cs="Arial"/>
          <w:b/>
          <w:color w:val="221E1F"/>
          <w:sz w:val="22"/>
          <w:szCs w:val="22"/>
          <w:lang w:eastAsia="ja-JP"/>
        </w:rPr>
        <w:t>ARIJ The Applied research Institute</w:t>
      </w:r>
      <w:r w:rsidRPr="00BC7710">
        <w:rPr>
          <w:rFonts w:ascii="Arial" w:eastAsiaTheme="minorEastAsia" w:hAnsi="Arial" w:cs="Arial"/>
          <w:color w:val="221E1F"/>
          <w:sz w:val="22"/>
          <w:szCs w:val="22"/>
          <w:lang w:eastAsia="ja-JP"/>
        </w:rPr>
        <w:t xml:space="preserve">, Status of The Environment in the occupied Palestinian Territory, A Human Rights – Based approach, (ARIJ), 2011. </w:t>
      </w:r>
    </w:p>
    <w:p w:rsidR="00FC181F" w:rsidRPr="004B73B7" w:rsidRDefault="00FC181F" w:rsidP="00B54C8F">
      <w:pPr>
        <w:pStyle w:val="Paragrafoelenco"/>
        <w:numPr>
          <w:ilvl w:val="0"/>
          <w:numId w:val="50"/>
        </w:numPr>
        <w:spacing w:before="0" w:after="0"/>
        <w:ind w:left="426" w:hanging="426"/>
        <w:rPr>
          <w:rFonts w:ascii="Arial" w:hAnsi="Arial" w:cs="Arial"/>
          <w:bCs/>
          <w:sz w:val="22"/>
          <w:szCs w:val="22"/>
        </w:rPr>
      </w:pPr>
      <w:r w:rsidRPr="004B73B7">
        <w:rPr>
          <w:rFonts w:ascii="Arial" w:hAnsi="Arial" w:cs="Arial"/>
          <w:b/>
          <w:bCs/>
          <w:sz w:val="22"/>
          <w:szCs w:val="22"/>
        </w:rPr>
        <w:t>A-</w:t>
      </w:r>
      <w:proofErr w:type="spellStart"/>
      <w:r w:rsidRPr="004B73B7">
        <w:rPr>
          <w:rFonts w:ascii="Arial" w:hAnsi="Arial" w:cs="Arial"/>
          <w:b/>
          <w:bCs/>
          <w:sz w:val="22"/>
          <w:szCs w:val="22"/>
        </w:rPr>
        <w:t>Shabaka</w:t>
      </w:r>
      <w:proofErr w:type="spellEnd"/>
      <w:r w:rsidRPr="004B73B7">
        <w:rPr>
          <w:rFonts w:ascii="Arial" w:hAnsi="Arial" w:cs="Arial"/>
          <w:b/>
          <w:bCs/>
          <w:sz w:val="22"/>
          <w:szCs w:val="22"/>
        </w:rPr>
        <w:t xml:space="preserve">, </w:t>
      </w:r>
      <w:r w:rsidRPr="004B73B7">
        <w:rPr>
          <w:rFonts w:ascii="Arial" w:hAnsi="Arial" w:cs="Arial"/>
          <w:bCs/>
          <w:sz w:val="22"/>
          <w:szCs w:val="22"/>
        </w:rPr>
        <w:t>Palestinian Civil Society: What went wrong? April 2013</w:t>
      </w:r>
    </w:p>
    <w:p w:rsidR="004B73B7" w:rsidRPr="004B73B7" w:rsidRDefault="004B73B7" w:rsidP="00B54C8F">
      <w:pPr>
        <w:pStyle w:val="Paragrafoelenco"/>
        <w:numPr>
          <w:ilvl w:val="0"/>
          <w:numId w:val="50"/>
        </w:numPr>
        <w:spacing w:before="0" w:after="0"/>
        <w:ind w:left="426" w:hanging="426"/>
        <w:contextualSpacing w:val="0"/>
        <w:jc w:val="left"/>
        <w:rPr>
          <w:rFonts w:ascii="Arial" w:hAnsi="Arial" w:cs="Arial"/>
          <w:bCs/>
          <w:sz w:val="22"/>
          <w:szCs w:val="22"/>
          <w:lang w:eastAsia="it-IT"/>
        </w:rPr>
      </w:pPr>
      <w:r w:rsidRPr="004B73B7">
        <w:rPr>
          <w:rFonts w:ascii="Arial" w:hAnsi="Arial" w:cs="Arial"/>
          <w:b/>
          <w:bCs/>
          <w:sz w:val="22"/>
          <w:szCs w:val="22"/>
          <w:lang w:eastAsia="it-IT"/>
        </w:rPr>
        <w:t>CEC</w:t>
      </w:r>
      <w:r w:rsidRPr="004B73B7">
        <w:rPr>
          <w:rFonts w:ascii="Arial" w:hAnsi="Arial" w:cs="Arial"/>
          <w:bCs/>
          <w:sz w:val="22"/>
          <w:szCs w:val="22"/>
          <w:lang w:eastAsia="it-IT"/>
        </w:rPr>
        <w:t xml:space="preserve"> Central Elections Commission – Strategic Plan - Palestine 2014-2016</w:t>
      </w:r>
    </w:p>
    <w:p w:rsidR="00FC181F" w:rsidRPr="00BC7710" w:rsidRDefault="00FC181F" w:rsidP="00B54C8F">
      <w:pPr>
        <w:pStyle w:val="Paragrafoelenco"/>
        <w:numPr>
          <w:ilvl w:val="0"/>
          <w:numId w:val="50"/>
        </w:numPr>
        <w:spacing w:before="0"/>
        <w:ind w:left="426" w:hanging="426"/>
        <w:rPr>
          <w:rFonts w:ascii="Arial" w:hAnsi="Arial" w:cs="Arial"/>
          <w:sz w:val="22"/>
          <w:szCs w:val="22"/>
          <w:lang w:eastAsia="ja-JP"/>
        </w:rPr>
      </w:pPr>
      <w:r w:rsidRPr="004B73B7">
        <w:rPr>
          <w:rFonts w:ascii="Arial" w:hAnsi="Arial" w:cs="Arial"/>
          <w:b/>
          <w:sz w:val="22"/>
          <w:szCs w:val="22"/>
          <w:lang w:eastAsia="ja-JP"/>
        </w:rPr>
        <w:t xml:space="preserve">CEPR </w:t>
      </w:r>
      <w:r w:rsidRPr="004B73B7">
        <w:rPr>
          <w:rFonts w:ascii="Arial" w:hAnsi="Arial" w:cs="Arial"/>
          <w:sz w:val="22"/>
          <w:szCs w:val="22"/>
          <w:lang w:eastAsia="ja-JP"/>
        </w:rPr>
        <w:t>Council for European Palestinian Relations– Memo- Israeli Water Exploitation in the Occupied</w:t>
      </w:r>
      <w:r w:rsidRPr="00BC7710">
        <w:rPr>
          <w:rFonts w:ascii="Arial" w:hAnsi="Arial" w:cs="Arial"/>
          <w:sz w:val="22"/>
          <w:szCs w:val="22"/>
          <w:lang w:eastAsia="ja-JP"/>
        </w:rPr>
        <w:t xml:space="preserve"> West Bank – 2012</w:t>
      </w:r>
    </w:p>
    <w:p w:rsidR="00FC181F" w:rsidRPr="00BC7710" w:rsidRDefault="00FC181F" w:rsidP="00B54C8F">
      <w:pPr>
        <w:pStyle w:val="Paragrafoelenco"/>
        <w:numPr>
          <w:ilvl w:val="0"/>
          <w:numId w:val="50"/>
        </w:numPr>
        <w:spacing w:before="0" w:after="0"/>
        <w:ind w:left="426" w:hanging="426"/>
        <w:rPr>
          <w:rFonts w:ascii="Arial" w:hAnsi="Arial" w:cs="Arial"/>
          <w:sz w:val="22"/>
          <w:szCs w:val="22"/>
          <w:lang w:eastAsia="ja-JP"/>
        </w:rPr>
      </w:pPr>
      <w:r w:rsidRPr="00BC7710">
        <w:rPr>
          <w:rFonts w:ascii="Arial" w:hAnsi="Arial" w:cs="Arial"/>
          <w:b/>
          <w:sz w:val="22"/>
          <w:szCs w:val="22"/>
          <w:lang w:eastAsia="ja-JP"/>
        </w:rPr>
        <w:t xml:space="preserve">CEPR </w:t>
      </w:r>
      <w:r w:rsidRPr="00BC7710">
        <w:rPr>
          <w:rFonts w:ascii="Arial" w:hAnsi="Arial" w:cs="Arial"/>
          <w:sz w:val="22"/>
          <w:szCs w:val="22"/>
          <w:lang w:eastAsia="ja-JP"/>
        </w:rPr>
        <w:t xml:space="preserve">Council for European Palestinian Relations – </w:t>
      </w:r>
      <w:r w:rsidRPr="00BC7710">
        <w:rPr>
          <w:rFonts w:ascii="Arial" w:hAnsi="Arial" w:cs="Arial"/>
          <w:bCs/>
          <w:sz w:val="22"/>
          <w:szCs w:val="22"/>
          <w:lang w:eastAsia="ja-JP"/>
        </w:rPr>
        <w:t>Memo</w:t>
      </w:r>
      <w:r w:rsidRPr="00BC7710">
        <w:rPr>
          <w:rFonts w:ascii="Arial" w:hAnsi="Arial" w:cs="Arial"/>
          <w:b/>
          <w:bCs/>
          <w:sz w:val="22"/>
          <w:szCs w:val="22"/>
          <w:lang w:eastAsia="ja-JP"/>
        </w:rPr>
        <w:t xml:space="preserve"> -</w:t>
      </w:r>
      <w:r w:rsidRPr="00BC7710">
        <w:rPr>
          <w:rFonts w:ascii="Arial" w:hAnsi="Arial" w:cs="Arial"/>
          <w:sz w:val="22"/>
          <w:szCs w:val="22"/>
          <w:lang w:eastAsia="ja-JP"/>
        </w:rPr>
        <w:t>European Union Policy Towards the Middle East Peace Process – 2012</w:t>
      </w:r>
    </w:p>
    <w:p w:rsidR="00FC181F" w:rsidRPr="00BC7710" w:rsidRDefault="00FC181F" w:rsidP="00B54C8F">
      <w:pPr>
        <w:pStyle w:val="Paragrafoelenco"/>
        <w:numPr>
          <w:ilvl w:val="0"/>
          <w:numId w:val="54"/>
        </w:numPr>
        <w:spacing w:before="0" w:after="0"/>
        <w:ind w:left="426" w:hanging="426"/>
        <w:rPr>
          <w:rStyle w:val="A00"/>
          <w:rFonts w:ascii="Arial" w:hAnsi="Arial" w:cs="Arial"/>
          <w:sz w:val="22"/>
          <w:szCs w:val="22"/>
          <w:lang w:eastAsia="ja-JP"/>
        </w:rPr>
      </w:pPr>
      <w:r w:rsidRPr="00BC7710">
        <w:rPr>
          <w:rFonts w:ascii="Arial" w:eastAsiaTheme="minorEastAsia" w:hAnsi="Arial" w:cs="Arial"/>
          <w:b/>
          <w:sz w:val="22"/>
          <w:szCs w:val="22"/>
          <w:lang w:eastAsia="ja-JP"/>
        </w:rPr>
        <w:t>CEPR</w:t>
      </w:r>
      <w:r w:rsidRPr="00BC7710">
        <w:rPr>
          <w:rFonts w:ascii="Arial" w:eastAsiaTheme="minorEastAsia" w:hAnsi="Arial" w:cs="Arial"/>
          <w:sz w:val="22"/>
          <w:szCs w:val="22"/>
          <w:lang w:eastAsia="ja-JP"/>
        </w:rPr>
        <w:t xml:space="preserve"> - Memo: </w:t>
      </w:r>
      <w:r w:rsidRPr="00BC7710">
        <w:rPr>
          <w:rFonts w:ascii="Arial" w:hAnsi="Arial" w:cs="Arial"/>
          <w:color w:val="221E1F"/>
          <w:sz w:val="22"/>
          <w:szCs w:val="22"/>
          <w:lang w:eastAsia="ja-JP"/>
        </w:rPr>
        <w:t>The Impact of the Israeli Blockade on the Environmental Situation in Gaza strip</w:t>
      </w:r>
      <w:r w:rsidRPr="00BC7710">
        <w:rPr>
          <w:rFonts w:ascii="Arial" w:hAnsi="Arial" w:cs="Arial"/>
          <w:sz w:val="22"/>
          <w:szCs w:val="22"/>
          <w:lang w:eastAsia="ja-JP"/>
        </w:rPr>
        <w:t xml:space="preserve"> - </w:t>
      </w:r>
      <w:r w:rsidRPr="00BC7710">
        <w:rPr>
          <w:rStyle w:val="A00"/>
          <w:rFonts w:ascii="Arial" w:hAnsi="Arial" w:cs="Arial"/>
          <w:sz w:val="22"/>
          <w:szCs w:val="22"/>
        </w:rPr>
        <w:t xml:space="preserve">Dr. </w:t>
      </w:r>
      <w:proofErr w:type="spellStart"/>
      <w:r w:rsidRPr="00BC7710">
        <w:rPr>
          <w:rStyle w:val="A00"/>
          <w:rFonts w:ascii="Arial" w:hAnsi="Arial" w:cs="Arial"/>
          <w:sz w:val="22"/>
          <w:szCs w:val="22"/>
        </w:rPr>
        <w:t>Amal</w:t>
      </w:r>
      <w:proofErr w:type="spellEnd"/>
      <w:r w:rsidRPr="00BC7710">
        <w:rPr>
          <w:rStyle w:val="A00"/>
          <w:rFonts w:ascii="Arial" w:hAnsi="Arial" w:cs="Arial"/>
          <w:sz w:val="22"/>
          <w:szCs w:val="22"/>
        </w:rPr>
        <w:t xml:space="preserve"> </w:t>
      </w:r>
      <w:proofErr w:type="spellStart"/>
      <w:r w:rsidRPr="00BC7710">
        <w:rPr>
          <w:rStyle w:val="A00"/>
          <w:rFonts w:ascii="Arial" w:hAnsi="Arial" w:cs="Arial"/>
          <w:sz w:val="22"/>
          <w:szCs w:val="22"/>
        </w:rPr>
        <w:t>Sarsour</w:t>
      </w:r>
      <w:proofErr w:type="spellEnd"/>
      <w:r w:rsidRPr="00BC7710">
        <w:rPr>
          <w:rStyle w:val="A00"/>
          <w:rFonts w:ascii="Arial" w:hAnsi="Arial" w:cs="Arial"/>
          <w:sz w:val="22"/>
          <w:szCs w:val="22"/>
        </w:rPr>
        <w:t xml:space="preserve">  - 2013</w:t>
      </w:r>
    </w:p>
    <w:p w:rsidR="00FC181F" w:rsidRPr="00BC7710" w:rsidRDefault="00FC181F" w:rsidP="00B54C8F">
      <w:pPr>
        <w:pStyle w:val="Paragrafoelenco"/>
        <w:numPr>
          <w:ilvl w:val="0"/>
          <w:numId w:val="54"/>
        </w:numPr>
        <w:spacing w:before="0" w:after="0"/>
        <w:ind w:left="426" w:hanging="426"/>
        <w:rPr>
          <w:rFonts w:ascii="Arial" w:hAnsi="Arial" w:cs="Arial"/>
          <w:sz w:val="22"/>
          <w:szCs w:val="22"/>
          <w:lang w:eastAsia="ja-JP"/>
        </w:rPr>
      </w:pPr>
      <w:r w:rsidRPr="00BC7710">
        <w:rPr>
          <w:rFonts w:ascii="Arial" w:hAnsi="Arial" w:cs="Arial"/>
          <w:b/>
          <w:sz w:val="22"/>
          <w:szCs w:val="22"/>
          <w:lang w:eastAsia="ja-JP"/>
        </w:rPr>
        <w:t xml:space="preserve">CESR </w:t>
      </w:r>
      <w:r w:rsidRPr="00BC7710">
        <w:rPr>
          <w:rFonts w:ascii="Arial" w:hAnsi="Arial" w:cs="Arial"/>
          <w:sz w:val="22"/>
          <w:szCs w:val="22"/>
          <w:lang w:eastAsia="ja-JP"/>
        </w:rPr>
        <w:t>-</w:t>
      </w:r>
      <w:proofErr w:type="spellStart"/>
      <w:r w:rsidRPr="00BC7710">
        <w:rPr>
          <w:rFonts w:ascii="Arial" w:hAnsi="Arial" w:cs="Arial"/>
          <w:sz w:val="22"/>
          <w:szCs w:val="22"/>
          <w:lang w:eastAsia="ja-JP"/>
        </w:rPr>
        <w:t>Mair</w:t>
      </w:r>
      <w:proofErr w:type="spellEnd"/>
      <w:r w:rsidRPr="00BC7710">
        <w:rPr>
          <w:rFonts w:ascii="Arial" w:hAnsi="Arial" w:cs="Arial"/>
          <w:sz w:val="22"/>
          <w:szCs w:val="22"/>
          <w:lang w:eastAsia="ja-JP"/>
        </w:rPr>
        <w:t xml:space="preserve">, Lucky, </w:t>
      </w:r>
      <w:proofErr w:type="spellStart"/>
      <w:r w:rsidRPr="00BC7710">
        <w:rPr>
          <w:rFonts w:ascii="Arial" w:hAnsi="Arial" w:cs="Arial"/>
          <w:sz w:val="22"/>
          <w:szCs w:val="22"/>
          <w:lang w:eastAsia="ja-JP"/>
        </w:rPr>
        <w:t>Anjali</w:t>
      </w:r>
      <w:proofErr w:type="spellEnd"/>
      <w:r w:rsidRPr="00BC7710">
        <w:rPr>
          <w:rFonts w:ascii="Arial" w:hAnsi="Arial" w:cs="Arial"/>
          <w:sz w:val="22"/>
          <w:szCs w:val="22"/>
          <w:lang w:eastAsia="ja-JP"/>
        </w:rPr>
        <w:t xml:space="preserve"> </w:t>
      </w:r>
      <w:proofErr w:type="spellStart"/>
      <w:r w:rsidRPr="00BC7710">
        <w:rPr>
          <w:rFonts w:ascii="Arial" w:hAnsi="Arial" w:cs="Arial"/>
          <w:sz w:val="22"/>
          <w:szCs w:val="22"/>
          <w:lang w:eastAsia="ja-JP"/>
        </w:rPr>
        <w:t>Kamat</w:t>
      </w:r>
      <w:proofErr w:type="spellEnd"/>
      <w:r w:rsidRPr="00BC7710">
        <w:rPr>
          <w:rFonts w:ascii="Arial" w:hAnsi="Arial" w:cs="Arial"/>
          <w:sz w:val="22"/>
          <w:szCs w:val="22"/>
          <w:lang w:eastAsia="ja-JP"/>
        </w:rPr>
        <w:t xml:space="preserve"> and Julian Liu: Thirsting for Justice: Israeli Violations of the Human Right to Water in the Occupied Palestinian Territories. In A Report to the 30thSession of the United Nations Committee Economic, Social and Cultural Rights, New York, 2003</w:t>
      </w:r>
    </w:p>
    <w:p w:rsidR="00837DF9" w:rsidRPr="00BC7710" w:rsidRDefault="00837DF9" w:rsidP="00B54C8F">
      <w:pPr>
        <w:pStyle w:val="Paragrafoelenco"/>
        <w:numPr>
          <w:ilvl w:val="0"/>
          <w:numId w:val="54"/>
        </w:numPr>
        <w:spacing w:before="0" w:after="0"/>
        <w:ind w:left="426" w:hanging="426"/>
        <w:jc w:val="left"/>
        <w:rPr>
          <w:rFonts w:ascii="Arial" w:hAnsi="Arial" w:cs="Arial"/>
          <w:color w:val="000000"/>
          <w:sz w:val="22"/>
          <w:szCs w:val="22"/>
          <w:lang w:eastAsia="it-IT"/>
        </w:rPr>
      </w:pPr>
      <w:r w:rsidRPr="00BC7710">
        <w:rPr>
          <w:rFonts w:ascii="Arial" w:hAnsi="Arial" w:cs="Arial"/>
          <w:b/>
          <w:color w:val="000000"/>
          <w:sz w:val="22"/>
          <w:szCs w:val="22"/>
          <w:lang w:eastAsia="it-IT"/>
        </w:rPr>
        <w:t>CIDSE</w:t>
      </w:r>
      <w:r w:rsidRPr="00BC7710">
        <w:rPr>
          <w:rFonts w:ascii="Arial" w:hAnsi="Arial" w:cs="Arial"/>
          <w:color w:val="000000"/>
          <w:sz w:val="22"/>
          <w:szCs w:val="22"/>
          <w:lang w:eastAsia="it-IT"/>
        </w:rPr>
        <w:t xml:space="preserve"> - The EU's Aid to the OPT-CIDSE-Dec 2008</w:t>
      </w:r>
    </w:p>
    <w:p w:rsidR="00837DF9" w:rsidRPr="00BC7710" w:rsidRDefault="00837DF9" w:rsidP="00B54C8F">
      <w:pPr>
        <w:pStyle w:val="Paragrafoelenco"/>
        <w:numPr>
          <w:ilvl w:val="0"/>
          <w:numId w:val="54"/>
        </w:numPr>
        <w:spacing w:before="0" w:after="0"/>
        <w:ind w:left="426" w:hanging="426"/>
        <w:jc w:val="left"/>
        <w:rPr>
          <w:rFonts w:ascii="Arial" w:hAnsi="Arial" w:cs="Arial"/>
          <w:color w:val="000000"/>
          <w:sz w:val="22"/>
          <w:szCs w:val="22"/>
          <w:lang w:eastAsia="it-IT"/>
        </w:rPr>
      </w:pPr>
      <w:r w:rsidRPr="00BC7710">
        <w:rPr>
          <w:rFonts w:ascii="Arial" w:hAnsi="Arial" w:cs="Arial"/>
          <w:b/>
          <w:color w:val="000000"/>
          <w:sz w:val="22"/>
          <w:szCs w:val="22"/>
          <w:lang w:eastAsia="it-IT"/>
        </w:rPr>
        <w:t>CIDSE</w:t>
      </w:r>
      <w:r w:rsidRPr="00BC7710">
        <w:rPr>
          <w:rFonts w:ascii="Arial" w:hAnsi="Arial" w:cs="Arial"/>
          <w:color w:val="000000"/>
          <w:sz w:val="22"/>
          <w:szCs w:val="22"/>
          <w:lang w:eastAsia="it-IT"/>
        </w:rPr>
        <w:t xml:space="preserve"> - The EU’s aid to the occupied Palestinian territory How to improve coherence and effectiveness in line with international law? Nov 2008</w:t>
      </w:r>
    </w:p>
    <w:p w:rsidR="00837DF9" w:rsidRPr="00BC7710" w:rsidRDefault="00837DF9" w:rsidP="00B54C8F">
      <w:pPr>
        <w:pStyle w:val="Paragrafoelenco"/>
        <w:numPr>
          <w:ilvl w:val="0"/>
          <w:numId w:val="54"/>
        </w:numPr>
        <w:spacing w:before="0" w:after="0"/>
        <w:ind w:left="426" w:hanging="426"/>
        <w:jc w:val="left"/>
        <w:rPr>
          <w:rFonts w:ascii="Arial" w:hAnsi="Arial" w:cs="Arial"/>
          <w:color w:val="000000"/>
          <w:sz w:val="22"/>
          <w:szCs w:val="22"/>
          <w:lang w:eastAsia="it-IT"/>
        </w:rPr>
      </w:pPr>
      <w:proofErr w:type="spellStart"/>
      <w:r w:rsidRPr="00BC7710">
        <w:rPr>
          <w:rFonts w:ascii="Arial" w:hAnsi="Arial" w:cs="Arial"/>
          <w:b/>
          <w:color w:val="000000"/>
          <w:sz w:val="22"/>
          <w:szCs w:val="22"/>
          <w:lang w:eastAsia="it-IT"/>
        </w:rPr>
        <w:t>Chaillot</w:t>
      </w:r>
      <w:proofErr w:type="spellEnd"/>
      <w:r w:rsidRPr="00BC7710">
        <w:rPr>
          <w:rFonts w:ascii="Arial" w:hAnsi="Arial" w:cs="Arial"/>
          <w:b/>
          <w:color w:val="000000"/>
          <w:sz w:val="22"/>
          <w:szCs w:val="22"/>
          <w:lang w:eastAsia="it-IT"/>
        </w:rPr>
        <w:t xml:space="preserve"> Papers,</w:t>
      </w:r>
      <w:r w:rsidRPr="00BC7710">
        <w:rPr>
          <w:rFonts w:ascii="Arial" w:hAnsi="Arial" w:cs="Arial"/>
          <w:color w:val="000000"/>
          <w:sz w:val="22"/>
          <w:szCs w:val="22"/>
          <w:lang w:eastAsia="it-IT"/>
        </w:rPr>
        <w:t xml:space="preserve"> </w:t>
      </w:r>
      <w:proofErr w:type="spellStart"/>
      <w:r w:rsidRPr="00BC7710">
        <w:rPr>
          <w:rFonts w:ascii="Arial" w:hAnsi="Arial" w:cs="Arial"/>
          <w:color w:val="000000"/>
          <w:sz w:val="22"/>
          <w:szCs w:val="22"/>
          <w:lang w:eastAsia="it-IT"/>
        </w:rPr>
        <w:t>Esra</w:t>
      </w:r>
      <w:proofErr w:type="spellEnd"/>
      <w:r w:rsidRPr="00BC7710">
        <w:rPr>
          <w:rFonts w:ascii="Arial" w:hAnsi="Arial" w:cs="Arial"/>
          <w:color w:val="000000"/>
          <w:sz w:val="22"/>
          <w:szCs w:val="22"/>
          <w:lang w:eastAsia="it-IT"/>
        </w:rPr>
        <w:t xml:space="preserve"> </w:t>
      </w:r>
      <w:proofErr w:type="spellStart"/>
      <w:r w:rsidRPr="00BC7710">
        <w:rPr>
          <w:rFonts w:ascii="Arial" w:hAnsi="Arial" w:cs="Arial"/>
          <w:color w:val="000000"/>
          <w:sz w:val="22"/>
          <w:szCs w:val="22"/>
          <w:lang w:eastAsia="it-IT"/>
        </w:rPr>
        <w:t>Bulut</w:t>
      </w:r>
      <w:proofErr w:type="spellEnd"/>
      <w:r w:rsidRPr="00BC7710">
        <w:rPr>
          <w:rFonts w:ascii="Arial" w:hAnsi="Arial" w:cs="Arial"/>
          <w:color w:val="000000"/>
          <w:sz w:val="22"/>
          <w:szCs w:val="22"/>
          <w:lang w:eastAsia="it-IT"/>
        </w:rPr>
        <w:t xml:space="preserve"> </w:t>
      </w:r>
      <w:proofErr w:type="spellStart"/>
      <w:r w:rsidRPr="00BC7710">
        <w:rPr>
          <w:rFonts w:ascii="Arial" w:hAnsi="Arial" w:cs="Arial"/>
          <w:color w:val="000000"/>
          <w:sz w:val="22"/>
          <w:szCs w:val="22"/>
          <w:lang w:eastAsia="it-IT"/>
        </w:rPr>
        <w:t>Aymat</w:t>
      </w:r>
      <w:proofErr w:type="spellEnd"/>
      <w:r w:rsidRPr="00BC7710">
        <w:rPr>
          <w:rFonts w:ascii="Arial" w:hAnsi="Arial" w:cs="Arial"/>
          <w:color w:val="000000"/>
          <w:sz w:val="22"/>
          <w:szCs w:val="22"/>
          <w:lang w:eastAsia="it-IT"/>
        </w:rPr>
        <w:t>, European Involvement in the Arab-Israeli Conflict- Dec 2008</w:t>
      </w:r>
    </w:p>
    <w:p w:rsidR="00FC181F" w:rsidRPr="00BC7710" w:rsidRDefault="00FC181F" w:rsidP="00B54C8F">
      <w:pPr>
        <w:pStyle w:val="Paragrafoelenco"/>
        <w:numPr>
          <w:ilvl w:val="0"/>
          <w:numId w:val="54"/>
        </w:numPr>
        <w:spacing w:before="0" w:after="0"/>
        <w:ind w:left="426" w:hanging="426"/>
        <w:rPr>
          <w:rFonts w:ascii="Arial" w:hAnsi="Arial" w:cs="Arial"/>
          <w:sz w:val="22"/>
          <w:szCs w:val="22"/>
          <w:lang w:eastAsia="ja-JP"/>
        </w:rPr>
      </w:pPr>
      <w:r w:rsidRPr="00BC7710">
        <w:rPr>
          <w:rFonts w:ascii="Arial" w:eastAsiaTheme="minorEastAsia" w:hAnsi="Arial" w:cs="Arial"/>
          <w:b/>
          <w:sz w:val="22"/>
          <w:szCs w:val="22"/>
          <w:lang w:eastAsia="ja-JP"/>
        </w:rPr>
        <w:t>CMWU</w:t>
      </w:r>
      <w:r w:rsidRPr="00BC7710">
        <w:rPr>
          <w:rFonts w:ascii="Arial" w:eastAsiaTheme="minorEastAsia" w:hAnsi="Arial" w:cs="Arial"/>
          <w:sz w:val="22"/>
          <w:szCs w:val="22"/>
          <w:lang w:eastAsia="ja-JP"/>
        </w:rPr>
        <w:t xml:space="preserve"> Coastal Municipalities for Water Utility, Annual Report on Water Status in the Gaza Strip - Summary about Water and Wastewater Situation in Gaza Strip, 2012</w:t>
      </w:r>
    </w:p>
    <w:p w:rsidR="0061213D" w:rsidRPr="00BC7710" w:rsidRDefault="0061213D" w:rsidP="00B54C8F">
      <w:pPr>
        <w:pStyle w:val="Paragrafoelenco"/>
        <w:numPr>
          <w:ilvl w:val="0"/>
          <w:numId w:val="54"/>
        </w:numPr>
        <w:autoSpaceDE w:val="0"/>
        <w:autoSpaceDN w:val="0"/>
        <w:adjustRightInd w:val="0"/>
        <w:spacing w:before="0" w:after="0"/>
        <w:ind w:left="426" w:hanging="426"/>
        <w:jc w:val="left"/>
        <w:rPr>
          <w:rFonts w:ascii="Arial" w:hAnsi="Arial" w:cs="Arial"/>
          <w:sz w:val="22"/>
          <w:szCs w:val="22"/>
          <w:lang w:eastAsia="ja-JP"/>
        </w:rPr>
      </w:pPr>
      <w:r w:rsidRPr="00BC7710">
        <w:rPr>
          <w:rFonts w:ascii="Arial" w:hAnsi="Arial" w:cs="Arial"/>
          <w:b/>
          <w:sz w:val="22"/>
          <w:szCs w:val="22"/>
          <w:lang w:eastAsia="ja-JP"/>
        </w:rPr>
        <w:t xml:space="preserve">COWI, </w:t>
      </w:r>
      <w:r w:rsidRPr="00BC7710">
        <w:rPr>
          <w:rFonts w:ascii="Arial" w:hAnsi="Arial" w:cs="Arial"/>
          <w:sz w:val="22"/>
          <w:szCs w:val="22"/>
          <w:lang w:eastAsia="ja-JP"/>
        </w:rPr>
        <w:t>Independent Review of the Local Aid Coordination Secretariat in the Palestinian Territory, 23th November 2012</w:t>
      </w:r>
    </w:p>
    <w:p w:rsidR="00FC181F" w:rsidRPr="00BC7710" w:rsidRDefault="00FC181F" w:rsidP="00B54C8F">
      <w:pPr>
        <w:pStyle w:val="Paragrafoelenco"/>
        <w:numPr>
          <w:ilvl w:val="0"/>
          <w:numId w:val="54"/>
        </w:numPr>
        <w:spacing w:before="0" w:after="0"/>
        <w:ind w:left="426" w:hanging="426"/>
        <w:rPr>
          <w:rFonts w:ascii="Arial" w:hAnsi="Arial" w:cs="Arial"/>
          <w:sz w:val="22"/>
          <w:szCs w:val="22"/>
          <w:lang w:eastAsia="ja-JP"/>
        </w:rPr>
      </w:pPr>
      <w:r w:rsidRPr="00BC7710">
        <w:rPr>
          <w:rFonts w:ascii="Arial" w:hAnsi="Arial" w:cs="Arial"/>
          <w:b/>
          <w:sz w:val="22"/>
          <w:szCs w:val="22"/>
        </w:rPr>
        <w:t>Doing Business</w:t>
      </w:r>
      <w:r w:rsidRPr="00BC7710">
        <w:rPr>
          <w:rFonts w:ascii="Arial" w:hAnsi="Arial" w:cs="Arial"/>
          <w:sz w:val="22"/>
          <w:szCs w:val="22"/>
        </w:rPr>
        <w:t>, Doing Business in the Arab World, 2011</w:t>
      </w:r>
    </w:p>
    <w:p w:rsidR="00FC181F" w:rsidRPr="00BC7710" w:rsidRDefault="00FC181F" w:rsidP="00B54C8F">
      <w:pPr>
        <w:pStyle w:val="Paragrafoelenco"/>
        <w:numPr>
          <w:ilvl w:val="0"/>
          <w:numId w:val="50"/>
        </w:numPr>
        <w:spacing w:before="0" w:after="0"/>
        <w:ind w:left="426" w:hanging="426"/>
        <w:rPr>
          <w:rFonts w:ascii="Arial" w:hAnsi="Arial" w:cs="Arial"/>
          <w:b/>
          <w:bCs/>
          <w:sz w:val="22"/>
          <w:szCs w:val="22"/>
        </w:rPr>
      </w:pPr>
      <w:r w:rsidRPr="00BC7710">
        <w:rPr>
          <w:rFonts w:ascii="Arial" w:hAnsi="Arial" w:cs="Arial"/>
          <w:b/>
          <w:sz w:val="22"/>
          <w:szCs w:val="22"/>
          <w:lang w:eastAsia="it-IT"/>
        </w:rPr>
        <w:t xml:space="preserve">Economic and Social Council UN, </w:t>
      </w:r>
      <w:r w:rsidRPr="00BC7710">
        <w:rPr>
          <w:rFonts w:ascii="Arial" w:hAnsi="Arial" w:cs="Arial"/>
          <w:sz w:val="22"/>
          <w:szCs w:val="22"/>
          <w:lang w:eastAsia="it-IT"/>
        </w:rPr>
        <w:t>Trends and progress in international development cooperation Report of the Secretary-General, 23 May 2008</w:t>
      </w:r>
    </w:p>
    <w:p w:rsidR="00837DF9" w:rsidRPr="00BC7710" w:rsidRDefault="00837DF9" w:rsidP="00B54C8F">
      <w:pPr>
        <w:pStyle w:val="Paragrafoelenco"/>
        <w:numPr>
          <w:ilvl w:val="0"/>
          <w:numId w:val="50"/>
        </w:numPr>
        <w:spacing w:before="0" w:after="0"/>
        <w:ind w:left="426" w:hanging="426"/>
        <w:jc w:val="left"/>
        <w:rPr>
          <w:rFonts w:ascii="Arial" w:hAnsi="Arial" w:cs="Arial"/>
          <w:color w:val="000000"/>
          <w:sz w:val="22"/>
          <w:szCs w:val="22"/>
          <w:lang w:eastAsia="it-IT"/>
        </w:rPr>
      </w:pPr>
      <w:r w:rsidRPr="00BC7710">
        <w:rPr>
          <w:rFonts w:ascii="Arial" w:hAnsi="Arial" w:cs="Arial"/>
          <w:b/>
          <w:color w:val="000000"/>
          <w:sz w:val="22"/>
          <w:szCs w:val="22"/>
          <w:lang w:eastAsia="it-IT"/>
        </w:rPr>
        <w:lastRenderedPageBreak/>
        <w:t xml:space="preserve">EGMONT, </w:t>
      </w:r>
      <w:r w:rsidRPr="00BC7710">
        <w:rPr>
          <w:rFonts w:ascii="Arial" w:hAnsi="Arial" w:cs="Arial"/>
          <w:color w:val="000000"/>
          <w:sz w:val="22"/>
          <w:szCs w:val="22"/>
          <w:lang w:eastAsia="it-IT"/>
        </w:rPr>
        <w:t>Palestinian Unity Government: EU Should Find Ways to Cooperate-Security Policy Brief-May 2011</w:t>
      </w:r>
    </w:p>
    <w:p w:rsidR="00FC181F" w:rsidRPr="00BC7710" w:rsidRDefault="00FC181F" w:rsidP="00B54C8F">
      <w:pPr>
        <w:pStyle w:val="Paragrafoelenco"/>
        <w:numPr>
          <w:ilvl w:val="0"/>
          <w:numId w:val="50"/>
        </w:numPr>
        <w:spacing w:before="0" w:after="0"/>
        <w:ind w:left="426" w:hanging="426"/>
        <w:rPr>
          <w:rFonts w:ascii="Arial" w:hAnsi="Arial" w:cs="Arial"/>
          <w:bCs/>
          <w:sz w:val="22"/>
          <w:szCs w:val="22"/>
        </w:rPr>
      </w:pPr>
      <w:r w:rsidRPr="00BC7710">
        <w:rPr>
          <w:rFonts w:ascii="Arial" w:hAnsi="Arial" w:cs="Arial"/>
          <w:b/>
          <w:bCs/>
          <w:sz w:val="22"/>
          <w:szCs w:val="22"/>
        </w:rPr>
        <w:t xml:space="preserve">European Commission - </w:t>
      </w:r>
      <w:proofErr w:type="spellStart"/>
      <w:r w:rsidRPr="00BC7710">
        <w:rPr>
          <w:rFonts w:ascii="Arial" w:hAnsi="Arial" w:cs="Arial"/>
          <w:b/>
          <w:bCs/>
          <w:sz w:val="22"/>
          <w:szCs w:val="22"/>
        </w:rPr>
        <w:t>Görlach</w:t>
      </w:r>
      <w:proofErr w:type="spellEnd"/>
      <w:r w:rsidRPr="00BC7710">
        <w:rPr>
          <w:rFonts w:ascii="Arial" w:hAnsi="Arial" w:cs="Arial"/>
          <w:b/>
          <w:bCs/>
          <w:sz w:val="22"/>
          <w:szCs w:val="22"/>
        </w:rPr>
        <w:t xml:space="preserve">, B., </w:t>
      </w:r>
      <w:proofErr w:type="spellStart"/>
      <w:r w:rsidRPr="00BC7710">
        <w:rPr>
          <w:rFonts w:ascii="Arial" w:hAnsi="Arial" w:cs="Arial"/>
          <w:b/>
          <w:bCs/>
          <w:sz w:val="22"/>
          <w:szCs w:val="22"/>
        </w:rPr>
        <w:t>Möller-Gulland</w:t>
      </w:r>
      <w:proofErr w:type="spellEnd"/>
      <w:r w:rsidRPr="00BC7710">
        <w:rPr>
          <w:rFonts w:ascii="Arial" w:hAnsi="Arial" w:cs="Arial"/>
          <w:b/>
          <w:bCs/>
          <w:sz w:val="22"/>
          <w:szCs w:val="22"/>
        </w:rPr>
        <w:t xml:space="preserve">, J., Bar-On, H. and </w:t>
      </w:r>
      <w:proofErr w:type="spellStart"/>
      <w:r w:rsidRPr="00BC7710">
        <w:rPr>
          <w:rFonts w:ascii="Arial" w:hAnsi="Arial" w:cs="Arial"/>
          <w:b/>
          <w:bCs/>
          <w:sz w:val="22"/>
          <w:szCs w:val="22"/>
        </w:rPr>
        <w:t>Atrash</w:t>
      </w:r>
      <w:proofErr w:type="spellEnd"/>
      <w:r w:rsidRPr="00BC7710">
        <w:rPr>
          <w:rFonts w:ascii="Arial" w:hAnsi="Arial" w:cs="Arial"/>
          <w:bCs/>
          <w:sz w:val="22"/>
          <w:szCs w:val="22"/>
        </w:rPr>
        <w:t>, Analysis for European Neighborhood Policy (ENP) Countries and the Russian Federation of social and economic benefits of enhanced environmental protection – Occupied Palestinian territory Country Report, 2011</w:t>
      </w:r>
    </w:p>
    <w:p w:rsidR="00FC181F" w:rsidRPr="00BC7710" w:rsidRDefault="00FC181F" w:rsidP="00B54C8F">
      <w:pPr>
        <w:pStyle w:val="Paragrafoelenco"/>
        <w:numPr>
          <w:ilvl w:val="0"/>
          <w:numId w:val="50"/>
        </w:numPr>
        <w:ind w:left="426" w:hanging="426"/>
        <w:rPr>
          <w:rFonts w:ascii="Arial" w:hAnsi="Arial" w:cs="Arial"/>
          <w:b/>
          <w:bCs/>
          <w:sz w:val="22"/>
          <w:szCs w:val="22"/>
        </w:rPr>
      </w:pPr>
      <w:r w:rsidRPr="00BC7710">
        <w:rPr>
          <w:rFonts w:ascii="Arial" w:hAnsi="Arial" w:cs="Arial"/>
          <w:b/>
          <w:sz w:val="22"/>
          <w:szCs w:val="22"/>
          <w:lang w:eastAsia="it-IT"/>
        </w:rPr>
        <w:t xml:space="preserve">FAO, WFP, UNRWA, PCBS </w:t>
      </w:r>
      <w:r w:rsidRPr="00BC7710">
        <w:rPr>
          <w:rFonts w:ascii="Arial" w:hAnsi="Arial" w:cs="Arial"/>
          <w:sz w:val="22"/>
          <w:szCs w:val="22"/>
          <w:lang w:eastAsia="it-IT"/>
        </w:rPr>
        <w:t>- Socio-Economic and Food Security Survey West Bank and Gaza Strip, occupied Palestinian territory 2011, May 2012</w:t>
      </w:r>
    </w:p>
    <w:p w:rsidR="00FC181F" w:rsidRPr="00BC7710" w:rsidRDefault="00FC181F" w:rsidP="00B54C8F">
      <w:pPr>
        <w:pStyle w:val="Paragrafoelenco"/>
        <w:numPr>
          <w:ilvl w:val="0"/>
          <w:numId w:val="50"/>
        </w:numPr>
        <w:spacing w:before="0"/>
        <w:ind w:left="426" w:hanging="426"/>
        <w:rPr>
          <w:rFonts w:ascii="Arial" w:hAnsi="Arial" w:cs="Arial"/>
          <w:sz w:val="22"/>
          <w:szCs w:val="22"/>
          <w:lang w:eastAsia="ja-JP"/>
        </w:rPr>
      </w:pPr>
      <w:proofErr w:type="spellStart"/>
      <w:r w:rsidRPr="00BC7710">
        <w:rPr>
          <w:rFonts w:ascii="Arial" w:hAnsi="Arial" w:cs="Arial"/>
          <w:b/>
          <w:sz w:val="22"/>
          <w:szCs w:val="22"/>
          <w:lang w:eastAsia="ja-JP"/>
        </w:rPr>
        <w:t>Gianniou</w:t>
      </w:r>
      <w:proofErr w:type="spellEnd"/>
      <w:r w:rsidRPr="00BC7710">
        <w:rPr>
          <w:rFonts w:ascii="Arial" w:hAnsi="Arial" w:cs="Arial"/>
          <w:b/>
          <w:sz w:val="22"/>
          <w:szCs w:val="22"/>
          <w:lang w:eastAsia="ja-JP"/>
        </w:rPr>
        <w:t>,</w:t>
      </w:r>
      <w:r w:rsidR="00A4567A" w:rsidRPr="00BC7710">
        <w:rPr>
          <w:rFonts w:ascii="Arial" w:hAnsi="Arial" w:cs="Arial"/>
          <w:b/>
          <w:sz w:val="22"/>
          <w:szCs w:val="22"/>
          <w:lang w:eastAsia="ja-JP"/>
        </w:rPr>
        <w:t xml:space="preserve"> </w:t>
      </w:r>
      <w:proofErr w:type="spellStart"/>
      <w:r w:rsidRPr="00BC7710">
        <w:rPr>
          <w:rFonts w:ascii="Arial" w:hAnsi="Arial" w:cs="Arial"/>
          <w:b/>
          <w:sz w:val="22"/>
          <w:szCs w:val="22"/>
          <w:lang w:eastAsia="ja-JP"/>
        </w:rPr>
        <w:t>Maria</w:t>
      </w:r>
      <w:r w:rsidRPr="00BC7710">
        <w:rPr>
          <w:rFonts w:ascii="Arial" w:hAnsi="Arial" w:cs="Arial"/>
          <w:sz w:val="22"/>
          <w:szCs w:val="22"/>
          <w:lang w:eastAsia="ja-JP"/>
        </w:rPr>
        <w:t>,The</w:t>
      </w:r>
      <w:proofErr w:type="spellEnd"/>
      <w:r w:rsidRPr="00BC7710">
        <w:rPr>
          <w:rFonts w:ascii="Arial" w:hAnsi="Arial" w:cs="Arial"/>
          <w:sz w:val="22"/>
          <w:szCs w:val="22"/>
          <w:lang w:eastAsia="ja-JP"/>
        </w:rPr>
        <w:t xml:space="preserve"> European Union's involvement in the Israeli-Palestinian conflict: an active paradigm of European foreign policy? Paris III Sorbonne Nouvelle European Consortium for Political Research, September 2006</w:t>
      </w:r>
    </w:p>
    <w:p w:rsidR="00FC181F" w:rsidRPr="00BC7710" w:rsidRDefault="00FC181F" w:rsidP="00B54C8F">
      <w:pPr>
        <w:pStyle w:val="Paragrafoelenco"/>
        <w:numPr>
          <w:ilvl w:val="0"/>
          <w:numId w:val="50"/>
        </w:numPr>
        <w:spacing w:before="0"/>
        <w:ind w:left="426" w:hanging="426"/>
        <w:rPr>
          <w:rFonts w:ascii="Arial" w:hAnsi="Arial" w:cs="Arial"/>
          <w:sz w:val="22"/>
          <w:szCs w:val="22"/>
        </w:rPr>
      </w:pPr>
      <w:proofErr w:type="spellStart"/>
      <w:r w:rsidRPr="00BC7710">
        <w:rPr>
          <w:rFonts w:ascii="Arial" w:eastAsiaTheme="minorEastAsia" w:hAnsi="Arial" w:cs="Arial"/>
          <w:b/>
          <w:color w:val="000000"/>
          <w:sz w:val="22"/>
          <w:szCs w:val="22"/>
          <w:lang w:eastAsia="ja-JP"/>
        </w:rPr>
        <w:t>Gvirtzman</w:t>
      </w:r>
      <w:proofErr w:type="spellEnd"/>
      <w:r w:rsidRPr="00BC7710">
        <w:rPr>
          <w:rFonts w:ascii="Arial" w:eastAsiaTheme="minorEastAsia" w:hAnsi="Arial" w:cs="Arial"/>
          <w:b/>
          <w:color w:val="000000"/>
          <w:sz w:val="22"/>
          <w:szCs w:val="22"/>
          <w:lang w:eastAsia="ja-JP"/>
        </w:rPr>
        <w:t xml:space="preserve"> </w:t>
      </w:r>
      <w:proofErr w:type="spellStart"/>
      <w:r w:rsidRPr="00BC7710">
        <w:rPr>
          <w:rFonts w:ascii="Arial" w:eastAsiaTheme="minorEastAsia" w:hAnsi="Arial" w:cs="Arial"/>
          <w:b/>
          <w:color w:val="000000"/>
          <w:sz w:val="22"/>
          <w:szCs w:val="22"/>
          <w:lang w:eastAsia="ja-JP"/>
        </w:rPr>
        <w:t>Haim</w:t>
      </w:r>
      <w:proofErr w:type="spellEnd"/>
      <w:r w:rsidRPr="00BC7710">
        <w:rPr>
          <w:rFonts w:ascii="Arial" w:eastAsiaTheme="minorEastAsia" w:hAnsi="Arial" w:cs="Arial"/>
          <w:color w:val="000000"/>
          <w:sz w:val="22"/>
          <w:szCs w:val="22"/>
          <w:lang w:eastAsia="ja-JP"/>
        </w:rPr>
        <w:t xml:space="preserve"> - The Begin-Sadat Center for Strategic Studies, </w:t>
      </w:r>
      <w:proofErr w:type="spellStart"/>
      <w:r w:rsidRPr="00BC7710">
        <w:rPr>
          <w:rFonts w:ascii="Arial" w:eastAsiaTheme="minorEastAsia" w:hAnsi="Arial" w:cs="Arial"/>
          <w:color w:val="000000"/>
          <w:sz w:val="22"/>
          <w:szCs w:val="22"/>
          <w:lang w:eastAsia="ja-JP"/>
        </w:rPr>
        <w:t>Israel,The</w:t>
      </w:r>
      <w:proofErr w:type="spellEnd"/>
      <w:r w:rsidRPr="00BC7710">
        <w:rPr>
          <w:rFonts w:ascii="Arial" w:eastAsiaTheme="minorEastAsia" w:hAnsi="Arial" w:cs="Arial"/>
          <w:color w:val="000000"/>
          <w:sz w:val="22"/>
          <w:szCs w:val="22"/>
          <w:lang w:eastAsia="ja-JP"/>
        </w:rPr>
        <w:t xml:space="preserve"> Israeli-Palestinian Water Conflict: An Israeli Perspective,</w:t>
      </w:r>
      <w:r w:rsidR="00A4567A" w:rsidRPr="00BC7710">
        <w:rPr>
          <w:rFonts w:ascii="Arial" w:eastAsiaTheme="minorEastAsia" w:hAnsi="Arial" w:cs="Arial"/>
          <w:color w:val="000000"/>
          <w:sz w:val="22"/>
          <w:szCs w:val="22"/>
          <w:lang w:eastAsia="ja-JP"/>
        </w:rPr>
        <w:t xml:space="preserve"> </w:t>
      </w:r>
      <w:r w:rsidRPr="00BC7710">
        <w:rPr>
          <w:rFonts w:ascii="Arial" w:eastAsiaTheme="minorEastAsia" w:hAnsi="Arial" w:cs="Arial"/>
          <w:iCs/>
          <w:color w:val="000000"/>
          <w:sz w:val="22"/>
          <w:szCs w:val="22"/>
          <w:lang w:eastAsia="ja-JP"/>
        </w:rPr>
        <w:t>Mideast Security and Policy Studies No. 94,</w:t>
      </w:r>
      <w:r w:rsidRPr="00BC7710">
        <w:rPr>
          <w:rFonts w:ascii="Arial" w:eastAsiaTheme="minorEastAsia" w:hAnsi="Arial" w:cs="Arial"/>
          <w:color w:val="000000"/>
          <w:sz w:val="22"/>
          <w:szCs w:val="22"/>
          <w:lang w:eastAsia="ja-JP"/>
        </w:rPr>
        <w:t>January 2012</w:t>
      </w:r>
    </w:p>
    <w:p w:rsidR="00FC181F" w:rsidRPr="00BC7710" w:rsidRDefault="00FC181F" w:rsidP="00B54C8F">
      <w:pPr>
        <w:pStyle w:val="Paragrafoelenco"/>
        <w:numPr>
          <w:ilvl w:val="0"/>
          <w:numId w:val="50"/>
        </w:numPr>
        <w:spacing w:before="0" w:after="200"/>
        <w:ind w:left="426" w:hanging="426"/>
        <w:rPr>
          <w:rFonts w:ascii="Arial" w:hAnsi="Arial" w:cs="Arial"/>
          <w:bCs/>
          <w:sz w:val="22"/>
          <w:szCs w:val="22"/>
        </w:rPr>
      </w:pPr>
      <w:r w:rsidRPr="00BC7710">
        <w:rPr>
          <w:rFonts w:ascii="Arial" w:hAnsi="Arial" w:cs="Arial"/>
          <w:b/>
          <w:bCs/>
          <w:sz w:val="22"/>
          <w:szCs w:val="22"/>
        </w:rPr>
        <w:t>Heinrich Boll Foundation</w:t>
      </w:r>
      <w:r w:rsidRPr="00BC7710">
        <w:rPr>
          <w:rFonts w:ascii="Arial" w:hAnsi="Arial" w:cs="Arial"/>
          <w:bCs/>
          <w:sz w:val="22"/>
          <w:szCs w:val="22"/>
        </w:rPr>
        <w:t xml:space="preserve">, </w:t>
      </w:r>
      <w:proofErr w:type="spellStart"/>
      <w:r w:rsidRPr="00BC7710">
        <w:rPr>
          <w:rFonts w:ascii="Arial" w:hAnsi="Arial" w:cs="Arial"/>
          <w:bCs/>
          <w:sz w:val="22"/>
          <w:szCs w:val="22"/>
        </w:rPr>
        <w:t>Assaf</w:t>
      </w:r>
      <w:proofErr w:type="spellEnd"/>
      <w:r w:rsidRPr="00BC7710">
        <w:rPr>
          <w:rFonts w:ascii="Arial" w:hAnsi="Arial" w:cs="Arial"/>
          <w:bCs/>
          <w:sz w:val="22"/>
          <w:szCs w:val="22"/>
        </w:rPr>
        <w:t xml:space="preserve"> et al. (2004) Water as a Human Right: The understanding of water in Arab countries of the Middle East – A four countries analysis, Ramallah, Palestine</w:t>
      </w:r>
    </w:p>
    <w:p w:rsidR="00FC181F" w:rsidRDefault="00FC181F" w:rsidP="00B54C8F">
      <w:pPr>
        <w:pStyle w:val="Paragrafoelenco"/>
        <w:widowControl w:val="0"/>
        <w:numPr>
          <w:ilvl w:val="0"/>
          <w:numId w:val="50"/>
        </w:numPr>
        <w:autoSpaceDE w:val="0"/>
        <w:autoSpaceDN w:val="0"/>
        <w:adjustRightInd w:val="0"/>
        <w:spacing w:before="0" w:after="0"/>
        <w:ind w:left="426" w:hanging="426"/>
        <w:rPr>
          <w:rFonts w:ascii="Arial" w:eastAsia="Calibri" w:hAnsi="Arial" w:cs="Arial"/>
          <w:sz w:val="22"/>
          <w:szCs w:val="22"/>
        </w:rPr>
      </w:pPr>
      <w:r w:rsidRPr="00BC7710">
        <w:rPr>
          <w:rFonts w:ascii="Arial" w:hAnsi="Arial" w:cs="Arial"/>
          <w:b/>
          <w:sz w:val="22"/>
          <w:szCs w:val="22"/>
        </w:rPr>
        <w:t>IMF</w:t>
      </w:r>
      <w:r w:rsidRPr="00BC7710">
        <w:rPr>
          <w:rFonts w:ascii="Arial" w:hAnsi="Arial" w:cs="Arial"/>
          <w:sz w:val="22"/>
          <w:szCs w:val="22"/>
        </w:rPr>
        <w:t xml:space="preserve">, Staff Report: </w:t>
      </w:r>
      <w:r w:rsidRPr="00BC7710">
        <w:rPr>
          <w:rFonts w:ascii="Arial" w:eastAsia="Calibri" w:hAnsi="Arial" w:cs="Arial"/>
          <w:sz w:val="22"/>
          <w:szCs w:val="22"/>
        </w:rPr>
        <w:t>Recent Experience and Prospects of the Economy of the West Bank and Gaza. March 19, 2013</w:t>
      </w:r>
    </w:p>
    <w:p w:rsidR="004B73B7" w:rsidRPr="004B73B7" w:rsidRDefault="004B73B7" w:rsidP="00B54C8F">
      <w:pPr>
        <w:pStyle w:val="Paragrafoelenco"/>
        <w:numPr>
          <w:ilvl w:val="0"/>
          <w:numId w:val="50"/>
        </w:numPr>
        <w:autoSpaceDE w:val="0"/>
        <w:autoSpaceDN w:val="0"/>
        <w:adjustRightInd w:val="0"/>
        <w:spacing w:before="0" w:after="0"/>
        <w:ind w:left="426" w:hanging="426"/>
        <w:contextualSpacing w:val="0"/>
        <w:jc w:val="left"/>
        <w:rPr>
          <w:rFonts w:ascii="Arial" w:hAnsi="Arial" w:cs="Arial"/>
          <w:bCs/>
          <w:sz w:val="22"/>
          <w:szCs w:val="22"/>
          <w:lang w:val="fr-FR" w:eastAsia="it-IT"/>
        </w:rPr>
      </w:pPr>
      <w:r w:rsidRPr="004B73B7">
        <w:rPr>
          <w:rFonts w:ascii="Arial" w:hAnsi="Arial" w:cs="Arial"/>
          <w:b/>
          <w:sz w:val="22"/>
          <w:szCs w:val="22"/>
          <w:lang w:val="fr-FR" w:eastAsia="it-IT"/>
        </w:rPr>
        <w:t xml:space="preserve">Laurence Bernard </w:t>
      </w:r>
      <w:r w:rsidRPr="004B73B7">
        <w:rPr>
          <w:rFonts w:ascii="Arial" w:hAnsi="Arial" w:cs="Arial"/>
          <w:bCs/>
          <w:sz w:val="22"/>
          <w:szCs w:val="22"/>
          <w:lang w:val="fr-FR" w:eastAsia="it-IT"/>
        </w:rPr>
        <w:t xml:space="preserve">Journaliste Le monde diplomatique Protestations sans conviction contre l’occupation Faillite de l’Union européenne en Palestine, </w:t>
      </w:r>
      <w:proofErr w:type="spellStart"/>
      <w:r w:rsidRPr="004B73B7">
        <w:rPr>
          <w:rFonts w:ascii="Arial" w:hAnsi="Arial" w:cs="Arial"/>
          <w:bCs/>
          <w:sz w:val="22"/>
          <w:szCs w:val="22"/>
          <w:lang w:val="fr-FR" w:eastAsia="it-IT"/>
        </w:rPr>
        <w:t>Nov</w:t>
      </w:r>
      <w:proofErr w:type="spellEnd"/>
      <w:r w:rsidRPr="004B73B7">
        <w:rPr>
          <w:rFonts w:ascii="Arial" w:hAnsi="Arial" w:cs="Arial"/>
          <w:bCs/>
          <w:sz w:val="22"/>
          <w:szCs w:val="22"/>
          <w:lang w:val="fr-FR" w:eastAsia="it-IT"/>
        </w:rPr>
        <w:t xml:space="preserve"> 2013</w:t>
      </w:r>
    </w:p>
    <w:p w:rsidR="00FC181F" w:rsidRPr="00BC7710" w:rsidRDefault="00FC181F" w:rsidP="00B54C8F">
      <w:pPr>
        <w:pStyle w:val="Paragrafoelenco"/>
        <w:widowControl w:val="0"/>
        <w:numPr>
          <w:ilvl w:val="0"/>
          <w:numId w:val="50"/>
        </w:numPr>
        <w:autoSpaceDE w:val="0"/>
        <w:autoSpaceDN w:val="0"/>
        <w:adjustRightInd w:val="0"/>
        <w:spacing w:before="0"/>
        <w:ind w:left="426" w:hanging="426"/>
        <w:rPr>
          <w:rFonts w:ascii="Arial" w:eastAsiaTheme="minorEastAsia" w:hAnsi="Arial" w:cs="Arial"/>
          <w:sz w:val="22"/>
          <w:szCs w:val="22"/>
          <w:lang w:eastAsia="ja-JP"/>
        </w:rPr>
      </w:pPr>
      <w:proofErr w:type="spellStart"/>
      <w:r w:rsidRPr="00BC7710">
        <w:rPr>
          <w:rFonts w:ascii="Arial" w:eastAsiaTheme="minorEastAsia" w:hAnsi="Arial" w:cs="Arial"/>
          <w:b/>
          <w:sz w:val="22"/>
          <w:szCs w:val="22"/>
          <w:lang w:eastAsia="ja-JP"/>
        </w:rPr>
        <w:t>Lunat</w:t>
      </w:r>
      <w:proofErr w:type="spellEnd"/>
      <w:r w:rsidRPr="00BC7710">
        <w:rPr>
          <w:rFonts w:ascii="Arial" w:eastAsiaTheme="minorEastAsia" w:hAnsi="Arial" w:cs="Arial"/>
          <w:b/>
          <w:sz w:val="22"/>
          <w:szCs w:val="22"/>
          <w:lang w:eastAsia="ja-JP"/>
        </w:rPr>
        <w:t xml:space="preserve">, </w:t>
      </w:r>
      <w:proofErr w:type="spellStart"/>
      <w:r w:rsidRPr="00BC7710">
        <w:rPr>
          <w:rFonts w:ascii="Arial" w:eastAsiaTheme="minorEastAsia" w:hAnsi="Arial" w:cs="Arial"/>
          <w:b/>
          <w:sz w:val="22"/>
          <w:szCs w:val="22"/>
          <w:lang w:eastAsia="ja-JP"/>
        </w:rPr>
        <w:t>Ziyaad</w:t>
      </w:r>
      <w:proofErr w:type="spellEnd"/>
      <w:r w:rsidRPr="00BC7710">
        <w:rPr>
          <w:rFonts w:ascii="Arial" w:eastAsiaTheme="minorEastAsia" w:hAnsi="Arial" w:cs="Arial"/>
          <w:sz w:val="22"/>
          <w:szCs w:val="22"/>
          <w:lang w:eastAsia="ja-JP"/>
        </w:rPr>
        <w:t xml:space="preserve"> (2010): Charting the Rapids: The Water and Sanitation Sector under Occupation, in </w:t>
      </w:r>
      <w:r w:rsidRPr="00BC7710">
        <w:rPr>
          <w:rFonts w:ascii="Arial" w:eastAsiaTheme="minorEastAsia" w:hAnsi="Arial" w:cs="Arial"/>
          <w:i/>
          <w:iCs/>
          <w:sz w:val="22"/>
          <w:szCs w:val="22"/>
          <w:lang w:eastAsia="ja-JP"/>
        </w:rPr>
        <w:t>Geographies of Aid in Palestine International Conference</w:t>
      </w:r>
      <w:r w:rsidRPr="00BC7710">
        <w:rPr>
          <w:rFonts w:ascii="Arial" w:eastAsiaTheme="minorEastAsia" w:hAnsi="Arial" w:cs="Arial"/>
          <w:sz w:val="22"/>
          <w:szCs w:val="22"/>
          <w:lang w:eastAsia="ja-JP"/>
        </w:rPr>
        <w:t xml:space="preserve">, </w:t>
      </w:r>
      <w:proofErr w:type="spellStart"/>
      <w:r w:rsidRPr="00BC7710">
        <w:rPr>
          <w:rFonts w:ascii="Arial" w:eastAsiaTheme="minorEastAsia" w:hAnsi="Arial" w:cs="Arial"/>
          <w:sz w:val="22"/>
          <w:szCs w:val="22"/>
          <w:lang w:eastAsia="ja-JP"/>
        </w:rPr>
        <w:t>Birzeit</w:t>
      </w:r>
      <w:proofErr w:type="spellEnd"/>
      <w:r w:rsidRPr="00BC7710">
        <w:rPr>
          <w:rFonts w:ascii="Arial" w:eastAsiaTheme="minorEastAsia" w:hAnsi="Arial" w:cs="Arial"/>
          <w:sz w:val="22"/>
          <w:szCs w:val="22"/>
          <w:lang w:eastAsia="ja-JP"/>
        </w:rPr>
        <w:t xml:space="preserve"> University, Ramallah.</w:t>
      </w:r>
    </w:p>
    <w:p w:rsidR="00FC181F" w:rsidRPr="00BC7710" w:rsidRDefault="00FC181F" w:rsidP="00B54C8F">
      <w:pPr>
        <w:pStyle w:val="Paragrafoelenco"/>
        <w:numPr>
          <w:ilvl w:val="0"/>
          <w:numId w:val="50"/>
        </w:numPr>
        <w:spacing w:before="0"/>
        <w:ind w:left="426" w:hanging="426"/>
        <w:rPr>
          <w:rFonts w:ascii="Arial" w:hAnsi="Arial" w:cs="Arial"/>
          <w:sz w:val="22"/>
          <w:szCs w:val="22"/>
          <w:lang w:eastAsia="ja-JP"/>
        </w:rPr>
      </w:pPr>
      <w:proofErr w:type="spellStart"/>
      <w:r w:rsidRPr="00BC7710">
        <w:rPr>
          <w:rFonts w:ascii="Arial" w:hAnsi="Arial" w:cs="Arial"/>
          <w:b/>
          <w:sz w:val="22"/>
          <w:szCs w:val="22"/>
          <w:lang w:eastAsia="ja-JP"/>
        </w:rPr>
        <w:t>Messerschmid</w:t>
      </w:r>
      <w:proofErr w:type="spellEnd"/>
      <w:r w:rsidRPr="00BC7710">
        <w:rPr>
          <w:rFonts w:ascii="Arial" w:hAnsi="Arial" w:cs="Arial"/>
          <w:b/>
          <w:sz w:val="22"/>
          <w:szCs w:val="22"/>
          <w:lang w:eastAsia="ja-JP"/>
        </w:rPr>
        <w:t>, Clemens,</w:t>
      </w:r>
      <w:r w:rsidRPr="00BC7710">
        <w:rPr>
          <w:rFonts w:ascii="Arial" w:hAnsi="Arial" w:cs="Arial"/>
          <w:sz w:val="22"/>
          <w:szCs w:val="22"/>
          <w:lang w:eastAsia="ja-JP"/>
        </w:rPr>
        <w:t xml:space="preserve"> What price cooperation? Hydro-hegemony in shared Israeli/Palestinian groundwater resources. Conference paper, Amman, 2007</w:t>
      </w:r>
    </w:p>
    <w:p w:rsidR="00FC181F" w:rsidRPr="00BC7710" w:rsidRDefault="00FC181F" w:rsidP="00B54C8F">
      <w:pPr>
        <w:pStyle w:val="Paragrafoelenco"/>
        <w:numPr>
          <w:ilvl w:val="0"/>
          <w:numId w:val="50"/>
        </w:numPr>
        <w:spacing w:before="0"/>
        <w:ind w:left="426" w:hanging="426"/>
        <w:rPr>
          <w:rFonts w:ascii="Arial" w:hAnsi="Arial" w:cs="Arial"/>
          <w:sz w:val="22"/>
          <w:szCs w:val="22"/>
          <w:lang w:eastAsia="ja-JP"/>
        </w:rPr>
      </w:pPr>
      <w:proofErr w:type="spellStart"/>
      <w:r w:rsidRPr="00BC7710">
        <w:rPr>
          <w:rFonts w:ascii="Arial" w:hAnsi="Arial" w:cs="Arial"/>
          <w:b/>
          <w:sz w:val="22"/>
          <w:szCs w:val="22"/>
          <w:lang w:eastAsia="ja-JP"/>
        </w:rPr>
        <w:t>Messerschmid</w:t>
      </w:r>
      <w:proofErr w:type="spellEnd"/>
      <w:r w:rsidRPr="00BC7710">
        <w:rPr>
          <w:rFonts w:ascii="Arial" w:hAnsi="Arial" w:cs="Arial"/>
          <w:b/>
          <w:sz w:val="22"/>
          <w:szCs w:val="22"/>
          <w:lang w:eastAsia="ja-JP"/>
        </w:rPr>
        <w:t>, Clemens</w:t>
      </w:r>
      <w:r w:rsidRPr="00BC7710">
        <w:rPr>
          <w:rFonts w:ascii="Arial" w:hAnsi="Arial" w:cs="Arial"/>
          <w:sz w:val="22"/>
          <w:szCs w:val="22"/>
          <w:lang w:eastAsia="ja-JP"/>
        </w:rPr>
        <w:t xml:space="preserve">, Bitter Water – Reality and Illusions in Water Policy for Gaza, in Gaza-Palestine – Out of the Margins International Conference, </w:t>
      </w:r>
      <w:proofErr w:type="spellStart"/>
      <w:r w:rsidRPr="00BC7710">
        <w:rPr>
          <w:rFonts w:ascii="Arial" w:hAnsi="Arial" w:cs="Arial"/>
          <w:sz w:val="22"/>
          <w:szCs w:val="22"/>
          <w:lang w:eastAsia="ja-JP"/>
        </w:rPr>
        <w:t>Birzeit</w:t>
      </w:r>
      <w:proofErr w:type="spellEnd"/>
      <w:r w:rsidRPr="00BC7710">
        <w:rPr>
          <w:rFonts w:ascii="Arial" w:hAnsi="Arial" w:cs="Arial"/>
          <w:sz w:val="22"/>
          <w:szCs w:val="22"/>
          <w:lang w:eastAsia="ja-JP"/>
        </w:rPr>
        <w:t xml:space="preserve"> University, Ramallah, 2010</w:t>
      </w:r>
    </w:p>
    <w:p w:rsidR="00FC181F" w:rsidRPr="00BC7710" w:rsidRDefault="00FC181F" w:rsidP="00B54C8F">
      <w:pPr>
        <w:pStyle w:val="Paragrafoelenco"/>
        <w:numPr>
          <w:ilvl w:val="0"/>
          <w:numId w:val="50"/>
        </w:numPr>
        <w:ind w:left="426" w:hanging="426"/>
        <w:rPr>
          <w:rFonts w:ascii="Arial" w:hAnsi="Arial" w:cs="Arial"/>
          <w:bCs/>
          <w:sz w:val="22"/>
          <w:szCs w:val="22"/>
        </w:rPr>
      </w:pPr>
      <w:r w:rsidRPr="00BC7710">
        <w:rPr>
          <w:rFonts w:ascii="Arial" w:hAnsi="Arial" w:cs="Arial"/>
          <w:b/>
          <w:bCs/>
          <w:sz w:val="22"/>
          <w:szCs w:val="22"/>
        </w:rPr>
        <w:t xml:space="preserve">Norwegian Government, </w:t>
      </w:r>
      <w:r w:rsidRPr="00BC7710">
        <w:rPr>
          <w:rFonts w:ascii="Arial" w:hAnsi="Arial" w:cs="Arial"/>
          <w:sz w:val="22"/>
          <w:szCs w:val="22"/>
          <w:lang w:eastAsia="it-IT"/>
        </w:rPr>
        <w:t>International donors call for Palestinian Authority observer status in the WTO, Press release, April 2011</w:t>
      </w:r>
    </w:p>
    <w:p w:rsidR="00FC181F" w:rsidRPr="00BC7710" w:rsidRDefault="00FC181F" w:rsidP="00B54C8F">
      <w:pPr>
        <w:pStyle w:val="Paragrafoelenco"/>
        <w:widowControl w:val="0"/>
        <w:numPr>
          <w:ilvl w:val="0"/>
          <w:numId w:val="50"/>
        </w:numPr>
        <w:autoSpaceDE w:val="0"/>
        <w:autoSpaceDN w:val="0"/>
        <w:adjustRightInd w:val="0"/>
        <w:spacing w:before="0"/>
        <w:ind w:left="426" w:hanging="426"/>
        <w:rPr>
          <w:rFonts w:ascii="Arial" w:eastAsiaTheme="minorEastAsia" w:hAnsi="Arial" w:cs="Arial"/>
          <w:color w:val="221E1F"/>
          <w:sz w:val="22"/>
          <w:szCs w:val="22"/>
          <w:lang w:eastAsia="ja-JP"/>
        </w:rPr>
      </w:pPr>
      <w:r w:rsidRPr="00BC7710">
        <w:rPr>
          <w:rFonts w:ascii="Arial" w:eastAsiaTheme="minorEastAsia" w:hAnsi="Arial" w:cs="Arial"/>
          <w:b/>
          <w:color w:val="221E1F"/>
          <w:sz w:val="22"/>
          <w:szCs w:val="22"/>
          <w:lang w:eastAsia="ja-JP"/>
        </w:rPr>
        <w:t>OCHA</w:t>
      </w:r>
      <w:r w:rsidRPr="00BC7710">
        <w:rPr>
          <w:rFonts w:ascii="Arial" w:eastAsiaTheme="minorEastAsia" w:hAnsi="Arial" w:cs="Arial"/>
          <w:color w:val="221E1F"/>
          <w:sz w:val="22"/>
          <w:szCs w:val="22"/>
          <w:lang w:eastAsia="ja-JP"/>
        </w:rPr>
        <w:t xml:space="preserve">, 2012e Five Years of Blockade: The Humanitarian Situation in the Gaza Strip, June 2012. </w:t>
      </w:r>
    </w:p>
    <w:p w:rsidR="00FC181F" w:rsidRPr="00BC7710" w:rsidRDefault="00FC181F" w:rsidP="00B54C8F">
      <w:pPr>
        <w:pStyle w:val="Paragrafoelenco"/>
        <w:numPr>
          <w:ilvl w:val="0"/>
          <w:numId w:val="50"/>
        </w:numPr>
        <w:ind w:left="426" w:hanging="426"/>
        <w:rPr>
          <w:rFonts w:ascii="Arial" w:hAnsi="Arial" w:cs="Arial"/>
          <w:b/>
          <w:bCs/>
          <w:sz w:val="22"/>
          <w:szCs w:val="22"/>
        </w:rPr>
      </w:pPr>
      <w:r w:rsidRPr="00BC7710">
        <w:rPr>
          <w:rFonts w:ascii="Arial" w:hAnsi="Arial" w:cs="Arial"/>
          <w:b/>
          <w:bCs/>
          <w:sz w:val="22"/>
          <w:szCs w:val="22"/>
        </w:rPr>
        <w:t xml:space="preserve">ODI, </w:t>
      </w:r>
      <w:r w:rsidRPr="00BC7710">
        <w:rPr>
          <w:rFonts w:ascii="Arial" w:hAnsi="Arial" w:cs="Arial"/>
          <w:sz w:val="22"/>
          <w:szCs w:val="22"/>
          <w:lang w:eastAsia="it-IT"/>
        </w:rPr>
        <w:t>Cash Transfers Pal Briefing</w:t>
      </w:r>
    </w:p>
    <w:p w:rsidR="00FC181F" w:rsidRPr="00BC7710" w:rsidRDefault="00FC181F" w:rsidP="00B54C8F">
      <w:pPr>
        <w:pStyle w:val="Paragrafoelenco"/>
        <w:numPr>
          <w:ilvl w:val="0"/>
          <w:numId w:val="52"/>
        </w:numPr>
        <w:ind w:left="426" w:hanging="426"/>
        <w:jc w:val="left"/>
        <w:rPr>
          <w:rFonts w:ascii="Arial" w:hAnsi="Arial" w:cs="Arial"/>
          <w:sz w:val="22"/>
          <w:szCs w:val="22"/>
          <w:lang w:eastAsia="it-IT"/>
        </w:rPr>
      </w:pPr>
      <w:r w:rsidRPr="00BC7710">
        <w:rPr>
          <w:rFonts w:ascii="Arial" w:hAnsi="Arial" w:cs="Arial"/>
          <w:b/>
          <w:sz w:val="22"/>
          <w:szCs w:val="22"/>
          <w:lang w:eastAsia="it-IT"/>
        </w:rPr>
        <w:t>ODI</w:t>
      </w:r>
      <w:r w:rsidRPr="00BC7710">
        <w:rPr>
          <w:rFonts w:ascii="Arial" w:hAnsi="Arial" w:cs="Arial"/>
          <w:sz w:val="22"/>
          <w:szCs w:val="22"/>
          <w:lang w:eastAsia="it-IT"/>
        </w:rPr>
        <w:t xml:space="preserve">, Cash Transfers Pal </w:t>
      </w:r>
      <w:proofErr w:type="spellStart"/>
      <w:r w:rsidRPr="00BC7710">
        <w:rPr>
          <w:rFonts w:ascii="Arial" w:hAnsi="Arial" w:cs="Arial"/>
          <w:sz w:val="22"/>
          <w:szCs w:val="22"/>
          <w:lang w:eastAsia="it-IT"/>
        </w:rPr>
        <w:t>ExecSum</w:t>
      </w:r>
      <w:proofErr w:type="spellEnd"/>
    </w:p>
    <w:p w:rsidR="00FC181F" w:rsidRPr="00BC7710" w:rsidRDefault="00FC181F" w:rsidP="00B54C8F">
      <w:pPr>
        <w:pStyle w:val="Paragrafoelenco"/>
        <w:numPr>
          <w:ilvl w:val="0"/>
          <w:numId w:val="52"/>
        </w:numPr>
        <w:ind w:left="426" w:hanging="426"/>
        <w:jc w:val="left"/>
        <w:rPr>
          <w:rFonts w:ascii="Arial" w:hAnsi="Arial" w:cs="Arial"/>
          <w:sz w:val="22"/>
          <w:szCs w:val="22"/>
          <w:lang w:eastAsia="it-IT"/>
        </w:rPr>
      </w:pPr>
      <w:r w:rsidRPr="00BC7710">
        <w:rPr>
          <w:rFonts w:ascii="Arial" w:hAnsi="Arial" w:cs="Arial"/>
          <w:b/>
          <w:sz w:val="22"/>
          <w:szCs w:val="22"/>
          <w:lang w:eastAsia="it-IT"/>
        </w:rPr>
        <w:t>ODI</w:t>
      </w:r>
      <w:r w:rsidRPr="00BC7710">
        <w:rPr>
          <w:rFonts w:ascii="Arial" w:hAnsi="Arial" w:cs="Arial"/>
          <w:sz w:val="22"/>
          <w:szCs w:val="22"/>
          <w:lang w:eastAsia="it-IT"/>
        </w:rPr>
        <w:t>, Cash Transfers Pal Full Report</w:t>
      </w:r>
    </w:p>
    <w:p w:rsidR="00FC181F" w:rsidRPr="00BC7710" w:rsidRDefault="00FC181F" w:rsidP="00B54C8F">
      <w:pPr>
        <w:pStyle w:val="Paragrafoelenco"/>
        <w:numPr>
          <w:ilvl w:val="0"/>
          <w:numId w:val="52"/>
        </w:numPr>
        <w:ind w:left="426" w:hanging="426"/>
        <w:jc w:val="left"/>
        <w:rPr>
          <w:rFonts w:ascii="Arial" w:hAnsi="Arial" w:cs="Arial"/>
          <w:sz w:val="22"/>
          <w:szCs w:val="22"/>
          <w:lang w:eastAsia="it-IT"/>
        </w:rPr>
      </w:pPr>
      <w:r w:rsidRPr="00BC7710">
        <w:rPr>
          <w:rFonts w:ascii="Arial" w:hAnsi="Arial" w:cs="Arial"/>
          <w:b/>
          <w:sz w:val="22"/>
          <w:szCs w:val="22"/>
          <w:lang w:eastAsia="it-IT"/>
        </w:rPr>
        <w:t>ODI</w:t>
      </w:r>
      <w:r w:rsidRPr="00BC7710">
        <w:rPr>
          <w:rFonts w:ascii="Arial" w:hAnsi="Arial" w:cs="Arial"/>
          <w:sz w:val="22"/>
          <w:szCs w:val="22"/>
          <w:lang w:eastAsia="it-IT"/>
        </w:rPr>
        <w:t>, Cash Transfers Synthesis Briefing</w:t>
      </w:r>
    </w:p>
    <w:p w:rsidR="00FC181F" w:rsidRPr="00BC7710" w:rsidRDefault="00FC181F" w:rsidP="00B54C8F">
      <w:pPr>
        <w:pStyle w:val="Paragrafoelenco"/>
        <w:numPr>
          <w:ilvl w:val="0"/>
          <w:numId w:val="52"/>
        </w:numPr>
        <w:ind w:left="426" w:hanging="426"/>
        <w:jc w:val="left"/>
        <w:rPr>
          <w:rFonts w:ascii="Arial" w:hAnsi="Arial" w:cs="Arial"/>
          <w:sz w:val="22"/>
          <w:szCs w:val="22"/>
          <w:lang w:eastAsia="it-IT"/>
        </w:rPr>
      </w:pPr>
      <w:r w:rsidRPr="00BC7710">
        <w:rPr>
          <w:rFonts w:ascii="Arial" w:hAnsi="Arial" w:cs="Arial"/>
          <w:b/>
          <w:sz w:val="22"/>
          <w:szCs w:val="22"/>
          <w:lang w:eastAsia="it-IT"/>
        </w:rPr>
        <w:t>ODI</w:t>
      </w:r>
      <w:r w:rsidRPr="00BC7710">
        <w:rPr>
          <w:rFonts w:ascii="Arial" w:hAnsi="Arial" w:cs="Arial"/>
          <w:sz w:val="22"/>
          <w:szCs w:val="22"/>
          <w:lang w:eastAsia="it-IT"/>
        </w:rPr>
        <w:t>, Cash Transfers Synthesis Full Report</w:t>
      </w:r>
    </w:p>
    <w:p w:rsidR="00FC181F" w:rsidRPr="004B73B7" w:rsidRDefault="00FC181F" w:rsidP="00B54C8F">
      <w:pPr>
        <w:pStyle w:val="Paragrafoelenco"/>
        <w:numPr>
          <w:ilvl w:val="0"/>
          <w:numId w:val="52"/>
        </w:numPr>
        <w:ind w:left="426" w:hanging="426"/>
        <w:rPr>
          <w:rFonts w:ascii="Arial" w:hAnsi="Arial" w:cs="Arial"/>
          <w:b/>
          <w:bCs/>
          <w:sz w:val="22"/>
          <w:szCs w:val="22"/>
        </w:rPr>
      </w:pPr>
      <w:r w:rsidRPr="00BC7710">
        <w:rPr>
          <w:rFonts w:ascii="Arial" w:hAnsi="Arial" w:cs="Arial"/>
          <w:b/>
          <w:bCs/>
          <w:sz w:val="22"/>
          <w:szCs w:val="22"/>
        </w:rPr>
        <w:t xml:space="preserve">OECD, </w:t>
      </w:r>
      <w:r w:rsidRPr="00BC7710">
        <w:rPr>
          <w:rFonts w:ascii="Arial" w:hAnsi="Arial" w:cs="Arial"/>
          <w:sz w:val="22"/>
          <w:szCs w:val="22"/>
          <w:lang w:eastAsia="it-IT"/>
        </w:rPr>
        <w:t>2011 Report on International Engagement in Fragile States:</w:t>
      </w:r>
      <w:r w:rsidRPr="00BC7710">
        <w:rPr>
          <w:rFonts w:ascii="Arial" w:hAnsi="Arial" w:cs="Arial"/>
          <w:sz w:val="22"/>
          <w:szCs w:val="22"/>
          <w:lang w:eastAsia="it-IT"/>
        </w:rPr>
        <w:br/>
        <w:t>Can’t we do better? , 2011</w:t>
      </w:r>
    </w:p>
    <w:p w:rsidR="004B73B7" w:rsidRPr="004B73B7" w:rsidRDefault="004B73B7" w:rsidP="00B54C8F">
      <w:pPr>
        <w:pStyle w:val="Paragrafoelenco"/>
        <w:numPr>
          <w:ilvl w:val="0"/>
          <w:numId w:val="52"/>
        </w:numPr>
        <w:autoSpaceDE w:val="0"/>
        <w:autoSpaceDN w:val="0"/>
        <w:adjustRightInd w:val="0"/>
        <w:spacing w:before="0" w:after="0"/>
        <w:ind w:left="426" w:hanging="426"/>
        <w:contextualSpacing w:val="0"/>
        <w:jc w:val="left"/>
        <w:rPr>
          <w:rFonts w:ascii="Arial" w:hAnsi="Arial" w:cs="Arial"/>
          <w:bCs/>
          <w:sz w:val="22"/>
          <w:szCs w:val="22"/>
          <w:lang w:eastAsia="it-IT"/>
        </w:rPr>
      </w:pPr>
      <w:r w:rsidRPr="004B73B7">
        <w:rPr>
          <w:rFonts w:ascii="Arial" w:hAnsi="Arial" w:cs="Arial"/>
          <w:b/>
          <w:bCs/>
          <w:sz w:val="22"/>
          <w:szCs w:val="22"/>
          <w:lang w:eastAsia="it-IT"/>
        </w:rPr>
        <w:t>OHCHR</w:t>
      </w:r>
      <w:r w:rsidRPr="004B73B7">
        <w:rPr>
          <w:rFonts w:ascii="Arial" w:hAnsi="Arial" w:cs="Arial"/>
          <w:bCs/>
          <w:sz w:val="22"/>
          <w:szCs w:val="22"/>
          <w:lang w:eastAsia="it-IT"/>
        </w:rPr>
        <w:t xml:space="preserve"> EC Area C and Palestinian State Building Final Report July 2011</w:t>
      </w:r>
    </w:p>
    <w:p w:rsidR="00FC181F" w:rsidRPr="00BC7710" w:rsidRDefault="00FC181F" w:rsidP="00B54C8F">
      <w:pPr>
        <w:pStyle w:val="Paragrafoelenco"/>
        <w:numPr>
          <w:ilvl w:val="0"/>
          <w:numId w:val="52"/>
        </w:numPr>
        <w:ind w:left="426" w:hanging="426"/>
        <w:rPr>
          <w:rFonts w:ascii="Arial" w:hAnsi="Arial" w:cs="Arial"/>
          <w:b/>
          <w:bCs/>
          <w:sz w:val="22"/>
          <w:szCs w:val="22"/>
        </w:rPr>
      </w:pPr>
      <w:proofErr w:type="spellStart"/>
      <w:r w:rsidRPr="00BC7710">
        <w:rPr>
          <w:rFonts w:ascii="Arial" w:hAnsi="Arial" w:cs="Arial"/>
          <w:b/>
          <w:sz w:val="22"/>
          <w:szCs w:val="22"/>
          <w:lang w:eastAsia="ja-JP"/>
        </w:rPr>
        <w:t>Scarpa</w:t>
      </w:r>
      <w:proofErr w:type="spellEnd"/>
      <w:r w:rsidRPr="00BC7710">
        <w:rPr>
          <w:rFonts w:ascii="Arial" w:hAnsi="Arial" w:cs="Arial"/>
          <w:b/>
          <w:sz w:val="22"/>
          <w:szCs w:val="22"/>
          <w:lang w:eastAsia="ja-JP"/>
        </w:rPr>
        <w:t>, David</w:t>
      </w:r>
      <w:r w:rsidRPr="00BC7710">
        <w:rPr>
          <w:rFonts w:ascii="Arial" w:hAnsi="Arial" w:cs="Arial"/>
          <w:sz w:val="22"/>
          <w:szCs w:val="22"/>
          <w:lang w:eastAsia="ja-JP"/>
        </w:rPr>
        <w:t xml:space="preserve">, </w:t>
      </w:r>
      <w:proofErr w:type="spellStart"/>
      <w:r w:rsidRPr="00BC7710">
        <w:rPr>
          <w:rFonts w:ascii="Arial" w:hAnsi="Arial" w:cs="Arial"/>
          <w:sz w:val="22"/>
          <w:szCs w:val="22"/>
          <w:lang w:eastAsia="ja-JP"/>
        </w:rPr>
        <w:t>Hydropolitics</w:t>
      </w:r>
      <w:proofErr w:type="spellEnd"/>
      <w:r w:rsidRPr="00BC7710">
        <w:rPr>
          <w:rFonts w:ascii="Arial" w:hAnsi="Arial" w:cs="Arial"/>
          <w:sz w:val="22"/>
          <w:szCs w:val="22"/>
          <w:lang w:eastAsia="ja-JP"/>
        </w:rPr>
        <w:t xml:space="preserve"> in recent Israeli-Palestinian relations, Water and Soil Environmental Research Unit, Palestinian National Authority, 2004</w:t>
      </w:r>
    </w:p>
    <w:p w:rsidR="00FC181F" w:rsidRPr="004B73B7" w:rsidRDefault="00FC181F" w:rsidP="00B54C8F">
      <w:pPr>
        <w:pStyle w:val="Paragrafoelenco"/>
        <w:numPr>
          <w:ilvl w:val="0"/>
          <w:numId w:val="52"/>
        </w:numPr>
        <w:ind w:left="426" w:hanging="426"/>
        <w:rPr>
          <w:rFonts w:ascii="Arial" w:hAnsi="Arial" w:cs="Arial"/>
          <w:b/>
          <w:bCs/>
          <w:sz w:val="22"/>
          <w:szCs w:val="22"/>
        </w:rPr>
      </w:pPr>
      <w:r w:rsidRPr="00BC7710">
        <w:rPr>
          <w:rFonts w:ascii="Arial" w:hAnsi="Arial" w:cs="Arial"/>
          <w:b/>
          <w:sz w:val="22"/>
          <w:szCs w:val="22"/>
          <w:lang w:eastAsia="it-IT"/>
        </w:rPr>
        <w:t xml:space="preserve">The Carter Centre, </w:t>
      </w:r>
      <w:r w:rsidRPr="00BC7710">
        <w:rPr>
          <w:rFonts w:ascii="Arial" w:hAnsi="Arial" w:cs="Arial"/>
          <w:sz w:val="22"/>
          <w:szCs w:val="22"/>
          <w:lang w:eastAsia="it-IT"/>
        </w:rPr>
        <w:t>The Carter Center Electoral Study Mission Urges Parties to Pursue Political</w:t>
      </w:r>
      <w:r w:rsidR="00A4567A" w:rsidRPr="00BC7710">
        <w:rPr>
          <w:rFonts w:ascii="Arial" w:hAnsi="Arial" w:cs="Arial"/>
          <w:sz w:val="22"/>
          <w:szCs w:val="22"/>
          <w:lang w:eastAsia="it-IT"/>
        </w:rPr>
        <w:t xml:space="preserve"> </w:t>
      </w:r>
      <w:r w:rsidRPr="00BC7710">
        <w:rPr>
          <w:rFonts w:ascii="Arial" w:hAnsi="Arial" w:cs="Arial"/>
          <w:sz w:val="22"/>
          <w:szCs w:val="22"/>
          <w:lang w:eastAsia="it-IT"/>
        </w:rPr>
        <w:t>Reconciliation, 21 October 2012</w:t>
      </w:r>
    </w:p>
    <w:p w:rsidR="004B73B7" w:rsidRPr="004B73B7" w:rsidRDefault="004B73B7" w:rsidP="00B54C8F">
      <w:pPr>
        <w:pStyle w:val="Paragrafoelenco"/>
        <w:numPr>
          <w:ilvl w:val="0"/>
          <w:numId w:val="52"/>
        </w:numPr>
        <w:autoSpaceDE w:val="0"/>
        <w:autoSpaceDN w:val="0"/>
        <w:adjustRightInd w:val="0"/>
        <w:spacing w:before="0" w:after="0"/>
        <w:ind w:left="426" w:hanging="426"/>
        <w:contextualSpacing w:val="0"/>
        <w:jc w:val="left"/>
        <w:rPr>
          <w:rFonts w:ascii="Arial" w:hAnsi="Arial" w:cs="Arial"/>
          <w:bCs/>
          <w:sz w:val="22"/>
          <w:szCs w:val="22"/>
          <w:lang w:eastAsia="it-IT"/>
        </w:rPr>
      </w:pPr>
      <w:r w:rsidRPr="004B73B7">
        <w:rPr>
          <w:rFonts w:ascii="Arial" w:hAnsi="Arial" w:cs="Arial"/>
          <w:b/>
          <w:bCs/>
          <w:sz w:val="22"/>
          <w:szCs w:val="22"/>
          <w:lang w:eastAsia="it-IT"/>
        </w:rPr>
        <w:t>Trading Away Peace</w:t>
      </w:r>
      <w:r w:rsidRPr="004B73B7">
        <w:rPr>
          <w:rFonts w:ascii="Arial" w:hAnsi="Arial" w:cs="Arial"/>
          <w:bCs/>
          <w:sz w:val="22"/>
          <w:szCs w:val="22"/>
          <w:lang w:eastAsia="it-IT"/>
        </w:rPr>
        <w:t>: How Europe helps sustain illegal Israeli settlements, October 2012</w:t>
      </w:r>
    </w:p>
    <w:p w:rsidR="00FC181F" w:rsidRPr="00BC7710" w:rsidRDefault="00FC181F" w:rsidP="00B54C8F">
      <w:pPr>
        <w:pStyle w:val="Paragrafoelenco"/>
        <w:numPr>
          <w:ilvl w:val="0"/>
          <w:numId w:val="52"/>
        </w:numPr>
        <w:spacing w:before="0"/>
        <w:ind w:left="426" w:hanging="426"/>
        <w:rPr>
          <w:rFonts w:ascii="Arial" w:hAnsi="Arial" w:cs="Arial"/>
          <w:sz w:val="22"/>
          <w:szCs w:val="22"/>
          <w:lang w:eastAsia="ja-JP"/>
        </w:rPr>
      </w:pPr>
      <w:r w:rsidRPr="004B73B7">
        <w:rPr>
          <w:rFonts w:ascii="Arial" w:hAnsi="Arial" w:cs="Arial"/>
          <w:b/>
          <w:sz w:val="22"/>
          <w:szCs w:val="22"/>
          <w:lang w:eastAsia="ja-JP"/>
        </w:rPr>
        <w:t>VISSER, YOCHANAN</w:t>
      </w:r>
      <w:r w:rsidRPr="004B73B7">
        <w:rPr>
          <w:rFonts w:ascii="Arial" w:hAnsi="Arial" w:cs="Arial"/>
          <w:sz w:val="22"/>
          <w:szCs w:val="22"/>
          <w:lang w:eastAsia="ja-JP"/>
        </w:rPr>
        <w:t xml:space="preserve"> Israel How water became a weapon in Arab-Israeli conflict</w:t>
      </w:r>
      <w:r w:rsidRPr="00BC7710">
        <w:rPr>
          <w:rFonts w:ascii="Arial" w:hAnsi="Arial" w:cs="Arial"/>
          <w:sz w:val="22"/>
          <w:szCs w:val="22"/>
          <w:lang w:eastAsia="ja-JP"/>
        </w:rPr>
        <w:t xml:space="preserve"> By - 03/2013</w:t>
      </w:r>
    </w:p>
    <w:p w:rsidR="00FC181F" w:rsidRPr="00BC7710" w:rsidRDefault="00FC181F" w:rsidP="00B54C8F">
      <w:pPr>
        <w:pStyle w:val="Paragrafoelenco"/>
        <w:numPr>
          <w:ilvl w:val="0"/>
          <w:numId w:val="52"/>
        </w:numPr>
        <w:ind w:left="426" w:hanging="426"/>
        <w:rPr>
          <w:rFonts w:ascii="Arial" w:hAnsi="Arial" w:cs="Arial"/>
          <w:bCs/>
          <w:sz w:val="22"/>
          <w:szCs w:val="22"/>
        </w:rPr>
      </w:pPr>
      <w:r w:rsidRPr="00BC7710">
        <w:rPr>
          <w:rFonts w:ascii="Arial" w:hAnsi="Arial" w:cs="Arial"/>
          <w:b/>
          <w:bCs/>
          <w:sz w:val="22"/>
          <w:szCs w:val="22"/>
        </w:rPr>
        <w:t xml:space="preserve">Water for Life, </w:t>
      </w:r>
      <w:r w:rsidRPr="00BC7710">
        <w:rPr>
          <w:rFonts w:ascii="Arial" w:hAnsi="Arial" w:cs="Arial"/>
          <w:bCs/>
          <w:sz w:val="22"/>
          <w:szCs w:val="22"/>
        </w:rPr>
        <w:t>Water, Sanitation and Hygiene Monitoring Program (</w:t>
      </w:r>
      <w:proofErr w:type="spellStart"/>
      <w:r w:rsidRPr="00BC7710">
        <w:rPr>
          <w:rFonts w:ascii="Arial" w:hAnsi="Arial" w:cs="Arial"/>
          <w:bCs/>
          <w:sz w:val="22"/>
          <w:szCs w:val="22"/>
        </w:rPr>
        <w:t>WaSH</w:t>
      </w:r>
      <w:proofErr w:type="spellEnd"/>
      <w:r w:rsidRPr="00BC7710">
        <w:rPr>
          <w:rFonts w:ascii="Arial" w:hAnsi="Arial" w:cs="Arial"/>
          <w:bCs/>
          <w:sz w:val="22"/>
          <w:szCs w:val="22"/>
        </w:rPr>
        <w:t xml:space="preserve"> MP) – The dilemma of development under occupation : the obstacles to achieving the MDG and water rights in the occupied Palestinian territory - WASH Monitoring program - Palestinian Hydrology Group (PHG), 2006</w:t>
      </w:r>
    </w:p>
    <w:p w:rsidR="00FC181F" w:rsidRPr="00BC7710" w:rsidRDefault="00FC181F" w:rsidP="00B54C8F">
      <w:pPr>
        <w:pStyle w:val="Paragrafoelenco"/>
        <w:numPr>
          <w:ilvl w:val="0"/>
          <w:numId w:val="52"/>
        </w:numPr>
        <w:ind w:left="426" w:hanging="426"/>
        <w:rPr>
          <w:rFonts w:ascii="Arial" w:hAnsi="Arial" w:cs="Arial"/>
          <w:bCs/>
          <w:sz w:val="22"/>
          <w:szCs w:val="22"/>
        </w:rPr>
      </w:pPr>
      <w:r w:rsidRPr="00BC7710">
        <w:rPr>
          <w:rFonts w:ascii="Arial" w:hAnsi="Arial" w:cs="Arial"/>
          <w:b/>
          <w:sz w:val="22"/>
          <w:szCs w:val="22"/>
        </w:rPr>
        <w:t>World Bank</w:t>
      </w:r>
      <w:r w:rsidRPr="00BC7710">
        <w:rPr>
          <w:rFonts w:ascii="Arial" w:hAnsi="Arial" w:cs="Arial"/>
          <w:sz w:val="22"/>
          <w:szCs w:val="22"/>
        </w:rPr>
        <w:t>, Developing the Occupied Territories” 1993,vol.1</w:t>
      </w:r>
    </w:p>
    <w:p w:rsidR="00FC181F" w:rsidRPr="00BC7710" w:rsidRDefault="00FC181F" w:rsidP="00B54C8F">
      <w:pPr>
        <w:pStyle w:val="Paragrafoelenco"/>
        <w:numPr>
          <w:ilvl w:val="0"/>
          <w:numId w:val="52"/>
        </w:numPr>
        <w:ind w:left="426" w:hanging="426"/>
        <w:rPr>
          <w:rFonts w:ascii="Arial" w:hAnsi="Arial" w:cs="Arial"/>
          <w:sz w:val="22"/>
          <w:szCs w:val="22"/>
          <w:lang w:eastAsia="it-IT"/>
        </w:rPr>
      </w:pPr>
      <w:r w:rsidRPr="00BC7710">
        <w:rPr>
          <w:rFonts w:ascii="Arial" w:hAnsi="Arial" w:cs="Arial"/>
          <w:b/>
          <w:bCs/>
          <w:sz w:val="22"/>
          <w:szCs w:val="22"/>
        </w:rPr>
        <w:t xml:space="preserve">World Bank, </w:t>
      </w:r>
      <w:r w:rsidRPr="00BC7710">
        <w:rPr>
          <w:rFonts w:ascii="Arial" w:hAnsi="Arial" w:cs="Arial"/>
          <w:sz w:val="22"/>
          <w:szCs w:val="22"/>
          <w:lang w:eastAsia="it-IT"/>
        </w:rPr>
        <w:t xml:space="preserve">Report No. 47657-GZ-West Bank and Gaza – Assessment of restrictions on Palestinian water sector development - Sector Note - April 2009 </w:t>
      </w:r>
    </w:p>
    <w:p w:rsidR="00FC181F" w:rsidRPr="00BC7710" w:rsidRDefault="00FC181F" w:rsidP="00B54C8F">
      <w:pPr>
        <w:pStyle w:val="Paragrafoelenco"/>
        <w:numPr>
          <w:ilvl w:val="0"/>
          <w:numId w:val="52"/>
        </w:numPr>
        <w:ind w:left="426" w:hanging="426"/>
        <w:rPr>
          <w:rFonts w:ascii="Arial" w:hAnsi="Arial" w:cs="Arial"/>
          <w:sz w:val="22"/>
          <w:szCs w:val="22"/>
          <w:lang w:eastAsia="it-IT"/>
        </w:rPr>
      </w:pPr>
      <w:r w:rsidRPr="00BC7710">
        <w:rPr>
          <w:rFonts w:ascii="Arial" w:hAnsi="Arial" w:cs="Arial"/>
          <w:b/>
          <w:bCs/>
          <w:sz w:val="22"/>
          <w:szCs w:val="22"/>
        </w:rPr>
        <w:t xml:space="preserve">World Bank, </w:t>
      </w:r>
      <w:r w:rsidRPr="00BC7710">
        <w:rPr>
          <w:rFonts w:ascii="Arial" w:hAnsi="Arial" w:cs="Arial"/>
          <w:bCs/>
          <w:sz w:val="22"/>
          <w:szCs w:val="22"/>
        </w:rPr>
        <w:t>Development Report 2009</w:t>
      </w:r>
    </w:p>
    <w:p w:rsidR="00FC181F" w:rsidRPr="00BC7710" w:rsidRDefault="00FC181F" w:rsidP="00B54C8F">
      <w:pPr>
        <w:pStyle w:val="Paragrafoelenco"/>
        <w:numPr>
          <w:ilvl w:val="0"/>
          <w:numId w:val="52"/>
        </w:numPr>
        <w:spacing w:before="0" w:after="0"/>
        <w:ind w:left="426" w:hanging="426"/>
        <w:rPr>
          <w:rFonts w:ascii="Arial" w:hAnsi="Arial" w:cs="Arial"/>
          <w:sz w:val="22"/>
          <w:szCs w:val="22"/>
        </w:rPr>
      </w:pPr>
      <w:r w:rsidRPr="00BC7710">
        <w:rPr>
          <w:rFonts w:ascii="Arial" w:hAnsi="Arial" w:cs="Arial"/>
          <w:b/>
          <w:sz w:val="22"/>
          <w:szCs w:val="22"/>
        </w:rPr>
        <w:lastRenderedPageBreak/>
        <w:t>World Bank</w:t>
      </w:r>
      <w:r w:rsidRPr="00BC7710">
        <w:rPr>
          <w:rFonts w:ascii="Arial" w:hAnsi="Arial" w:cs="Arial"/>
          <w:sz w:val="22"/>
          <w:szCs w:val="22"/>
        </w:rPr>
        <w:t>, Reforming Prudently Under Pressure:  Health Financing Reform and the Rationalization of Public Sector Health Expenditures. August 2009.</w:t>
      </w:r>
    </w:p>
    <w:p w:rsidR="00FC181F" w:rsidRPr="00BC7710" w:rsidRDefault="00FC181F" w:rsidP="00B54C8F">
      <w:pPr>
        <w:pStyle w:val="Paragrafoelenco"/>
        <w:numPr>
          <w:ilvl w:val="0"/>
          <w:numId w:val="52"/>
        </w:numPr>
        <w:ind w:left="426" w:hanging="426"/>
        <w:rPr>
          <w:rFonts w:ascii="Arial" w:hAnsi="Arial" w:cs="Arial"/>
          <w:bCs/>
          <w:sz w:val="22"/>
          <w:szCs w:val="22"/>
        </w:rPr>
      </w:pPr>
      <w:r w:rsidRPr="00BC7710">
        <w:rPr>
          <w:rFonts w:ascii="Arial" w:hAnsi="Arial" w:cs="Arial"/>
          <w:b/>
          <w:bCs/>
          <w:sz w:val="22"/>
          <w:szCs w:val="22"/>
        </w:rPr>
        <w:t xml:space="preserve">World Bank, </w:t>
      </w:r>
      <w:r w:rsidRPr="00BC7710">
        <w:rPr>
          <w:rFonts w:ascii="Arial" w:hAnsi="Arial" w:cs="Arial"/>
          <w:bCs/>
          <w:sz w:val="22"/>
          <w:szCs w:val="22"/>
        </w:rPr>
        <w:t>West Bank and Gaza coping with conflict? Poverty and inclusion in the West Bank and Gaza, 29 July 2011</w:t>
      </w:r>
    </w:p>
    <w:p w:rsidR="00FC181F" w:rsidRPr="00BC7710" w:rsidRDefault="00FC181F" w:rsidP="00B54C8F">
      <w:pPr>
        <w:pStyle w:val="Paragrafoelenco"/>
        <w:numPr>
          <w:ilvl w:val="0"/>
          <w:numId w:val="52"/>
        </w:numPr>
        <w:spacing w:before="0" w:after="0"/>
        <w:ind w:left="426" w:hanging="426"/>
        <w:rPr>
          <w:rFonts w:ascii="Arial" w:hAnsi="Arial" w:cs="Arial"/>
          <w:sz w:val="22"/>
          <w:szCs w:val="22"/>
        </w:rPr>
      </w:pPr>
      <w:r w:rsidRPr="00BC7710">
        <w:rPr>
          <w:rFonts w:ascii="Arial" w:hAnsi="Arial" w:cs="Arial"/>
          <w:b/>
          <w:sz w:val="22"/>
          <w:szCs w:val="22"/>
        </w:rPr>
        <w:t>World Bank,</w:t>
      </w:r>
      <w:r w:rsidRPr="00BC7710">
        <w:rPr>
          <w:rFonts w:ascii="Arial" w:hAnsi="Arial" w:cs="Arial"/>
          <w:sz w:val="22"/>
          <w:szCs w:val="22"/>
        </w:rPr>
        <w:t xml:space="preserve"> Coping with Conflict: Inclusion in the West Bank and Gaza, October 2011</w:t>
      </w:r>
    </w:p>
    <w:p w:rsidR="00FC181F" w:rsidRPr="00BC7710" w:rsidRDefault="00FC181F" w:rsidP="00B54C8F">
      <w:pPr>
        <w:pStyle w:val="Paragrafoelenco"/>
        <w:numPr>
          <w:ilvl w:val="0"/>
          <w:numId w:val="52"/>
        </w:numPr>
        <w:ind w:left="426" w:hanging="426"/>
        <w:rPr>
          <w:rFonts w:ascii="Arial" w:hAnsi="Arial" w:cs="Arial"/>
          <w:bCs/>
          <w:sz w:val="22"/>
          <w:szCs w:val="22"/>
        </w:rPr>
      </w:pPr>
      <w:r w:rsidRPr="00BC7710">
        <w:rPr>
          <w:rFonts w:ascii="Arial" w:hAnsi="Arial" w:cs="Arial"/>
          <w:b/>
          <w:bCs/>
          <w:sz w:val="22"/>
          <w:szCs w:val="22"/>
        </w:rPr>
        <w:t xml:space="preserve">World Bank, </w:t>
      </w:r>
      <w:r w:rsidRPr="00BC7710">
        <w:rPr>
          <w:rFonts w:ascii="Arial" w:hAnsi="Arial" w:cs="Arial"/>
          <w:sz w:val="22"/>
          <w:szCs w:val="22"/>
          <w:lang w:eastAsia="it-IT"/>
        </w:rPr>
        <w:t>World Bank: Concerted action needed by all parties for the PA to meet state-building goals, Press release, 2010</w:t>
      </w:r>
    </w:p>
    <w:p w:rsidR="00FC181F" w:rsidRPr="00BC7710" w:rsidRDefault="00FC181F" w:rsidP="00B54C8F">
      <w:pPr>
        <w:pStyle w:val="Paragrafoelenco"/>
        <w:numPr>
          <w:ilvl w:val="0"/>
          <w:numId w:val="52"/>
        </w:numPr>
        <w:ind w:left="426" w:hanging="426"/>
        <w:rPr>
          <w:rFonts w:ascii="Arial" w:hAnsi="Arial" w:cs="Arial"/>
          <w:bCs/>
          <w:sz w:val="22"/>
          <w:szCs w:val="22"/>
        </w:rPr>
      </w:pPr>
      <w:r w:rsidRPr="00BC7710">
        <w:rPr>
          <w:rFonts w:ascii="Arial" w:hAnsi="Arial" w:cs="Arial"/>
          <w:b/>
          <w:bCs/>
          <w:sz w:val="22"/>
          <w:szCs w:val="22"/>
        </w:rPr>
        <w:t xml:space="preserve">World Bank, </w:t>
      </w:r>
      <w:r w:rsidRPr="00BC7710">
        <w:rPr>
          <w:rFonts w:ascii="Arial" w:hAnsi="Arial" w:cs="Arial"/>
          <w:sz w:val="22"/>
          <w:szCs w:val="22"/>
          <w:lang w:eastAsia="it-IT"/>
        </w:rPr>
        <w:t>Palestinian Institutions Performing; Sustainable Growth Still Absent, 7 April 2011</w:t>
      </w:r>
    </w:p>
    <w:p w:rsidR="00FC181F" w:rsidRPr="004B73B7" w:rsidRDefault="00FC181F" w:rsidP="00B54C8F">
      <w:pPr>
        <w:pStyle w:val="Paragrafoelenco"/>
        <w:numPr>
          <w:ilvl w:val="0"/>
          <w:numId w:val="52"/>
        </w:numPr>
        <w:ind w:left="426" w:hanging="426"/>
        <w:rPr>
          <w:rFonts w:ascii="Arial" w:hAnsi="Arial" w:cs="Arial"/>
          <w:bCs/>
          <w:sz w:val="22"/>
          <w:szCs w:val="22"/>
        </w:rPr>
      </w:pPr>
      <w:r w:rsidRPr="00BC7710">
        <w:rPr>
          <w:rFonts w:ascii="Arial" w:hAnsi="Arial" w:cs="Arial"/>
          <w:b/>
          <w:bCs/>
          <w:sz w:val="22"/>
          <w:szCs w:val="22"/>
        </w:rPr>
        <w:t xml:space="preserve">World Bank, </w:t>
      </w:r>
      <w:r w:rsidRPr="00BC7710">
        <w:rPr>
          <w:rFonts w:ascii="Arial" w:hAnsi="Arial" w:cs="Arial"/>
          <w:sz w:val="22"/>
          <w:szCs w:val="22"/>
          <w:lang w:eastAsia="it-IT"/>
        </w:rPr>
        <w:t>International donors call for Palestinian Authority observer status in the WTO, Press release, 13 April 2011</w:t>
      </w:r>
    </w:p>
    <w:p w:rsidR="004B73B7" w:rsidRPr="004B73B7" w:rsidRDefault="004B73B7" w:rsidP="00B54C8F">
      <w:pPr>
        <w:pStyle w:val="Paragrafoelenco"/>
        <w:numPr>
          <w:ilvl w:val="0"/>
          <w:numId w:val="52"/>
        </w:numPr>
        <w:autoSpaceDE w:val="0"/>
        <w:autoSpaceDN w:val="0"/>
        <w:adjustRightInd w:val="0"/>
        <w:ind w:left="426" w:hanging="426"/>
        <w:jc w:val="left"/>
        <w:rPr>
          <w:rFonts w:ascii="Arial" w:hAnsi="Arial" w:cs="Arial"/>
          <w:bCs/>
          <w:sz w:val="20"/>
          <w:lang w:eastAsia="it-IT"/>
        </w:rPr>
      </w:pPr>
      <w:r w:rsidRPr="00BC7710">
        <w:rPr>
          <w:rFonts w:ascii="Arial" w:hAnsi="Arial" w:cs="Arial"/>
          <w:b/>
          <w:bCs/>
          <w:sz w:val="22"/>
          <w:szCs w:val="22"/>
        </w:rPr>
        <w:t>World Bank</w:t>
      </w:r>
      <w:r w:rsidRPr="004B73B7">
        <w:rPr>
          <w:rFonts w:ascii="Arial" w:hAnsi="Arial" w:cs="Arial"/>
          <w:bCs/>
          <w:sz w:val="20"/>
          <w:lang w:eastAsia="it-IT"/>
        </w:rPr>
        <w:t>, Checkpoints and Barriers: Searching for Livelihoods in the West Bank and Gaza Gender Dimensions of Economic Collapse February 2010</w:t>
      </w:r>
    </w:p>
    <w:p w:rsidR="00FC181F" w:rsidRPr="00BC7710" w:rsidRDefault="00FC181F" w:rsidP="00B54C8F">
      <w:pPr>
        <w:pStyle w:val="Paragrafoelenco"/>
        <w:numPr>
          <w:ilvl w:val="0"/>
          <w:numId w:val="52"/>
        </w:numPr>
        <w:ind w:left="426" w:hanging="426"/>
        <w:rPr>
          <w:rFonts w:ascii="Arial" w:hAnsi="Arial" w:cs="Arial"/>
          <w:bCs/>
          <w:sz w:val="22"/>
          <w:szCs w:val="22"/>
        </w:rPr>
      </w:pPr>
      <w:r w:rsidRPr="00BC7710">
        <w:rPr>
          <w:rFonts w:ascii="Arial" w:hAnsi="Arial" w:cs="Arial"/>
          <w:b/>
          <w:bCs/>
          <w:sz w:val="22"/>
          <w:szCs w:val="22"/>
        </w:rPr>
        <w:t>World Bank</w:t>
      </w:r>
      <w:r w:rsidRPr="00BC7710">
        <w:rPr>
          <w:rFonts w:ascii="Arial" w:hAnsi="Arial" w:cs="Arial"/>
          <w:bCs/>
          <w:sz w:val="22"/>
          <w:szCs w:val="22"/>
        </w:rPr>
        <w:t>, Interim Strategy Note for the West bank and Gaza, 2012-2014, 13 March 2012</w:t>
      </w:r>
    </w:p>
    <w:p w:rsidR="00837DF9" w:rsidRPr="00BC7710" w:rsidRDefault="00FC181F" w:rsidP="00B54C8F">
      <w:pPr>
        <w:pStyle w:val="Paragrafoelenco"/>
        <w:numPr>
          <w:ilvl w:val="0"/>
          <w:numId w:val="59"/>
        </w:numPr>
        <w:autoSpaceDE w:val="0"/>
        <w:autoSpaceDN w:val="0"/>
        <w:adjustRightInd w:val="0"/>
        <w:spacing w:before="0" w:after="0"/>
        <w:ind w:left="426" w:hanging="426"/>
        <w:jc w:val="left"/>
        <w:rPr>
          <w:rFonts w:ascii="Arial" w:hAnsi="Arial" w:cs="Arial"/>
          <w:sz w:val="22"/>
          <w:szCs w:val="22"/>
        </w:rPr>
      </w:pPr>
      <w:r w:rsidRPr="00BC7710">
        <w:rPr>
          <w:rFonts w:ascii="Arial" w:hAnsi="Arial" w:cs="Arial"/>
          <w:b/>
          <w:color w:val="000000"/>
          <w:sz w:val="22"/>
          <w:szCs w:val="22"/>
          <w:lang w:eastAsia="it-IT"/>
        </w:rPr>
        <w:t>University of Warwick</w:t>
      </w:r>
      <w:r w:rsidRPr="00BC7710">
        <w:rPr>
          <w:rFonts w:ascii="Arial" w:hAnsi="Arial" w:cs="Arial"/>
          <w:color w:val="000000"/>
          <w:sz w:val="22"/>
          <w:szCs w:val="22"/>
          <w:lang w:eastAsia="it-IT"/>
        </w:rPr>
        <w:t>, Stillborn State, The European Union’s Role in the Palestinian Territory after the Oslo Accords: building-</w:t>
      </w:r>
      <w:proofErr w:type="spellStart"/>
      <w:r w:rsidRPr="00BC7710">
        <w:rPr>
          <w:rFonts w:ascii="Arial" w:hAnsi="Arial" w:cs="Arial"/>
          <w:color w:val="000000"/>
          <w:sz w:val="22"/>
          <w:szCs w:val="22"/>
          <w:lang w:eastAsia="it-IT"/>
        </w:rPr>
        <w:t>Dimitris</w:t>
      </w:r>
      <w:proofErr w:type="spellEnd"/>
      <w:r w:rsidRPr="00BC7710">
        <w:rPr>
          <w:rFonts w:ascii="Arial" w:hAnsi="Arial" w:cs="Arial"/>
          <w:color w:val="000000"/>
          <w:sz w:val="22"/>
          <w:szCs w:val="22"/>
          <w:lang w:eastAsia="it-IT"/>
        </w:rPr>
        <w:t xml:space="preserve"> </w:t>
      </w:r>
      <w:proofErr w:type="spellStart"/>
      <w:r w:rsidRPr="00BC7710">
        <w:rPr>
          <w:rFonts w:ascii="Arial" w:hAnsi="Arial" w:cs="Arial"/>
          <w:color w:val="000000"/>
          <w:sz w:val="22"/>
          <w:szCs w:val="22"/>
          <w:lang w:eastAsia="it-IT"/>
        </w:rPr>
        <w:t>Bouris</w:t>
      </w:r>
      <w:proofErr w:type="spellEnd"/>
    </w:p>
    <w:p w:rsidR="00837DF9" w:rsidRPr="00BC7710" w:rsidRDefault="00837DF9" w:rsidP="00B54C8F">
      <w:pPr>
        <w:pStyle w:val="Paragrafoelenco"/>
        <w:numPr>
          <w:ilvl w:val="0"/>
          <w:numId w:val="59"/>
        </w:numPr>
        <w:autoSpaceDE w:val="0"/>
        <w:autoSpaceDN w:val="0"/>
        <w:adjustRightInd w:val="0"/>
        <w:spacing w:before="0" w:after="0"/>
        <w:ind w:left="426" w:hanging="426"/>
        <w:jc w:val="left"/>
        <w:rPr>
          <w:rFonts w:ascii="Arial" w:hAnsi="Arial" w:cs="Arial"/>
          <w:sz w:val="22"/>
          <w:szCs w:val="22"/>
        </w:rPr>
      </w:pPr>
      <w:r w:rsidRPr="00BC7710">
        <w:rPr>
          <w:rFonts w:ascii="Arial" w:hAnsi="Arial" w:cs="Arial"/>
          <w:sz w:val="22"/>
          <w:szCs w:val="22"/>
        </w:rPr>
        <w:t>1</w:t>
      </w:r>
      <w:r w:rsidRPr="00BC7710">
        <w:rPr>
          <w:rFonts w:ascii="Arial" w:hAnsi="Arial" w:cs="Arial"/>
          <w:sz w:val="22"/>
          <w:szCs w:val="22"/>
          <w:vertAlign w:val="superscript"/>
        </w:rPr>
        <w:t>st</w:t>
      </w:r>
      <w:r w:rsidRPr="00BC7710">
        <w:rPr>
          <w:rFonts w:ascii="Arial" w:hAnsi="Arial" w:cs="Arial"/>
          <w:sz w:val="22"/>
          <w:szCs w:val="22"/>
        </w:rPr>
        <w:t xml:space="preserve"> Governance Report to the GSG Co-Chairs March - April 2011</w:t>
      </w:r>
    </w:p>
    <w:p w:rsidR="00837DF9" w:rsidRPr="00BC7710" w:rsidRDefault="00837DF9" w:rsidP="00B54C8F">
      <w:pPr>
        <w:pStyle w:val="Paragrafoelenco"/>
        <w:numPr>
          <w:ilvl w:val="0"/>
          <w:numId w:val="59"/>
        </w:numPr>
        <w:spacing w:before="0" w:after="0"/>
        <w:ind w:left="426" w:hanging="426"/>
        <w:rPr>
          <w:rFonts w:ascii="Arial" w:hAnsi="Arial" w:cs="Arial"/>
          <w:sz w:val="22"/>
          <w:szCs w:val="22"/>
        </w:rPr>
      </w:pPr>
      <w:r w:rsidRPr="00BC7710">
        <w:rPr>
          <w:rFonts w:ascii="Arial" w:hAnsi="Arial" w:cs="Arial"/>
          <w:sz w:val="22"/>
          <w:szCs w:val="22"/>
        </w:rPr>
        <w:t>7</w:t>
      </w:r>
      <w:r w:rsidRPr="00BC7710">
        <w:rPr>
          <w:rFonts w:ascii="Arial" w:hAnsi="Arial" w:cs="Arial"/>
          <w:sz w:val="22"/>
          <w:szCs w:val="22"/>
          <w:vertAlign w:val="superscript"/>
        </w:rPr>
        <w:t>th</w:t>
      </w:r>
      <w:r w:rsidRPr="00BC7710">
        <w:rPr>
          <w:rFonts w:ascii="Arial" w:hAnsi="Arial" w:cs="Arial"/>
          <w:sz w:val="22"/>
          <w:szCs w:val="22"/>
        </w:rPr>
        <w:t xml:space="preserve"> Governance Report to the GSG Co-Chairs March - April 2012</w:t>
      </w:r>
    </w:p>
    <w:p w:rsidR="00837DF9" w:rsidRPr="00BC7710" w:rsidRDefault="00837DF9" w:rsidP="00B54C8F">
      <w:pPr>
        <w:pStyle w:val="Paragrafoelenco"/>
        <w:numPr>
          <w:ilvl w:val="0"/>
          <w:numId w:val="59"/>
        </w:numPr>
        <w:spacing w:before="0" w:after="0"/>
        <w:ind w:left="426" w:hanging="426"/>
        <w:rPr>
          <w:rFonts w:ascii="Arial" w:hAnsi="Arial" w:cs="Arial"/>
          <w:sz w:val="22"/>
          <w:szCs w:val="22"/>
        </w:rPr>
      </w:pPr>
      <w:r w:rsidRPr="00BC7710">
        <w:rPr>
          <w:rFonts w:ascii="Arial" w:hAnsi="Arial" w:cs="Arial"/>
          <w:sz w:val="22"/>
          <w:szCs w:val="22"/>
        </w:rPr>
        <w:t>8</w:t>
      </w:r>
      <w:r w:rsidRPr="00BC7710">
        <w:rPr>
          <w:rFonts w:ascii="Arial" w:hAnsi="Arial" w:cs="Arial"/>
          <w:sz w:val="22"/>
          <w:szCs w:val="22"/>
          <w:vertAlign w:val="superscript"/>
        </w:rPr>
        <w:t>th</w:t>
      </w:r>
      <w:r w:rsidRPr="00BC7710">
        <w:rPr>
          <w:rFonts w:ascii="Arial" w:hAnsi="Arial" w:cs="Arial"/>
          <w:sz w:val="22"/>
          <w:szCs w:val="22"/>
        </w:rPr>
        <w:t xml:space="preserve"> Governance Report to the GSG Co-Chairs May – June 2012</w:t>
      </w:r>
    </w:p>
    <w:p w:rsidR="00837DF9" w:rsidRPr="00BC7710" w:rsidRDefault="00837DF9" w:rsidP="00B54C8F">
      <w:pPr>
        <w:pStyle w:val="Paragrafoelenco"/>
        <w:numPr>
          <w:ilvl w:val="0"/>
          <w:numId w:val="59"/>
        </w:numPr>
        <w:spacing w:before="0" w:after="0"/>
        <w:ind w:left="426" w:hanging="426"/>
        <w:rPr>
          <w:rFonts w:ascii="Arial" w:hAnsi="Arial" w:cs="Arial"/>
          <w:sz w:val="22"/>
          <w:szCs w:val="22"/>
        </w:rPr>
      </w:pPr>
      <w:r w:rsidRPr="00BC7710">
        <w:rPr>
          <w:rFonts w:ascii="Arial" w:hAnsi="Arial" w:cs="Arial"/>
          <w:sz w:val="22"/>
          <w:szCs w:val="22"/>
        </w:rPr>
        <w:t>9</w:t>
      </w:r>
      <w:r w:rsidRPr="00BC7710">
        <w:rPr>
          <w:rFonts w:ascii="Arial" w:hAnsi="Arial" w:cs="Arial"/>
          <w:sz w:val="22"/>
          <w:szCs w:val="22"/>
          <w:vertAlign w:val="superscript"/>
        </w:rPr>
        <w:t>th</w:t>
      </w:r>
      <w:r w:rsidRPr="00BC7710">
        <w:rPr>
          <w:rFonts w:ascii="Arial" w:hAnsi="Arial" w:cs="Arial"/>
          <w:sz w:val="22"/>
          <w:szCs w:val="22"/>
        </w:rPr>
        <w:t xml:space="preserve"> Governance Report to the GSG Co-Chairs July - September 2012</w:t>
      </w:r>
    </w:p>
    <w:p w:rsidR="00837DF9" w:rsidRPr="00BC7710" w:rsidRDefault="00837DF9" w:rsidP="00B54C8F">
      <w:pPr>
        <w:pStyle w:val="Paragrafoelenco"/>
        <w:numPr>
          <w:ilvl w:val="0"/>
          <w:numId w:val="59"/>
        </w:numPr>
        <w:spacing w:before="0" w:after="0"/>
        <w:ind w:left="426" w:hanging="426"/>
        <w:rPr>
          <w:rFonts w:ascii="Arial" w:hAnsi="Arial" w:cs="Arial"/>
          <w:sz w:val="22"/>
          <w:szCs w:val="22"/>
        </w:rPr>
      </w:pPr>
      <w:r w:rsidRPr="00BC7710">
        <w:rPr>
          <w:rFonts w:ascii="Arial" w:hAnsi="Arial" w:cs="Arial"/>
          <w:sz w:val="22"/>
          <w:szCs w:val="22"/>
        </w:rPr>
        <w:t>10</w:t>
      </w:r>
      <w:r w:rsidRPr="00BC7710">
        <w:rPr>
          <w:rFonts w:ascii="Arial" w:hAnsi="Arial" w:cs="Arial"/>
          <w:sz w:val="22"/>
          <w:szCs w:val="22"/>
          <w:vertAlign w:val="superscript"/>
        </w:rPr>
        <w:t>th</w:t>
      </w:r>
      <w:r w:rsidRPr="00BC7710">
        <w:rPr>
          <w:rFonts w:ascii="Arial" w:hAnsi="Arial" w:cs="Arial"/>
          <w:sz w:val="22"/>
          <w:szCs w:val="22"/>
        </w:rPr>
        <w:t xml:space="preserve"> Governance Report to the GSG Co-Chairs October - November 2012</w:t>
      </w:r>
    </w:p>
    <w:p w:rsidR="004B73B7" w:rsidRPr="004B73B7" w:rsidRDefault="004B73B7" w:rsidP="00B54C8F">
      <w:pPr>
        <w:pStyle w:val="Nessunaspaziatura"/>
        <w:numPr>
          <w:ilvl w:val="0"/>
          <w:numId w:val="100"/>
        </w:numPr>
        <w:spacing w:before="0"/>
        <w:ind w:left="426" w:hanging="426"/>
        <w:jc w:val="left"/>
        <w:rPr>
          <w:rFonts w:ascii="Arial" w:hAnsi="Arial" w:cs="Arial"/>
          <w:bCs/>
          <w:sz w:val="20"/>
          <w:lang w:eastAsia="it-IT"/>
        </w:rPr>
      </w:pPr>
      <w:r w:rsidRPr="004B73B7">
        <w:rPr>
          <w:rFonts w:ascii="Arial" w:hAnsi="Arial" w:cs="Arial"/>
          <w:bCs/>
          <w:sz w:val="20"/>
          <w:lang w:eastAsia="it-IT"/>
        </w:rPr>
        <w:t xml:space="preserve">Corruption Report 2011 Absence of Accountability </w:t>
      </w:r>
    </w:p>
    <w:p w:rsidR="004B73B7" w:rsidRPr="00BC7710" w:rsidRDefault="004B73B7" w:rsidP="00BC7710">
      <w:pPr>
        <w:spacing w:before="0" w:after="0"/>
        <w:jc w:val="left"/>
        <w:rPr>
          <w:rFonts w:ascii="Arial" w:hAnsi="Arial" w:cs="Arial"/>
          <w:b/>
          <w:caps/>
          <w:color w:val="1F497D" w:themeColor="text2"/>
          <w:sz w:val="22"/>
          <w:szCs w:val="22"/>
          <w:lang w:eastAsia="it-IT"/>
        </w:rPr>
      </w:pPr>
    </w:p>
    <w:p w:rsidR="00A574EB" w:rsidRPr="00BC7710" w:rsidRDefault="00A574EB" w:rsidP="00BC7710">
      <w:pPr>
        <w:spacing w:before="0" w:after="0"/>
        <w:jc w:val="left"/>
        <w:rPr>
          <w:rFonts w:ascii="Arial" w:hAnsi="Arial" w:cs="Arial"/>
          <w:b/>
          <w:bCs/>
          <w:caps/>
          <w:color w:val="365F92"/>
          <w:sz w:val="24"/>
          <w:szCs w:val="24"/>
        </w:rPr>
      </w:pPr>
      <w:r w:rsidRPr="00BC7710">
        <w:rPr>
          <w:rFonts w:ascii="Arial" w:hAnsi="Arial" w:cs="Arial"/>
          <w:b/>
          <w:bCs/>
          <w:caps/>
          <w:color w:val="365F92"/>
          <w:sz w:val="24"/>
          <w:szCs w:val="24"/>
        </w:rPr>
        <w:t xml:space="preserve">Evaluations </w:t>
      </w:r>
    </w:p>
    <w:p w:rsidR="00FC181F" w:rsidRPr="00BC7710" w:rsidRDefault="00FC181F" w:rsidP="00B54C8F">
      <w:pPr>
        <w:pStyle w:val="Paragrafoelenco"/>
        <w:numPr>
          <w:ilvl w:val="0"/>
          <w:numId w:val="53"/>
        </w:numPr>
        <w:spacing w:before="0" w:after="0"/>
        <w:ind w:left="426" w:hanging="426"/>
        <w:jc w:val="left"/>
        <w:rPr>
          <w:rFonts w:ascii="Arial" w:hAnsi="Arial" w:cs="Arial"/>
          <w:sz w:val="22"/>
          <w:szCs w:val="22"/>
          <w:lang w:eastAsia="it-IT"/>
        </w:rPr>
      </w:pPr>
      <w:r w:rsidRPr="00BC7710">
        <w:rPr>
          <w:rFonts w:ascii="Arial" w:hAnsi="Arial" w:cs="Arial"/>
          <w:b/>
          <w:sz w:val="22"/>
          <w:szCs w:val="22"/>
          <w:lang w:eastAsia="it-IT"/>
        </w:rPr>
        <w:t>European Comm</w:t>
      </w:r>
      <w:r w:rsidR="00A4567A" w:rsidRPr="00BC7710">
        <w:rPr>
          <w:rFonts w:ascii="Arial" w:hAnsi="Arial" w:cs="Arial"/>
          <w:b/>
          <w:sz w:val="22"/>
          <w:szCs w:val="22"/>
          <w:lang w:eastAsia="it-IT"/>
        </w:rPr>
        <w:t>i</w:t>
      </w:r>
      <w:r w:rsidRPr="00BC7710">
        <w:rPr>
          <w:rFonts w:ascii="Arial" w:hAnsi="Arial" w:cs="Arial"/>
          <w:b/>
          <w:sz w:val="22"/>
          <w:szCs w:val="22"/>
          <w:lang w:eastAsia="it-IT"/>
        </w:rPr>
        <w:t>ssion - HTSPE,</w:t>
      </w:r>
      <w:r w:rsidRPr="00BC7710">
        <w:rPr>
          <w:rFonts w:ascii="Arial" w:hAnsi="Arial" w:cs="Arial"/>
          <w:sz w:val="22"/>
          <w:szCs w:val="22"/>
          <w:lang w:eastAsia="it-IT"/>
        </w:rPr>
        <w:t xml:space="preserve"> Interim Evaluation of the PEGASE - Autumn 2009</w:t>
      </w:r>
    </w:p>
    <w:p w:rsidR="00FC181F" w:rsidRPr="00BC7710" w:rsidRDefault="00FC181F" w:rsidP="00B54C8F">
      <w:pPr>
        <w:pStyle w:val="Paragrafoelenco"/>
        <w:numPr>
          <w:ilvl w:val="0"/>
          <w:numId w:val="53"/>
        </w:numPr>
        <w:spacing w:before="0" w:after="0"/>
        <w:ind w:left="426" w:hanging="426"/>
        <w:jc w:val="left"/>
        <w:rPr>
          <w:rFonts w:ascii="Arial" w:hAnsi="Arial" w:cs="Arial"/>
          <w:sz w:val="22"/>
          <w:szCs w:val="22"/>
          <w:lang w:eastAsia="it-IT"/>
        </w:rPr>
      </w:pPr>
      <w:r w:rsidRPr="00BC7710">
        <w:rPr>
          <w:rFonts w:ascii="Arial" w:hAnsi="Arial" w:cs="Arial"/>
          <w:b/>
          <w:sz w:val="22"/>
          <w:szCs w:val="22"/>
          <w:lang w:eastAsia="it-IT"/>
        </w:rPr>
        <w:t>European Comm</w:t>
      </w:r>
      <w:r w:rsidR="00A4567A" w:rsidRPr="00BC7710">
        <w:rPr>
          <w:rFonts w:ascii="Arial" w:hAnsi="Arial" w:cs="Arial"/>
          <w:b/>
          <w:sz w:val="22"/>
          <w:szCs w:val="22"/>
          <w:lang w:eastAsia="it-IT"/>
        </w:rPr>
        <w:t>i</w:t>
      </w:r>
      <w:r w:rsidRPr="00BC7710">
        <w:rPr>
          <w:rFonts w:ascii="Arial" w:hAnsi="Arial" w:cs="Arial"/>
          <w:b/>
          <w:sz w:val="22"/>
          <w:szCs w:val="22"/>
          <w:lang w:eastAsia="it-IT"/>
        </w:rPr>
        <w:t>ssion - Business and Strategies Europe</w:t>
      </w:r>
      <w:r w:rsidRPr="00BC7710">
        <w:rPr>
          <w:rFonts w:ascii="Arial" w:hAnsi="Arial" w:cs="Arial"/>
          <w:sz w:val="22"/>
          <w:szCs w:val="22"/>
          <w:lang w:eastAsia="it-IT"/>
        </w:rPr>
        <w:t>, External Evaluation of PEGASE 2008-2011 For West Bank and Gaza, 2012</w:t>
      </w:r>
    </w:p>
    <w:p w:rsidR="00FC181F" w:rsidRPr="00BC7710" w:rsidRDefault="00FC181F" w:rsidP="00B54C8F">
      <w:pPr>
        <w:pStyle w:val="Paragrafoelenco"/>
        <w:numPr>
          <w:ilvl w:val="0"/>
          <w:numId w:val="53"/>
        </w:numPr>
        <w:ind w:left="426" w:hanging="426"/>
        <w:jc w:val="left"/>
        <w:rPr>
          <w:rFonts w:ascii="Arial" w:hAnsi="Arial" w:cs="Arial"/>
          <w:sz w:val="22"/>
          <w:szCs w:val="22"/>
          <w:lang w:eastAsia="it-IT"/>
        </w:rPr>
      </w:pPr>
      <w:r w:rsidRPr="00BC7710">
        <w:rPr>
          <w:rFonts w:ascii="Arial" w:hAnsi="Arial" w:cs="Arial"/>
          <w:b/>
          <w:sz w:val="22"/>
          <w:szCs w:val="22"/>
          <w:lang w:eastAsia="it-IT"/>
        </w:rPr>
        <w:t>European Comm</w:t>
      </w:r>
      <w:r w:rsidR="00A4567A" w:rsidRPr="00BC7710">
        <w:rPr>
          <w:rFonts w:ascii="Arial" w:hAnsi="Arial" w:cs="Arial"/>
          <w:b/>
          <w:sz w:val="22"/>
          <w:szCs w:val="22"/>
          <w:lang w:eastAsia="it-IT"/>
        </w:rPr>
        <w:t>i</w:t>
      </w:r>
      <w:r w:rsidRPr="00BC7710">
        <w:rPr>
          <w:rFonts w:ascii="Arial" w:hAnsi="Arial" w:cs="Arial"/>
          <w:b/>
          <w:sz w:val="22"/>
          <w:szCs w:val="22"/>
          <w:lang w:eastAsia="it-IT"/>
        </w:rPr>
        <w:t xml:space="preserve">ssion - </w:t>
      </w:r>
      <w:proofErr w:type="spellStart"/>
      <w:r w:rsidRPr="00BC7710">
        <w:rPr>
          <w:rFonts w:ascii="Arial" w:hAnsi="Arial" w:cs="Arial"/>
          <w:b/>
          <w:sz w:val="22"/>
          <w:szCs w:val="22"/>
          <w:lang w:eastAsia="it-IT"/>
        </w:rPr>
        <w:t>Soges</w:t>
      </w:r>
      <w:proofErr w:type="spellEnd"/>
      <w:r w:rsidRPr="00BC7710">
        <w:rPr>
          <w:rFonts w:ascii="Arial" w:hAnsi="Arial" w:cs="Arial"/>
          <w:sz w:val="22"/>
          <w:szCs w:val="22"/>
          <w:lang w:eastAsia="it-IT"/>
        </w:rPr>
        <w:t>, Evaluation of the EU Partnership for Peace Program, April 2010</w:t>
      </w:r>
    </w:p>
    <w:p w:rsidR="00FC181F" w:rsidRPr="00BC7710" w:rsidRDefault="00FC181F" w:rsidP="00B54C8F">
      <w:pPr>
        <w:pStyle w:val="Paragrafoelenco"/>
        <w:numPr>
          <w:ilvl w:val="0"/>
          <w:numId w:val="53"/>
        </w:numPr>
        <w:ind w:left="426" w:hanging="426"/>
        <w:jc w:val="left"/>
        <w:rPr>
          <w:rFonts w:ascii="Arial" w:hAnsi="Arial" w:cs="Arial"/>
          <w:sz w:val="22"/>
          <w:szCs w:val="22"/>
          <w:lang w:eastAsia="it-IT"/>
        </w:rPr>
      </w:pPr>
      <w:r w:rsidRPr="00BC7710">
        <w:rPr>
          <w:rFonts w:ascii="Arial" w:hAnsi="Arial" w:cs="Arial"/>
          <w:b/>
          <w:sz w:val="22"/>
          <w:szCs w:val="22"/>
          <w:lang w:eastAsia="it-IT"/>
        </w:rPr>
        <w:t>European Comm</w:t>
      </w:r>
      <w:r w:rsidR="00A4567A" w:rsidRPr="00BC7710">
        <w:rPr>
          <w:rFonts w:ascii="Arial" w:hAnsi="Arial" w:cs="Arial"/>
          <w:b/>
          <w:sz w:val="22"/>
          <w:szCs w:val="22"/>
          <w:lang w:eastAsia="it-IT"/>
        </w:rPr>
        <w:t>i</w:t>
      </w:r>
      <w:r w:rsidRPr="00BC7710">
        <w:rPr>
          <w:rFonts w:ascii="Arial" w:hAnsi="Arial" w:cs="Arial"/>
          <w:b/>
          <w:sz w:val="22"/>
          <w:szCs w:val="22"/>
          <w:lang w:eastAsia="it-IT"/>
        </w:rPr>
        <w:t>ssion - Associates in Building Capacity (ABC) Consulting</w:t>
      </w:r>
      <w:r w:rsidRPr="00BC7710">
        <w:rPr>
          <w:rFonts w:ascii="Arial" w:hAnsi="Arial" w:cs="Arial"/>
          <w:sz w:val="22"/>
          <w:szCs w:val="22"/>
          <w:lang w:eastAsia="it-IT"/>
        </w:rPr>
        <w:t xml:space="preserve">, Evaluation of the EU Program to support the delivery of community services in East Jerusalem, 2012 </w:t>
      </w:r>
    </w:p>
    <w:p w:rsidR="00FC181F" w:rsidRPr="00BC7710" w:rsidRDefault="00FC181F" w:rsidP="00B54C8F">
      <w:pPr>
        <w:pStyle w:val="Paragrafoelenco"/>
        <w:numPr>
          <w:ilvl w:val="0"/>
          <w:numId w:val="53"/>
        </w:numPr>
        <w:ind w:left="426" w:hanging="426"/>
        <w:jc w:val="left"/>
        <w:rPr>
          <w:rFonts w:ascii="Arial" w:hAnsi="Arial" w:cs="Arial"/>
          <w:sz w:val="22"/>
          <w:szCs w:val="22"/>
          <w:lang w:eastAsia="it-IT"/>
        </w:rPr>
      </w:pPr>
      <w:r w:rsidRPr="00BC7710">
        <w:rPr>
          <w:rFonts w:ascii="Arial" w:hAnsi="Arial" w:cs="Arial"/>
          <w:b/>
          <w:sz w:val="22"/>
          <w:szCs w:val="22"/>
          <w:lang w:eastAsia="it-IT"/>
        </w:rPr>
        <w:t>European Comm</w:t>
      </w:r>
      <w:r w:rsidR="00A4567A" w:rsidRPr="00BC7710">
        <w:rPr>
          <w:rFonts w:ascii="Arial" w:hAnsi="Arial" w:cs="Arial"/>
          <w:b/>
          <w:sz w:val="22"/>
          <w:szCs w:val="22"/>
          <w:lang w:eastAsia="it-IT"/>
        </w:rPr>
        <w:t>i</w:t>
      </w:r>
      <w:r w:rsidRPr="00BC7710">
        <w:rPr>
          <w:rFonts w:ascii="Arial" w:hAnsi="Arial" w:cs="Arial"/>
          <w:b/>
          <w:sz w:val="22"/>
          <w:szCs w:val="22"/>
          <w:lang w:eastAsia="it-IT"/>
        </w:rPr>
        <w:t xml:space="preserve">ssion – IBF - </w:t>
      </w:r>
      <w:r w:rsidRPr="00BC7710">
        <w:rPr>
          <w:rFonts w:ascii="Arial" w:hAnsi="Arial" w:cs="Arial"/>
          <w:sz w:val="22"/>
          <w:szCs w:val="22"/>
          <w:lang w:eastAsia="it-IT"/>
        </w:rPr>
        <w:t xml:space="preserve">Evaluation Non-state actors program in the </w:t>
      </w:r>
      <w:proofErr w:type="spellStart"/>
      <w:r w:rsidRPr="00BC7710">
        <w:rPr>
          <w:rFonts w:ascii="Arial" w:hAnsi="Arial" w:cs="Arial"/>
          <w:sz w:val="22"/>
          <w:szCs w:val="22"/>
          <w:lang w:eastAsia="it-IT"/>
        </w:rPr>
        <w:t>oPT</w:t>
      </w:r>
      <w:proofErr w:type="spellEnd"/>
      <w:r w:rsidRPr="00BC7710">
        <w:rPr>
          <w:rFonts w:ascii="Arial" w:hAnsi="Arial" w:cs="Arial"/>
          <w:sz w:val="22"/>
          <w:szCs w:val="22"/>
          <w:lang w:eastAsia="it-IT"/>
        </w:rPr>
        <w:t xml:space="preserve"> 2007-2011 final report - July 2013</w:t>
      </w:r>
    </w:p>
    <w:p w:rsidR="00FC181F" w:rsidRPr="00BC7710" w:rsidRDefault="00FC181F" w:rsidP="00B54C8F">
      <w:pPr>
        <w:pStyle w:val="Paragrafoelenco"/>
        <w:numPr>
          <w:ilvl w:val="0"/>
          <w:numId w:val="53"/>
        </w:numPr>
        <w:ind w:left="426" w:hanging="426"/>
        <w:jc w:val="left"/>
        <w:rPr>
          <w:rFonts w:ascii="Arial" w:hAnsi="Arial" w:cs="Arial"/>
          <w:sz w:val="22"/>
          <w:szCs w:val="22"/>
          <w:lang w:eastAsia="it-IT"/>
        </w:rPr>
      </w:pPr>
      <w:r w:rsidRPr="00BC7710">
        <w:rPr>
          <w:rFonts w:ascii="Arial" w:hAnsi="Arial" w:cs="Arial"/>
          <w:b/>
          <w:sz w:val="22"/>
          <w:szCs w:val="22"/>
          <w:lang w:eastAsia="it-IT"/>
        </w:rPr>
        <w:t>European Comm</w:t>
      </w:r>
      <w:r w:rsidR="00A4567A" w:rsidRPr="00BC7710">
        <w:rPr>
          <w:rFonts w:ascii="Arial" w:hAnsi="Arial" w:cs="Arial"/>
          <w:b/>
          <w:sz w:val="22"/>
          <w:szCs w:val="22"/>
          <w:lang w:eastAsia="it-IT"/>
        </w:rPr>
        <w:t>i</w:t>
      </w:r>
      <w:r w:rsidRPr="00BC7710">
        <w:rPr>
          <w:rFonts w:ascii="Arial" w:hAnsi="Arial" w:cs="Arial"/>
          <w:b/>
          <w:sz w:val="22"/>
          <w:szCs w:val="22"/>
          <w:lang w:eastAsia="it-IT"/>
        </w:rPr>
        <w:t xml:space="preserve">ssion - </w:t>
      </w:r>
      <w:r w:rsidRPr="00BC7710">
        <w:rPr>
          <w:rFonts w:ascii="Arial" w:hAnsi="Arial" w:cs="Arial"/>
          <w:b/>
          <w:sz w:val="22"/>
          <w:szCs w:val="22"/>
          <w:lang w:eastAsia="ja-JP"/>
        </w:rPr>
        <w:t>Channel research</w:t>
      </w:r>
      <w:r w:rsidRPr="00BC7710">
        <w:rPr>
          <w:rFonts w:ascii="Arial" w:hAnsi="Arial" w:cs="Arial"/>
          <w:sz w:val="22"/>
          <w:szCs w:val="22"/>
          <w:lang w:eastAsia="ja-JP"/>
        </w:rPr>
        <w:t xml:space="preserve">, </w:t>
      </w:r>
      <w:r w:rsidRPr="00BC7710">
        <w:rPr>
          <w:rFonts w:ascii="Arial" w:hAnsi="Arial" w:cs="Arial"/>
          <w:sz w:val="22"/>
          <w:szCs w:val="22"/>
          <w:lang w:eastAsia="it-IT"/>
        </w:rPr>
        <w:t>Evaluation of DG ECHO’s Interventions in the occupied Palestinian Territory and Lebanon, March 2012</w:t>
      </w:r>
    </w:p>
    <w:p w:rsidR="0097221C" w:rsidRPr="00BC7710" w:rsidRDefault="0097221C" w:rsidP="00B54C8F">
      <w:pPr>
        <w:pStyle w:val="Paragrafoelenco"/>
        <w:numPr>
          <w:ilvl w:val="0"/>
          <w:numId w:val="53"/>
        </w:numPr>
        <w:autoSpaceDE w:val="0"/>
        <w:autoSpaceDN w:val="0"/>
        <w:adjustRightInd w:val="0"/>
        <w:spacing w:before="0" w:after="0"/>
        <w:ind w:left="426" w:hanging="426"/>
        <w:jc w:val="left"/>
        <w:rPr>
          <w:rFonts w:ascii="Arial" w:hAnsi="Arial" w:cs="Arial"/>
          <w:sz w:val="22"/>
          <w:szCs w:val="22"/>
          <w:lang w:eastAsia="it-IT"/>
        </w:rPr>
      </w:pPr>
      <w:r w:rsidRPr="00BC7710">
        <w:rPr>
          <w:rFonts w:ascii="Arial" w:hAnsi="Arial" w:cs="Arial"/>
          <w:b/>
          <w:sz w:val="22"/>
          <w:szCs w:val="22"/>
          <w:lang w:eastAsia="it-IT"/>
        </w:rPr>
        <w:t xml:space="preserve">European Commission – ADE, </w:t>
      </w:r>
      <w:r w:rsidRPr="00BC7710">
        <w:rPr>
          <w:rFonts w:ascii="Arial" w:hAnsi="Arial" w:cs="Arial"/>
          <w:sz w:val="22"/>
          <w:szCs w:val="22"/>
          <w:lang w:eastAsia="it-IT"/>
        </w:rPr>
        <w:t>Thematic Evaluation of European Commission Support to Conflict Prevention and Peace-building, Final Report, October 2011</w:t>
      </w:r>
    </w:p>
    <w:p w:rsidR="00FC181F" w:rsidRPr="00BC7710" w:rsidRDefault="00FC181F" w:rsidP="00B54C8F">
      <w:pPr>
        <w:pStyle w:val="Paragrafoelenco"/>
        <w:numPr>
          <w:ilvl w:val="0"/>
          <w:numId w:val="53"/>
        </w:numPr>
        <w:ind w:left="426" w:hanging="426"/>
        <w:jc w:val="left"/>
        <w:rPr>
          <w:rFonts w:ascii="Arial" w:hAnsi="Arial" w:cs="Arial"/>
          <w:sz w:val="22"/>
          <w:szCs w:val="22"/>
          <w:lang w:eastAsia="it-IT"/>
        </w:rPr>
      </w:pPr>
      <w:r w:rsidRPr="00BC7710">
        <w:rPr>
          <w:rFonts w:ascii="Arial" w:hAnsi="Arial" w:cs="Arial"/>
          <w:b/>
          <w:sz w:val="22"/>
          <w:szCs w:val="22"/>
          <w:lang w:eastAsia="it-IT"/>
        </w:rPr>
        <w:t>WFP,</w:t>
      </w:r>
      <w:r w:rsidRPr="00BC7710">
        <w:rPr>
          <w:rFonts w:ascii="Arial" w:hAnsi="Arial" w:cs="Arial"/>
          <w:sz w:val="22"/>
          <w:szCs w:val="22"/>
          <w:lang w:eastAsia="it-IT"/>
        </w:rPr>
        <w:t xml:space="preserve"> Operation Evaluation - </w:t>
      </w:r>
      <w:proofErr w:type="spellStart"/>
      <w:r w:rsidRPr="00BC7710">
        <w:rPr>
          <w:rFonts w:ascii="Arial" w:hAnsi="Arial" w:cs="Arial"/>
          <w:sz w:val="22"/>
          <w:szCs w:val="22"/>
          <w:lang w:eastAsia="it-IT"/>
        </w:rPr>
        <w:t>oPT</w:t>
      </w:r>
      <w:proofErr w:type="spellEnd"/>
      <w:r w:rsidRPr="00BC7710">
        <w:rPr>
          <w:rFonts w:ascii="Arial" w:hAnsi="Arial" w:cs="Arial"/>
          <w:sz w:val="22"/>
          <w:szCs w:val="22"/>
          <w:lang w:eastAsia="it-IT"/>
        </w:rPr>
        <w:t xml:space="preserve"> - PRRO 2007-2009</w:t>
      </w:r>
    </w:p>
    <w:p w:rsidR="00FC181F" w:rsidRPr="00BC7710" w:rsidRDefault="00FC181F" w:rsidP="00B54C8F">
      <w:pPr>
        <w:pStyle w:val="Paragrafoelenco"/>
        <w:numPr>
          <w:ilvl w:val="0"/>
          <w:numId w:val="53"/>
        </w:numPr>
        <w:ind w:left="426" w:hanging="426"/>
        <w:jc w:val="left"/>
        <w:rPr>
          <w:rFonts w:ascii="Arial" w:hAnsi="Arial" w:cs="Arial"/>
          <w:sz w:val="22"/>
          <w:szCs w:val="22"/>
          <w:lang w:eastAsia="it-IT"/>
        </w:rPr>
      </w:pPr>
      <w:r w:rsidRPr="00BC7710">
        <w:rPr>
          <w:rFonts w:ascii="Arial" w:hAnsi="Arial" w:cs="Arial"/>
          <w:b/>
          <w:sz w:val="22"/>
          <w:szCs w:val="22"/>
          <w:lang w:eastAsia="it-IT"/>
        </w:rPr>
        <w:t>DFID</w:t>
      </w:r>
      <w:r w:rsidRPr="00BC7710">
        <w:rPr>
          <w:rFonts w:ascii="Arial" w:hAnsi="Arial" w:cs="Arial"/>
          <w:sz w:val="22"/>
          <w:szCs w:val="22"/>
          <w:lang w:eastAsia="it-IT"/>
        </w:rPr>
        <w:t xml:space="preserve"> </w:t>
      </w:r>
      <w:r w:rsidRPr="00BC7710">
        <w:rPr>
          <w:rFonts w:ascii="Arial" w:hAnsi="Arial" w:cs="Arial"/>
          <w:b/>
          <w:sz w:val="22"/>
          <w:szCs w:val="22"/>
          <w:lang w:eastAsia="it-IT"/>
        </w:rPr>
        <w:t xml:space="preserve">– </w:t>
      </w:r>
      <w:proofErr w:type="spellStart"/>
      <w:r w:rsidRPr="00BC7710">
        <w:rPr>
          <w:rFonts w:ascii="Arial" w:hAnsi="Arial" w:cs="Arial"/>
          <w:b/>
          <w:sz w:val="22"/>
          <w:szCs w:val="22"/>
          <w:lang w:eastAsia="it-IT"/>
        </w:rPr>
        <w:t>TripleLine</w:t>
      </w:r>
      <w:proofErr w:type="spellEnd"/>
      <w:r w:rsidRPr="00BC7710">
        <w:rPr>
          <w:rFonts w:ascii="Arial" w:hAnsi="Arial" w:cs="Arial"/>
          <w:sz w:val="22"/>
          <w:szCs w:val="22"/>
          <w:lang w:eastAsia="it-IT"/>
        </w:rPr>
        <w:t xml:space="preserve"> Facility for New Market Development (FNMD) to Strengthen the Private Sector in the Occupied Palestinian Territories</w:t>
      </w:r>
    </w:p>
    <w:p w:rsidR="00FC181F" w:rsidRPr="00BC7710" w:rsidRDefault="00FC181F" w:rsidP="00B54C8F">
      <w:pPr>
        <w:pStyle w:val="Paragrafoelenco"/>
        <w:numPr>
          <w:ilvl w:val="0"/>
          <w:numId w:val="53"/>
        </w:numPr>
        <w:ind w:left="426" w:hanging="426"/>
        <w:jc w:val="left"/>
        <w:rPr>
          <w:rFonts w:ascii="Arial" w:hAnsi="Arial" w:cs="Arial"/>
          <w:sz w:val="22"/>
          <w:szCs w:val="22"/>
          <w:lang w:eastAsia="it-IT"/>
        </w:rPr>
      </w:pPr>
      <w:r w:rsidRPr="00BC7710">
        <w:rPr>
          <w:rFonts w:ascii="Arial" w:hAnsi="Arial" w:cs="Arial"/>
          <w:b/>
          <w:sz w:val="22"/>
          <w:szCs w:val="22"/>
          <w:lang w:eastAsia="it-IT"/>
        </w:rPr>
        <w:t xml:space="preserve">UNRWA </w:t>
      </w:r>
      <w:r w:rsidRPr="00BC7710">
        <w:rPr>
          <w:rFonts w:ascii="Arial" w:hAnsi="Arial" w:cs="Arial"/>
          <w:sz w:val="22"/>
          <w:szCs w:val="22"/>
          <w:lang w:eastAsia="it-IT"/>
        </w:rPr>
        <w:t xml:space="preserve">– </w:t>
      </w:r>
      <w:proofErr w:type="spellStart"/>
      <w:r w:rsidRPr="00BC7710">
        <w:rPr>
          <w:rFonts w:ascii="Arial" w:hAnsi="Arial" w:cs="Arial"/>
          <w:b/>
          <w:sz w:val="22"/>
          <w:szCs w:val="22"/>
          <w:lang w:eastAsia="it-IT"/>
        </w:rPr>
        <w:t>Transtec</w:t>
      </w:r>
      <w:proofErr w:type="spellEnd"/>
      <w:r w:rsidRPr="00BC7710">
        <w:rPr>
          <w:rFonts w:ascii="Arial" w:hAnsi="Arial" w:cs="Arial"/>
          <w:b/>
          <w:sz w:val="22"/>
          <w:szCs w:val="22"/>
          <w:lang w:eastAsia="it-IT"/>
        </w:rPr>
        <w:t xml:space="preserve"> </w:t>
      </w:r>
      <w:r w:rsidRPr="00BC7710">
        <w:rPr>
          <w:rFonts w:ascii="Arial" w:hAnsi="Arial" w:cs="Arial"/>
          <w:sz w:val="22"/>
          <w:szCs w:val="22"/>
          <w:lang w:eastAsia="it-IT"/>
        </w:rPr>
        <w:t>Mid-term evaluation 7 January 2013</w:t>
      </w:r>
    </w:p>
    <w:p w:rsidR="00FC181F" w:rsidRPr="00BC7710" w:rsidRDefault="00FC181F" w:rsidP="00B54C8F">
      <w:pPr>
        <w:pStyle w:val="Paragrafoelenco"/>
        <w:numPr>
          <w:ilvl w:val="0"/>
          <w:numId w:val="53"/>
        </w:numPr>
        <w:ind w:left="426" w:hanging="426"/>
        <w:jc w:val="left"/>
        <w:rPr>
          <w:rFonts w:ascii="Arial" w:hAnsi="Arial" w:cs="Arial"/>
          <w:sz w:val="22"/>
          <w:szCs w:val="22"/>
          <w:lang w:eastAsia="it-IT"/>
        </w:rPr>
      </w:pPr>
      <w:r w:rsidRPr="00BC7710">
        <w:rPr>
          <w:rFonts w:ascii="Arial" w:hAnsi="Arial" w:cs="Arial"/>
          <w:b/>
          <w:sz w:val="22"/>
          <w:szCs w:val="22"/>
          <w:lang w:eastAsia="it-IT"/>
        </w:rPr>
        <w:t>UNRWA</w:t>
      </w:r>
      <w:r w:rsidRPr="00BC7710">
        <w:rPr>
          <w:rFonts w:ascii="Arial" w:hAnsi="Arial" w:cs="Arial"/>
          <w:sz w:val="22"/>
          <w:szCs w:val="22"/>
          <w:lang w:eastAsia="it-IT"/>
        </w:rPr>
        <w:t xml:space="preserve"> – </w:t>
      </w:r>
      <w:proofErr w:type="spellStart"/>
      <w:r w:rsidRPr="00BC7710">
        <w:rPr>
          <w:rFonts w:ascii="Arial" w:hAnsi="Arial" w:cs="Arial"/>
          <w:b/>
          <w:sz w:val="22"/>
          <w:szCs w:val="22"/>
          <w:lang w:eastAsia="it-IT"/>
        </w:rPr>
        <w:t>Transtec</w:t>
      </w:r>
      <w:proofErr w:type="spellEnd"/>
      <w:r w:rsidRPr="00BC7710">
        <w:rPr>
          <w:rFonts w:ascii="Arial" w:hAnsi="Arial" w:cs="Arial"/>
          <w:b/>
          <w:sz w:val="22"/>
          <w:szCs w:val="22"/>
          <w:lang w:eastAsia="it-IT"/>
        </w:rPr>
        <w:t xml:space="preserve"> </w:t>
      </w:r>
      <w:r w:rsidRPr="00BC7710">
        <w:rPr>
          <w:rFonts w:ascii="Arial" w:hAnsi="Arial" w:cs="Arial"/>
          <w:sz w:val="22"/>
          <w:szCs w:val="22"/>
          <w:lang w:eastAsia="it-IT"/>
        </w:rPr>
        <w:t>Evaluation of UNRWAs Organizational Development 24 October 2011</w:t>
      </w:r>
    </w:p>
    <w:p w:rsidR="00725733" w:rsidRDefault="004D0E04" w:rsidP="00B54C8F">
      <w:pPr>
        <w:pStyle w:val="Paragrafoelenco"/>
        <w:numPr>
          <w:ilvl w:val="0"/>
          <w:numId w:val="100"/>
        </w:numPr>
        <w:spacing w:before="0" w:after="0"/>
        <w:ind w:left="426" w:hanging="426"/>
        <w:contextualSpacing w:val="0"/>
        <w:jc w:val="left"/>
        <w:rPr>
          <w:rFonts w:ascii="Arial" w:hAnsi="Arial" w:cs="Arial"/>
          <w:bCs/>
          <w:sz w:val="22"/>
          <w:szCs w:val="22"/>
          <w:lang w:eastAsia="it-IT"/>
        </w:rPr>
      </w:pPr>
      <w:r w:rsidRPr="004D0E04">
        <w:rPr>
          <w:rFonts w:ascii="Arial" w:hAnsi="Arial" w:cs="Arial"/>
          <w:b/>
          <w:sz w:val="22"/>
          <w:szCs w:val="22"/>
          <w:lang w:eastAsia="it-IT"/>
        </w:rPr>
        <w:t>European Commission</w:t>
      </w:r>
      <w:r w:rsidR="00725733" w:rsidRPr="004D0E04">
        <w:rPr>
          <w:rFonts w:ascii="Arial" w:hAnsi="Arial" w:cs="Arial"/>
          <w:bCs/>
          <w:sz w:val="22"/>
          <w:szCs w:val="22"/>
          <w:lang w:eastAsia="it-IT"/>
        </w:rPr>
        <w:t xml:space="preserve"> Impact Evaluation of the PEGASE DFS “Private Sector Reconstruction in Gaza (PSRG) </w:t>
      </w:r>
      <w:proofErr w:type="spellStart"/>
      <w:r w:rsidR="00725733" w:rsidRPr="004D0E04">
        <w:rPr>
          <w:rFonts w:ascii="Arial" w:hAnsi="Arial" w:cs="Arial"/>
          <w:bCs/>
          <w:sz w:val="22"/>
          <w:szCs w:val="22"/>
          <w:lang w:eastAsia="it-IT"/>
        </w:rPr>
        <w:t>Programme</w:t>
      </w:r>
      <w:proofErr w:type="spellEnd"/>
      <w:r w:rsidR="00725733" w:rsidRPr="004D0E04">
        <w:rPr>
          <w:rFonts w:ascii="Arial" w:hAnsi="Arial" w:cs="Arial"/>
          <w:bCs/>
          <w:sz w:val="22"/>
          <w:szCs w:val="22"/>
          <w:lang w:eastAsia="it-IT"/>
        </w:rPr>
        <w:t>”  Final Report - September 2013</w:t>
      </w:r>
    </w:p>
    <w:p w:rsidR="004B73B7" w:rsidRPr="004B73B7" w:rsidRDefault="004B73B7" w:rsidP="00B54C8F">
      <w:pPr>
        <w:pStyle w:val="Paragrafoelenco"/>
        <w:numPr>
          <w:ilvl w:val="0"/>
          <w:numId w:val="100"/>
        </w:numPr>
        <w:autoSpaceDE w:val="0"/>
        <w:autoSpaceDN w:val="0"/>
        <w:adjustRightInd w:val="0"/>
        <w:spacing w:before="0" w:after="0"/>
        <w:ind w:left="426" w:hanging="284"/>
        <w:contextualSpacing w:val="0"/>
        <w:jc w:val="left"/>
        <w:rPr>
          <w:rFonts w:ascii="Arial" w:hAnsi="Arial" w:cs="Arial"/>
          <w:bCs/>
          <w:sz w:val="22"/>
          <w:szCs w:val="22"/>
          <w:lang w:val="fr-FR" w:eastAsia="it-IT"/>
        </w:rPr>
      </w:pPr>
      <w:r w:rsidRPr="004B73B7">
        <w:rPr>
          <w:rFonts w:ascii="Arial" w:hAnsi="Arial" w:cs="Arial"/>
          <w:b/>
          <w:bCs/>
          <w:sz w:val="22"/>
          <w:szCs w:val="22"/>
          <w:lang w:eastAsia="it-IT"/>
        </w:rPr>
        <w:t>Ministry of Foreign Affairs of Japan</w:t>
      </w:r>
      <w:r w:rsidRPr="004B73B7">
        <w:rPr>
          <w:rFonts w:ascii="Arial" w:hAnsi="Arial" w:cs="Arial"/>
          <w:bCs/>
          <w:sz w:val="22"/>
          <w:szCs w:val="22"/>
          <w:lang w:eastAsia="it-IT"/>
        </w:rPr>
        <w:t xml:space="preserve">, Mitsubishi Research Institute, Inc. </w:t>
      </w:r>
      <w:r w:rsidRPr="004B73B7">
        <w:rPr>
          <w:rFonts w:ascii="Arial" w:hAnsi="Arial" w:cs="Arial"/>
          <w:bCs/>
          <w:sz w:val="22"/>
          <w:szCs w:val="22"/>
          <w:lang w:val="fr-FR" w:eastAsia="it-IT"/>
        </w:rPr>
        <w:t xml:space="preserve">Evaluation of Assistance to the </w:t>
      </w:r>
      <w:proofErr w:type="spellStart"/>
      <w:r w:rsidRPr="004B73B7">
        <w:rPr>
          <w:rFonts w:ascii="Arial" w:hAnsi="Arial" w:cs="Arial"/>
          <w:bCs/>
          <w:sz w:val="22"/>
          <w:szCs w:val="22"/>
          <w:lang w:val="fr-FR" w:eastAsia="it-IT"/>
        </w:rPr>
        <w:t>Palestinian</w:t>
      </w:r>
      <w:proofErr w:type="spellEnd"/>
      <w:r w:rsidRPr="004B73B7">
        <w:rPr>
          <w:rFonts w:ascii="Arial" w:hAnsi="Arial" w:cs="Arial"/>
          <w:bCs/>
          <w:sz w:val="22"/>
          <w:szCs w:val="22"/>
          <w:lang w:val="fr-FR" w:eastAsia="it-IT"/>
        </w:rPr>
        <w:t xml:space="preserve"> </w:t>
      </w:r>
      <w:proofErr w:type="spellStart"/>
      <w:r w:rsidRPr="004B73B7">
        <w:rPr>
          <w:rFonts w:ascii="Arial" w:hAnsi="Arial" w:cs="Arial"/>
          <w:bCs/>
          <w:sz w:val="22"/>
          <w:szCs w:val="22"/>
          <w:lang w:val="fr-FR" w:eastAsia="it-IT"/>
        </w:rPr>
        <w:t>Territories</w:t>
      </w:r>
      <w:proofErr w:type="spellEnd"/>
      <w:r w:rsidRPr="004B73B7">
        <w:rPr>
          <w:rFonts w:ascii="Arial" w:hAnsi="Arial" w:cs="Arial"/>
          <w:bCs/>
          <w:sz w:val="22"/>
          <w:szCs w:val="22"/>
          <w:lang w:val="fr-FR" w:eastAsia="it-IT"/>
        </w:rPr>
        <w:t xml:space="preserve">, </w:t>
      </w:r>
      <w:proofErr w:type="spellStart"/>
      <w:r w:rsidRPr="004B73B7">
        <w:rPr>
          <w:rFonts w:ascii="Arial" w:hAnsi="Arial" w:cs="Arial"/>
          <w:bCs/>
          <w:sz w:val="22"/>
          <w:szCs w:val="22"/>
          <w:lang w:val="fr-FR" w:eastAsia="it-IT"/>
        </w:rPr>
        <w:t>February</w:t>
      </w:r>
      <w:proofErr w:type="spellEnd"/>
      <w:r w:rsidRPr="004B73B7">
        <w:rPr>
          <w:rFonts w:ascii="Arial" w:hAnsi="Arial" w:cs="Arial"/>
          <w:bCs/>
          <w:sz w:val="22"/>
          <w:szCs w:val="22"/>
          <w:lang w:val="fr-FR" w:eastAsia="it-IT"/>
        </w:rPr>
        <w:t xml:space="preserve"> 2012</w:t>
      </w:r>
    </w:p>
    <w:p w:rsidR="00BC7710" w:rsidRPr="00BC7710" w:rsidRDefault="00BC7710" w:rsidP="00A574EB">
      <w:pPr>
        <w:spacing w:before="0" w:after="0"/>
        <w:jc w:val="left"/>
        <w:rPr>
          <w:rFonts w:ascii="Arial" w:hAnsi="Arial" w:cs="Arial"/>
          <w:b/>
          <w:bCs/>
          <w:color w:val="365F92"/>
          <w:sz w:val="22"/>
          <w:szCs w:val="22"/>
        </w:rPr>
      </w:pPr>
    </w:p>
    <w:p w:rsidR="00A574EB" w:rsidRPr="00BC7710" w:rsidRDefault="00A574EB" w:rsidP="00BC7710">
      <w:pPr>
        <w:spacing w:before="0" w:after="0"/>
        <w:rPr>
          <w:rFonts w:ascii="Arial" w:hAnsi="Arial" w:cs="Arial"/>
          <w:b/>
          <w:bCs/>
          <w:caps/>
          <w:color w:val="365F92"/>
          <w:sz w:val="24"/>
          <w:szCs w:val="24"/>
        </w:rPr>
      </w:pPr>
      <w:r w:rsidRPr="00BC7710">
        <w:rPr>
          <w:rFonts w:ascii="Arial" w:hAnsi="Arial" w:cs="Arial"/>
          <w:b/>
          <w:bCs/>
          <w:caps/>
          <w:color w:val="365F92"/>
          <w:sz w:val="24"/>
          <w:szCs w:val="24"/>
        </w:rPr>
        <w:t xml:space="preserve">Websites </w:t>
      </w:r>
    </w:p>
    <w:p w:rsidR="00A574EB" w:rsidRPr="00BC7710" w:rsidRDefault="00A574EB" w:rsidP="00BC7710">
      <w:pPr>
        <w:spacing w:before="0" w:after="0"/>
        <w:rPr>
          <w:rFonts w:ascii="Arial" w:eastAsiaTheme="minorEastAsia" w:hAnsi="Arial" w:cs="Arial"/>
          <w:sz w:val="22"/>
          <w:szCs w:val="22"/>
          <w:lang w:eastAsia="ja-JP"/>
        </w:rPr>
      </w:pPr>
      <w:r w:rsidRPr="00BC7710">
        <w:rPr>
          <w:rFonts w:ascii="Arial" w:hAnsi="Arial" w:cs="Arial"/>
          <w:b/>
          <w:sz w:val="22"/>
          <w:szCs w:val="22"/>
          <w:lang w:eastAsia="ja-JP"/>
        </w:rPr>
        <w:t xml:space="preserve">Amnesty International </w:t>
      </w:r>
      <w:hyperlink r:id="rId48" w:history="1">
        <w:r w:rsidRPr="00BC7710">
          <w:rPr>
            <w:rStyle w:val="Collegamentoipertestuale"/>
            <w:rFonts w:ascii="Arial" w:eastAsiaTheme="minorEastAsia" w:hAnsi="Arial" w:cs="Arial"/>
            <w:szCs w:val="22"/>
            <w:lang w:eastAsia="ja-JP"/>
          </w:rPr>
          <w:t>www.amnesty.org</w:t>
        </w:r>
      </w:hyperlink>
      <w:r w:rsidRPr="00BC7710">
        <w:rPr>
          <w:rFonts w:ascii="Arial" w:hAnsi="Arial" w:cs="Arial"/>
          <w:sz w:val="22"/>
          <w:szCs w:val="22"/>
        </w:rPr>
        <w:t xml:space="preserve">  </w:t>
      </w:r>
    </w:p>
    <w:p w:rsidR="00A574EB" w:rsidRPr="00BC7710" w:rsidRDefault="00A574EB" w:rsidP="00BC7710">
      <w:pPr>
        <w:spacing w:before="0" w:after="0"/>
        <w:rPr>
          <w:rFonts w:ascii="Arial" w:hAnsi="Arial" w:cs="Arial"/>
          <w:sz w:val="22"/>
          <w:szCs w:val="22"/>
        </w:rPr>
      </w:pPr>
      <w:proofErr w:type="spellStart"/>
      <w:r w:rsidRPr="00BC7710">
        <w:rPr>
          <w:rFonts w:ascii="Arial" w:hAnsi="Arial" w:cs="Arial"/>
          <w:b/>
          <w:sz w:val="22"/>
          <w:szCs w:val="22"/>
        </w:rPr>
        <w:t>CEPR</w:t>
      </w:r>
      <w:r w:rsidRPr="00BC7710">
        <w:rPr>
          <w:rFonts w:ascii="Arial" w:hAnsi="Arial" w:cs="Arial"/>
          <w:sz w:val="22"/>
          <w:szCs w:val="22"/>
          <w:lang w:eastAsia="ja-JP"/>
        </w:rPr>
        <w:t>Council</w:t>
      </w:r>
      <w:proofErr w:type="spellEnd"/>
      <w:r w:rsidRPr="00BC7710">
        <w:rPr>
          <w:rFonts w:ascii="Arial" w:hAnsi="Arial" w:cs="Arial"/>
          <w:sz w:val="22"/>
          <w:szCs w:val="22"/>
          <w:lang w:eastAsia="ja-JP"/>
        </w:rPr>
        <w:t xml:space="preserve"> for European Palestinian Relations</w:t>
      </w:r>
      <w:hyperlink r:id="rId49" w:history="1">
        <w:r w:rsidRPr="00BC7710">
          <w:rPr>
            <w:rStyle w:val="Collegamentoipertestuale"/>
            <w:rFonts w:ascii="Arial" w:hAnsi="Arial" w:cs="Arial"/>
            <w:szCs w:val="22"/>
            <w:lang w:val="en-GB"/>
          </w:rPr>
          <w:t>www.thecepr.org</w:t>
        </w:r>
      </w:hyperlink>
    </w:p>
    <w:p w:rsidR="00A574EB" w:rsidRPr="00BC7710" w:rsidRDefault="00A574EB" w:rsidP="00BC7710">
      <w:pPr>
        <w:spacing w:before="0" w:after="0"/>
        <w:rPr>
          <w:rFonts w:ascii="Arial" w:hAnsi="Arial" w:cs="Arial"/>
          <w:sz w:val="22"/>
          <w:szCs w:val="22"/>
          <w:lang w:eastAsia="ja-JP"/>
        </w:rPr>
      </w:pPr>
      <w:r w:rsidRPr="00BC7710">
        <w:rPr>
          <w:rFonts w:ascii="Arial" w:hAnsi="Arial" w:cs="Arial"/>
          <w:b/>
          <w:sz w:val="22"/>
          <w:szCs w:val="22"/>
          <w:lang w:eastAsia="ja-JP"/>
        </w:rPr>
        <w:t>CMWU</w:t>
      </w:r>
      <w:r w:rsidRPr="00BC7710">
        <w:rPr>
          <w:rFonts w:ascii="Arial" w:hAnsi="Arial" w:cs="Arial"/>
          <w:sz w:val="22"/>
          <w:szCs w:val="22"/>
          <w:lang w:eastAsia="ja-JP"/>
        </w:rPr>
        <w:t xml:space="preserve"> Costal Municipalities Water Utility Official Website </w:t>
      </w:r>
      <w:hyperlink r:id="rId50" w:history="1">
        <w:r w:rsidRPr="00BC7710">
          <w:rPr>
            <w:rStyle w:val="Collegamentoipertestuale"/>
            <w:rFonts w:ascii="Arial" w:hAnsi="Arial" w:cs="Arial"/>
            <w:szCs w:val="22"/>
            <w:lang w:eastAsia="ja-JP"/>
          </w:rPr>
          <w:t>www.cmwu.ps/en/index.php</w:t>
        </w:r>
      </w:hyperlink>
    </w:p>
    <w:p w:rsidR="00A574EB" w:rsidRPr="00BC7710" w:rsidRDefault="00A574EB" w:rsidP="00A574EB">
      <w:pPr>
        <w:spacing w:before="0" w:after="0"/>
        <w:rPr>
          <w:rFonts w:ascii="Arial" w:hAnsi="Arial" w:cs="Arial"/>
          <w:sz w:val="22"/>
          <w:szCs w:val="22"/>
          <w:lang w:eastAsia="ja-JP"/>
        </w:rPr>
      </w:pPr>
      <w:r w:rsidRPr="00BC7710">
        <w:rPr>
          <w:rFonts w:ascii="Arial" w:hAnsi="Arial" w:cs="Arial"/>
          <w:b/>
          <w:sz w:val="22"/>
          <w:szCs w:val="22"/>
        </w:rPr>
        <w:t xml:space="preserve">ECHO </w:t>
      </w:r>
      <w:hyperlink r:id="rId51" w:history="1">
        <w:r w:rsidRPr="00BC7710">
          <w:rPr>
            <w:rStyle w:val="Collegamentoipertestuale"/>
            <w:rFonts w:ascii="Arial" w:hAnsi="Arial" w:cs="Arial"/>
            <w:szCs w:val="22"/>
          </w:rPr>
          <w:t>http://ec.europa.eu/echo/aid/stories/middle_east23_en.htm</w:t>
        </w:r>
      </w:hyperlink>
    </w:p>
    <w:p w:rsidR="00A574EB" w:rsidRPr="00BC7710" w:rsidRDefault="00A574EB" w:rsidP="00A574EB">
      <w:pPr>
        <w:spacing w:before="0" w:after="0"/>
        <w:jc w:val="left"/>
        <w:rPr>
          <w:rFonts w:ascii="Arial" w:hAnsi="Arial" w:cs="Arial"/>
          <w:sz w:val="22"/>
          <w:szCs w:val="22"/>
        </w:rPr>
      </w:pPr>
      <w:r w:rsidRPr="00BC7710">
        <w:rPr>
          <w:rFonts w:ascii="Arial" w:hAnsi="Arial" w:cs="Arial"/>
          <w:b/>
          <w:sz w:val="22"/>
          <w:szCs w:val="22"/>
        </w:rPr>
        <w:t>ENPI Reference documents</w:t>
      </w:r>
      <w:hyperlink r:id="rId52" w:history="1">
        <w:r w:rsidRPr="00BC7710">
          <w:rPr>
            <w:rStyle w:val="Collegamentoipertestuale"/>
            <w:rFonts w:ascii="Arial" w:hAnsi="Arial" w:cs="Arial"/>
            <w:szCs w:val="22"/>
          </w:rPr>
          <w:t>http://ec.europa.eu/world/enp/documents_en.htm</w:t>
        </w:r>
      </w:hyperlink>
    </w:p>
    <w:p w:rsidR="00A574EB" w:rsidRPr="00BC7710" w:rsidRDefault="00A574EB" w:rsidP="00A574EB">
      <w:pPr>
        <w:spacing w:before="0" w:after="0"/>
        <w:jc w:val="left"/>
        <w:rPr>
          <w:rFonts w:ascii="Arial" w:hAnsi="Arial" w:cs="Arial"/>
          <w:sz w:val="22"/>
          <w:szCs w:val="22"/>
        </w:rPr>
      </w:pPr>
      <w:r w:rsidRPr="00BC7710">
        <w:rPr>
          <w:rFonts w:ascii="Arial" w:hAnsi="Arial" w:cs="Arial"/>
          <w:b/>
          <w:sz w:val="22"/>
          <w:szCs w:val="22"/>
        </w:rPr>
        <w:t>EU Delegation in OPT</w:t>
      </w:r>
      <w:hyperlink r:id="rId53" w:history="1">
        <w:r w:rsidRPr="00BC7710">
          <w:rPr>
            <w:rStyle w:val="Collegamentoipertestuale"/>
            <w:rFonts w:ascii="Arial" w:hAnsi="Arial" w:cs="Arial"/>
            <w:szCs w:val="22"/>
          </w:rPr>
          <w:t>http://eeas.europa.eu/delegations/westbank/index_en.htm</w:t>
        </w:r>
      </w:hyperlink>
    </w:p>
    <w:p w:rsidR="00A574EB" w:rsidRPr="00BC7710" w:rsidRDefault="00A574EB" w:rsidP="00A574EB">
      <w:pPr>
        <w:spacing w:before="0" w:after="0"/>
        <w:jc w:val="left"/>
        <w:rPr>
          <w:rFonts w:ascii="Arial" w:hAnsi="Arial" w:cs="Arial"/>
          <w:sz w:val="22"/>
          <w:szCs w:val="22"/>
        </w:rPr>
      </w:pPr>
      <w:r w:rsidRPr="00BC7710">
        <w:rPr>
          <w:rFonts w:ascii="Arial" w:hAnsi="Arial" w:cs="Arial"/>
          <w:b/>
          <w:sz w:val="22"/>
          <w:szCs w:val="22"/>
        </w:rPr>
        <w:t xml:space="preserve">EC - External </w:t>
      </w:r>
      <w:proofErr w:type="spellStart"/>
      <w:r w:rsidRPr="00BC7710">
        <w:rPr>
          <w:rFonts w:ascii="Arial" w:hAnsi="Arial" w:cs="Arial"/>
          <w:b/>
          <w:sz w:val="22"/>
          <w:szCs w:val="22"/>
        </w:rPr>
        <w:t>ActionsOPT</w:t>
      </w:r>
      <w:proofErr w:type="spellEnd"/>
      <w:r w:rsidR="00A43E18" w:rsidRPr="00BC7710">
        <w:rPr>
          <w:rFonts w:ascii="Arial" w:hAnsi="Arial" w:cs="Arial"/>
          <w:sz w:val="22"/>
          <w:szCs w:val="22"/>
        </w:rPr>
        <w:fldChar w:fldCharType="begin"/>
      </w:r>
      <w:r w:rsidR="00DE2B58" w:rsidRPr="00BC7710">
        <w:rPr>
          <w:rFonts w:ascii="Arial" w:hAnsi="Arial" w:cs="Arial"/>
          <w:sz w:val="22"/>
          <w:szCs w:val="22"/>
        </w:rPr>
        <w:instrText>HYPERLINK "http://eeas.europa.eu/occupied_palestinian_territory/index_en.htm"</w:instrText>
      </w:r>
      <w:r w:rsidR="00A43E18" w:rsidRPr="00BC7710">
        <w:rPr>
          <w:rFonts w:ascii="Arial" w:hAnsi="Arial" w:cs="Arial"/>
          <w:sz w:val="22"/>
          <w:szCs w:val="22"/>
        </w:rPr>
        <w:fldChar w:fldCharType="separate"/>
      </w:r>
      <w:r w:rsidRPr="00BC7710">
        <w:rPr>
          <w:rStyle w:val="Collegamentoipertestuale"/>
          <w:rFonts w:ascii="Arial" w:hAnsi="Arial" w:cs="Arial"/>
          <w:szCs w:val="22"/>
        </w:rPr>
        <w:t>http://eeas.europa.eu/occupied_palestinian_territory/index_en.htm</w:t>
      </w:r>
      <w:r w:rsidR="00A43E18" w:rsidRPr="00BC7710">
        <w:rPr>
          <w:rFonts w:ascii="Arial" w:hAnsi="Arial" w:cs="Arial"/>
          <w:sz w:val="22"/>
          <w:szCs w:val="22"/>
        </w:rPr>
        <w:fldChar w:fldCharType="end"/>
      </w:r>
    </w:p>
    <w:p w:rsidR="00A574EB" w:rsidRPr="00BC7710" w:rsidRDefault="00A574EB" w:rsidP="00A574EB">
      <w:pPr>
        <w:spacing w:before="0" w:after="0"/>
        <w:jc w:val="left"/>
        <w:rPr>
          <w:rFonts w:ascii="Arial" w:hAnsi="Arial" w:cs="Arial"/>
          <w:sz w:val="22"/>
          <w:szCs w:val="22"/>
        </w:rPr>
      </w:pPr>
      <w:r w:rsidRPr="00BC7710">
        <w:rPr>
          <w:rFonts w:ascii="Arial" w:hAnsi="Arial" w:cs="Arial"/>
          <w:b/>
          <w:sz w:val="22"/>
          <w:szCs w:val="22"/>
        </w:rPr>
        <w:lastRenderedPageBreak/>
        <w:t>EUROPEAID</w:t>
      </w:r>
      <w:hyperlink r:id="rId54" w:history="1">
        <w:r w:rsidRPr="00BC7710">
          <w:rPr>
            <w:rStyle w:val="Collegamentoipertestuale"/>
            <w:rFonts w:ascii="Arial" w:hAnsi="Arial" w:cs="Arial"/>
            <w:szCs w:val="22"/>
          </w:rPr>
          <w:t>http://ec.europa.eu/europeaid/where/neighbourhood/country-cooperation/occupied_palestinian_territory/occupied-palestinian-territory_en.htm</w:t>
        </w:r>
      </w:hyperlink>
    </w:p>
    <w:p w:rsidR="00A574EB" w:rsidRPr="00BC7710" w:rsidRDefault="00A574EB" w:rsidP="00A574EB">
      <w:pPr>
        <w:spacing w:before="0" w:after="0"/>
        <w:jc w:val="left"/>
        <w:rPr>
          <w:rFonts w:ascii="Arial" w:hAnsi="Arial" w:cs="Arial"/>
          <w:sz w:val="22"/>
          <w:szCs w:val="22"/>
        </w:rPr>
      </w:pPr>
      <w:r w:rsidRPr="00BC7710">
        <w:rPr>
          <w:rFonts w:ascii="Arial" w:hAnsi="Arial" w:cs="Arial"/>
          <w:b/>
          <w:sz w:val="22"/>
          <w:szCs w:val="22"/>
        </w:rPr>
        <w:t>ENPI South</w:t>
      </w:r>
      <w:hyperlink r:id="rId55" w:history="1">
        <w:r w:rsidRPr="00BC7710">
          <w:rPr>
            <w:rStyle w:val="Collegamentoipertestuale"/>
            <w:rFonts w:ascii="Arial" w:hAnsi="Arial" w:cs="Arial"/>
            <w:szCs w:val="22"/>
          </w:rPr>
          <w:t>http://www.enpi-info.eu/indexmed.php</w:t>
        </w:r>
      </w:hyperlink>
    </w:p>
    <w:p w:rsidR="00A574EB" w:rsidRPr="00BC7710" w:rsidRDefault="00A574EB" w:rsidP="00A574EB">
      <w:pPr>
        <w:spacing w:before="0" w:after="0"/>
        <w:jc w:val="left"/>
        <w:rPr>
          <w:rFonts w:ascii="Arial" w:hAnsi="Arial" w:cs="Arial"/>
          <w:sz w:val="22"/>
          <w:szCs w:val="22"/>
        </w:rPr>
      </w:pPr>
      <w:r w:rsidRPr="00BC7710">
        <w:rPr>
          <w:rFonts w:ascii="Arial" w:hAnsi="Arial" w:cs="Arial"/>
          <w:b/>
          <w:sz w:val="22"/>
          <w:szCs w:val="22"/>
        </w:rPr>
        <w:t>FSTP</w:t>
      </w:r>
      <w:hyperlink r:id="rId56" w:history="1">
        <w:r w:rsidRPr="00BC7710">
          <w:rPr>
            <w:rStyle w:val="Collegamentoipertestuale"/>
            <w:rFonts w:ascii="Arial" w:hAnsi="Arial" w:cs="Arial"/>
            <w:szCs w:val="22"/>
          </w:rPr>
          <w:t>http://ec.europa.eu/europeaid/how/finance/dci/food_en.htm</w:t>
        </w:r>
      </w:hyperlink>
    </w:p>
    <w:p w:rsidR="00A574EB" w:rsidRPr="00BC7710" w:rsidRDefault="00A574EB" w:rsidP="00A574EB">
      <w:pPr>
        <w:spacing w:before="0" w:after="0"/>
        <w:jc w:val="left"/>
        <w:rPr>
          <w:rFonts w:ascii="Arial" w:hAnsi="Arial" w:cs="Arial"/>
          <w:sz w:val="22"/>
          <w:szCs w:val="22"/>
        </w:rPr>
      </w:pPr>
      <w:r w:rsidRPr="00BC7710">
        <w:rPr>
          <w:rFonts w:ascii="Arial" w:hAnsi="Arial" w:cs="Arial"/>
          <w:b/>
          <w:sz w:val="22"/>
          <w:szCs w:val="22"/>
        </w:rPr>
        <w:t>Local Development Forum</w:t>
      </w:r>
      <w:hyperlink r:id="rId57" w:history="1">
        <w:r w:rsidRPr="00BC7710">
          <w:rPr>
            <w:rStyle w:val="Collegamentoipertestuale"/>
            <w:rFonts w:ascii="Arial" w:hAnsi="Arial" w:cs="Arial"/>
            <w:szCs w:val="22"/>
          </w:rPr>
          <w:t>http://www.lacs.ps/DocumentsSearch.aspx</w:t>
        </w:r>
      </w:hyperlink>
    </w:p>
    <w:p w:rsidR="00A574EB" w:rsidRPr="00BC7710" w:rsidRDefault="00A574EB" w:rsidP="00A574EB">
      <w:pPr>
        <w:spacing w:before="0" w:after="0"/>
        <w:jc w:val="left"/>
        <w:rPr>
          <w:rFonts w:ascii="Arial" w:hAnsi="Arial" w:cs="Arial"/>
          <w:sz w:val="22"/>
          <w:szCs w:val="22"/>
          <w:lang w:eastAsia="ja-JP"/>
        </w:rPr>
      </w:pPr>
      <w:r w:rsidRPr="00BC7710">
        <w:rPr>
          <w:rFonts w:ascii="Arial" w:eastAsiaTheme="minorEastAsia" w:hAnsi="Arial" w:cs="Arial"/>
          <w:b/>
          <w:color w:val="221E1F"/>
          <w:sz w:val="22"/>
          <w:szCs w:val="22"/>
          <w:lang w:eastAsia="ja-JP"/>
        </w:rPr>
        <w:t>OCHA</w:t>
      </w:r>
      <w:r w:rsidRPr="00BC7710">
        <w:rPr>
          <w:rFonts w:ascii="Arial" w:eastAsiaTheme="minorEastAsia" w:hAnsi="Arial" w:cs="Arial"/>
          <w:color w:val="221E1F"/>
          <w:sz w:val="22"/>
          <w:szCs w:val="22"/>
          <w:lang w:eastAsia="ja-JP"/>
        </w:rPr>
        <w:t xml:space="preserve"> Office for the Coordination of Humanitarian Affairs</w:t>
      </w:r>
      <w:r w:rsidRPr="00BC7710">
        <w:rPr>
          <w:rFonts w:ascii="Arial" w:eastAsiaTheme="minorEastAsia" w:hAnsi="Arial" w:cs="Arial"/>
          <w:color w:val="0000FF"/>
          <w:sz w:val="22"/>
          <w:szCs w:val="22"/>
          <w:u w:val="single"/>
          <w:lang w:eastAsia="ja-JP"/>
        </w:rPr>
        <w:t>www.ochaopt.org</w:t>
      </w:r>
    </w:p>
    <w:p w:rsidR="00A574EB" w:rsidRPr="00BC7710" w:rsidRDefault="00A574EB" w:rsidP="00A574EB">
      <w:pPr>
        <w:spacing w:before="0" w:after="0"/>
        <w:jc w:val="left"/>
        <w:rPr>
          <w:rFonts w:ascii="Arial" w:hAnsi="Arial" w:cs="Arial"/>
          <w:sz w:val="22"/>
          <w:szCs w:val="22"/>
        </w:rPr>
      </w:pPr>
      <w:r w:rsidRPr="00BC7710">
        <w:rPr>
          <w:rFonts w:ascii="Arial" w:hAnsi="Arial" w:cs="Arial"/>
          <w:b/>
          <w:sz w:val="22"/>
          <w:szCs w:val="22"/>
        </w:rPr>
        <w:t>Reports of the Joint Evaluation Unit of the EC</w:t>
      </w:r>
      <w:hyperlink r:id="rId58" w:history="1">
        <w:r w:rsidRPr="00BC7710">
          <w:rPr>
            <w:rStyle w:val="Collegamentoipertestuale"/>
            <w:rFonts w:ascii="Arial" w:hAnsi="Arial" w:cs="Arial"/>
            <w:szCs w:val="22"/>
          </w:rPr>
          <w:t>http://ec.europa.eu/europeaid/how/evaluation/evaluation_reports/index_en.htm</w:t>
        </w:r>
      </w:hyperlink>
    </w:p>
    <w:p w:rsidR="00A574EB" w:rsidRPr="00BC7710" w:rsidRDefault="00A574EB" w:rsidP="00A574EB">
      <w:pPr>
        <w:spacing w:before="0" w:after="0"/>
        <w:jc w:val="left"/>
        <w:rPr>
          <w:rFonts w:ascii="Arial" w:hAnsi="Arial" w:cs="Arial"/>
          <w:sz w:val="22"/>
          <w:szCs w:val="22"/>
          <w:lang w:eastAsia="ja-JP"/>
        </w:rPr>
      </w:pPr>
      <w:r w:rsidRPr="00BC7710">
        <w:rPr>
          <w:rFonts w:ascii="Arial" w:hAnsi="Arial" w:cs="Arial"/>
          <w:b/>
          <w:sz w:val="22"/>
          <w:szCs w:val="22"/>
        </w:rPr>
        <w:t>Strategic Foresight</w:t>
      </w:r>
      <w:hyperlink r:id="rId59" w:history="1">
        <w:r w:rsidRPr="00BC7710">
          <w:rPr>
            <w:rStyle w:val="Collegamentoipertestuale"/>
            <w:rFonts w:ascii="Arial" w:eastAsiaTheme="minorEastAsia" w:hAnsi="Arial" w:cs="Arial"/>
            <w:szCs w:val="22"/>
            <w:lang w:eastAsia="ja-JP"/>
          </w:rPr>
          <w:t>http://www.strategicforesight.com/middleeast_water_security.htm</w:t>
        </w:r>
      </w:hyperlink>
    </w:p>
    <w:p w:rsidR="00A574EB" w:rsidRPr="00BC7710" w:rsidRDefault="00A574EB" w:rsidP="00A574EB">
      <w:pPr>
        <w:spacing w:before="0" w:after="0"/>
        <w:jc w:val="left"/>
        <w:rPr>
          <w:rFonts w:ascii="Arial" w:hAnsi="Arial" w:cs="Arial"/>
          <w:sz w:val="22"/>
          <w:szCs w:val="22"/>
        </w:rPr>
      </w:pPr>
      <w:r w:rsidRPr="00BC7710">
        <w:rPr>
          <w:rFonts w:ascii="Arial" w:hAnsi="Arial" w:cs="Arial"/>
          <w:b/>
          <w:sz w:val="22"/>
          <w:szCs w:val="22"/>
          <w:lang w:eastAsia="ja-JP"/>
        </w:rPr>
        <w:t>The applied research Institute</w:t>
      </w:r>
      <w:hyperlink r:id="rId60" w:history="1">
        <w:r w:rsidRPr="00BC7710">
          <w:rPr>
            <w:rStyle w:val="Collegamentoipertestuale"/>
            <w:rFonts w:ascii="Arial" w:hAnsi="Arial" w:cs="Arial"/>
            <w:szCs w:val="22"/>
            <w:lang w:eastAsia="ja-JP"/>
          </w:rPr>
          <w:t>http://www.arij.org/</w:t>
        </w:r>
      </w:hyperlink>
    </w:p>
    <w:p w:rsidR="00A574EB" w:rsidRPr="00BC7710" w:rsidRDefault="00A574EB" w:rsidP="00A574EB">
      <w:pPr>
        <w:spacing w:before="0" w:after="0"/>
        <w:jc w:val="left"/>
        <w:rPr>
          <w:rFonts w:ascii="Arial" w:hAnsi="Arial" w:cs="Arial"/>
          <w:sz w:val="22"/>
          <w:szCs w:val="22"/>
        </w:rPr>
      </w:pPr>
      <w:r w:rsidRPr="00BC7710">
        <w:rPr>
          <w:rFonts w:ascii="Arial" w:hAnsi="Arial" w:cs="Arial"/>
          <w:b/>
          <w:sz w:val="22"/>
          <w:szCs w:val="22"/>
        </w:rPr>
        <w:t>UNRWA</w:t>
      </w:r>
      <w:hyperlink r:id="rId61" w:history="1">
        <w:r w:rsidRPr="00BC7710">
          <w:rPr>
            <w:rStyle w:val="Collegamentoipertestuale"/>
            <w:rFonts w:ascii="Arial" w:hAnsi="Arial" w:cs="Arial"/>
            <w:szCs w:val="22"/>
          </w:rPr>
          <w:t>http://www.unrwa.org/</w:t>
        </w:r>
      </w:hyperlink>
    </w:p>
    <w:p w:rsidR="00A574EB" w:rsidRPr="00BC7710" w:rsidRDefault="00A574EB" w:rsidP="00A574EB">
      <w:pPr>
        <w:spacing w:before="0" w:after="0"/>
        <w:jc w:val="left"/>
        <w:rPr>
          <w:rFonts w:ascii="Arial" w:hAnsi="Arial" w:cs="Arial"/>
          <w:sz w:val="22"/>
          <w:szCs w:val="22"/>
          <w:lang w:eastAsia="ja-JP"/>
        </w:rPr>
      </w:pPr>
      <w:r w:rsidRPr="00BC7710">
        <w:rPr>
          <w:rFonts w:ascii="Arial" w:hAnsi="Arial" w:cs="Arial"/>
          <w:b/>
          <w:sz w:val="22"/>
          <w:szCs w:val="22"/>
        </w:rPr>
        <w:t>WHO/UNICEF</w:t>
      </w:r>
      <w:r w:rsidRPr="00BC7710">
        <w:rPr>
          <w:rFonts w:ascii="Arial" w:hAnsi="Arial" w:cs="Arial"/>
          <w:sz w:val="22"/>
          <w:szCs w:val="22"/>
        </w:rPr>
        <w:t xml:space="preserve"> (2010) </w:t>
      </w:r>
      <w:hyperlink r:id="rId62" w:history="1">
        <w:r w:rsidRPr="00BC7710">
          <w:rPr>
            <w:rStyle w:val="Collegamentoipertestuale"/>
            <w:rFonts w:ascii="Arial" w:hAnsi="Arial" w:cs="Arial"/>
            <w:szCs w:val="22"/>
          </w:rPr>
          <w:t>http://www.unicef.org/statistics/index_24302.html</w:t>
        </w:r>
      </w:hyperlink>
    </w:p>
    <w:p w:rsidR="00A574EB" w:rsidRPr="00BC7710" w:rsidRDefault="00A574EB" w:rsidP="00A574EB">
      <w:pPr>
        <w:jc w:val="center"/>
        <w:rPr>
          <w:rFonts w:ascii="Arial" w:hAnsi="Arial" w:cs="Arial"/>
          <w:b/>
          <w:caps/>
          <w:color w:val="FFFFFF" w:themeColor="background1"/>
          <w:spacing w:val="20"/>
          <w:kern w:val="28"/>
          <w:sz w:val="22"/>
          <w:szCs w:val="22"/>
          <w:lang w:eastAsia="pl-PL"/>
        </w:rPr>
      </w:pPr>
    </w:p>
    <w:p w:rsidR="00A574EB" w:rsidRDefault="00A574EB" w:rsidP="00A574EB">
      <w:pPr>
        <w:jc w:val="center"/>
        <w:rPr>
          <w:rFonts w:ascii="Times New Roman" w:hAnsi="Times New Roman"/>
          <w:b/>
          <w:caps/>
          <w:color w:val="FFFFFF" w:themeColor="background1"/>
          <w:spacing w:val="20"/>
          <w:kern w:val="28"/>
          <w:sz w:val="28"/>
          <w:szCs w:val="28"/>
          <w:lang w:eastAsia="pl-PL"/>
        </w:rPr>
      </w:pPr>
    </w:p>
    <w:p w:rsidR="008F2A89" w:rsidRDefault="008F2A89" w:rsidP="00A574EB">
      <w:pPr>
        <w:jc w:val="center"/>
        <w:rPr>
          <w:rFonts w:ascii="Times New Roman" w:hAnsi="Times New Roman"/>
          <w:b/>
          <w:caps/>
          <w:color w:val="FFFFFF" w:themeColor="background1"/>
          <w:spacing w:val="20"/>
          <w:kern w:val="28"/>
          <w:sz w:val="28"/>
          <w:szCs w:val="28"/>
          <w:lang w:eastAsia="pl-PL"/>
        </w:rPr>
        <w:sectPr w:rsidR="008F2A89" w:rsidSect="00AB31B3">
          <w:headerReference w:type="default" r:id="rId63"/>
          <w:footerReference w:type="default" r:id="rId64"/>
          <w:pgSz w:w="11906" w:h="16838"/>
          <w:pgMar w:top="1417" w:right="1134" w:bottom="1134" w:left="1134" w:header="708" w:footer="708" w:gutter="0"/>
          <w:cols w:space="708"/>
          <w:docGrid w:linePitch="360"/>
        </w:sectPr>
      </w:pPr>
    </w:p>
    <w:p w:rsidR="00A574EB" w:rsidRPr="006D7451" w:rsidRDefault="008F2A89" w:rsidP="005E7468">
      <w:pPr>
        <w:pStyle w:val="Titolo1"/>
      </w:pPr>
      <w:bookmarkStart w:id="8" w:name="_Toc382998022"/>
      <w:r w:rsidRPr="006D7451">
        <w:lastRenderedPageBreak/>
        <w:t xml:space="preserve">AnneX 3: List of People </w:t>
      </w:r>
      <w:r w:rsidR="006D3B79">
        <w:t>INTERVIEWED</w:t>
      </w:r>
      <w:bookmarkEnd w:id="8"/>
      <w:r w:rsidRPr="006D7451">
        <w:t xml:space="preserve"> </w:t>
      </w:r>
    </w:p>
    <w:p w:rsidR="00507380" w:rsidRPr="006D3B79" w:rsidRDefault="00507380" w:rsidP="00A574EB">
      <w:pPr>
        <w:jc w:val="center"/>
        <w:rPr>
          <w:rFonts w:ascii="Times New Roman" w:hAnsi="Times New Roman"/>
          <w:b/>
          <w:smallCaps/>
          <w:spacing w:val="20"/>
          <w:kern w:val="28"/>
          <w:sz w:val="24"/>
          <w:szCs w:val="24"/>
          <w:lang w:val="en-GB" w:eastAsia="pl-PL"/>
        </w:rPr>
      </w:pPr>
    </w:p>
    <w:p w:rsidR="004D3D6D" w:rsidRPr="00873F50" w:rsidRDefault="00507380" w:rsidP="00873F50">
      <w:pPr>
        <w:spacing w:before="0" w:after="0"/>
        <w:jc w:val="center"/>
        <w:rPr>
          <w:rFonts w:ascii="Arial" w:hAnsi="Arial" w:cs="Arial"/>
          <w:b/>
          <w:smallCaps/>
          <w:color w:val="1F497D" w:themeColor="text2"/>
          <w:spacing w:val="20"/>
          <w:kern w:val="28"/>
          <w:sz w:val="24"/>
          <w:szCs w:val="24"/>
          <w:lang w:eastAsia="pl-PL"/>
        </w:rPr>
      </w:pPr>
      <w:r w:rsidRPr="00873F50">
        <w:rPr>
          <w:rFonts w:ascii="Arial" w:hAnsi="Arial" w:cs="Arial"/>
          <w:b/>
          <w:smallCaps/>
          <w:color w:val="1F497D" w:themeColor="text2"/>
          <w:spacing w:val="20"/>
          <w:kern w:val="28"/>
          <w:sz w:val="24"/>
          <w:szCs w:val="24"/>
          <w:lang w:eastAsia="pl-PL"/>
        </w:rPr>
        <w:t>LIST OF PEOPLE MET FOR INCEPTION PHASE</w:t>
      </w:r>
    </w:p>
    <w:tbl>
      <w:tblPr>
        <w:tblW w:w="5000" w:type="pct"/>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tblPr>
      <w:tblGrid>
        <w:gridCol w:w="3007"/>
        <w:gridCol w:w="6847"/>
      </w:tblGrid>
      <w:tr w:rsidR="00507380" w:rsidRPr="00873F50" w:rsidTr="00873F50">
        <w:trPr>
          <w:trHeight w:val="361"/>
          <w:jc w:val="center"/>
        </w:trPr>
        <w:tc>
          <w:tcPr>
            <w:tcW w:w="1526" w:type="pct"/>
            <w:tcBorders>
              <w:top w:val="double" w:sz="4" w:space="0" w:color="auto"/>
              <w:bottom w:val="single" w:sz="6" w:space="0" w:color="auto"/>
              <w:right w:val="nil"/>
            </w:tcBorders>
            <w:shd w:val="clear" w:color="auto" w:fill="4F81BD" w:themeFill="accent1"/>
            <w:noWrap/>
            <w:vAlign w:val="center"/>
            <w:hideMark/>
          </w:tcPr>
          <w:p w:rsidR="00507380" w:rsidRPr="00873F50" w:rsidRDefault="00507380" w:rsidP="00873F50">
            <w:pPr>
              <w:spacing w:before="0" w:after="0"/>
              <w:ind w:left="-108" w:firstLine="108"/>
              <w:jc w:val="center"/>
              <w:rPr>
                <w:rFonts w:ascii="Arial" w:hAnsi="Arial" w:cs="Arial"/>
                <w:b/>
                <w:bCs/>
                <w:color w:val="FFFFFF"/>
                <w:sz w:val="22"/>
                <w:szCs w:val="22"/>
                <w:lang w:val="en-GB"/>
              </w:rPr>
            </w:pPr>
            <w:r w:rsidRPr="00873F50">
              <w:rPr>
                <w:rFonts w:ascii="Arial" w:hAnsi="Arial" w:cs="Arial"/>
                <w:b/>
                <w:bCs/>
                <w:color w:val="FFFFFF"/>
                <w:sz w:val="22"/>
                <w:szCs w:val="22"/>
                <w:lang w:val="en-GB"/>
              </w:rPr>
              <w:t>Name</w:t>
            </w:r>
          </w:p>
        </w:tc>
        <w:tc>
          <w:tcPr>
            <w:tcW w:w="3474" w:type="pct"/>
            <w:tcBorders>
              <w:top w:val="double" w:sz="4" w:space="0" w:color="auto"/>
              <w:left w:val="nil"/>
              <w:bottom w:val="single" w:sz="6" w:space="0" w:color="auto"/>
            </w:tcBorders>
            <w:shd w:val="clear" w:color="auto" w:fill="4F81BD" w:themeFill="accent1"/>
            <w:noWrap/>
            <w:vAlign w:val="center"/>
            <w:hideMark/>
          </w:tcPr>
          <w:p w:rsidR="00507380" w:rsidRPr="00873F50" w:rsidRDefault="00507380" w:rsidP="00873F50">
            <w:pPr>
              <w:spacing w:before="0" w:after="0"/>
              <w:ind w:left="-108" w:firstLine="108"/>
              <w:jc w:val="center"/>
              <w:rPr>
                <w:rFonts w:ascii="Arial" w:hAnsi="Arial" w:cs="Arial"/>
                <w:b/>
                <w:bCs/>
                <w:color w:val="FFFFFF"/>
                <w:sz w:val="22"/>
                <w:szCs w:val="22"/>
                <w:lang w:val="en-GB"/>
              </w:rPr>
            </w:pPr>
            <w:r w:rsidRPr="00873F50">
              <w:rPr>
                <w:rFonts w:ascii="Arial" w:hAnsi="Arial" w:cs="Arial"/>
                <w:b/>
                <w:bCs/>
                <w:color w:val="FFFFFF"/>
                <w:sz w:val="22"/>
                <w:szCs w:val="22"/>
                <w:lang w:val="en-GB"/>
              </w:rPr>
              <w:t>Position</w:t>
            </w:r>
          </w:p>
        </w:tc>
      </w:tr>
      <w:tr w:rsidR="00507380" w:rsidRPr="00873F50" w:rsidTr="00873F50">
        <w:trPr>
          <w:trHeight w:val="306"/>
          <w:jc w:val="center"/>
        </w:trPr>
        <w:tc>
          <w:tcPr>
            <w:tcW w:w="5000" w:type="pct"/>
            <w:gridSpan w:val="2"/>
            <w:tcBorders>
              <w:top w:val="single" w:sz="6" w:space="0" w:color="auto"/>
            </w:tcBorders>
            <w:shd w:val="clear" w:color="auto" w:fill="DBE5F1" w:themeFill="accent1" w:themeFillTint="33"/>
            <w:noWrap/>
            <w:vAlign w:val="center"/>
            <w:hideMark/>
          </w:tcPr>
          <w:p w:rsidR="00507380" w:rsidRPr="00873F50" w:rsidRDefault="00507380" w:rsidP="00873F50">
            <w:pPr>
              <w:spacing w:before="0" w:after="0"/>
              <w:ind w:left="-108" w:firstLine="108"/>
              <w:jc w:val="center"/>
              <w:rPr>
                <w:rFonts w:ascii="Arial" w:hAnsi="Arial" w:cs="Arial"/>
                <w:b/>
                <w:bCs/>
                <w:color w:val="FFFFFF"/>
                <w:sz w:val="22"/>
                <w:szCs w:val="22"/>
                <w:lang w:val="en-GB"/>
              </w:rPr>
            </w:pPr>
            <w:r w:rsidRPr="00873F50">
              <w:rPr>
                <w:rFonts w:ascii="Arial" w:hAnsi="Arial" w:cs="Arial"/>
                <w:b/>
                <w:sz w:val="22"/>
                <w:szCs w:val="22"/>
              </w:rPr>
              <w:t xml:space="preserve">Brussels / Palestine March 2013: Inception Mission </w:t>
            </w:r>
          </w:p>
        </w:tc>
      </w:tr>
      <w:tr w:rsidR="00507380" w:rsidRPr="00873F50" w:rsidTr="00873F50">
        <w:trPr>
          <w:trHeight w:val="363"/>
          <w:jc w:val="center"/>
        </w:trPr>
        <w:tc>
          <w:tcPr>
            <w:tcW w:w="1526" w:type="pct"/>
            <w:shd w:val="clear" w:color="auto" w:fill="FFFFFF" w:themeFill="background1"/>
            <w:vAlign w:val="center"/>
            <w:hideMark/>
          </w:tcPr>
          <w:p w:rsidR="00507380" w:rsidRPr="00873F50" w:rsidRDefault="00507380" w:rsidP="00873F50">
            <w:pPr>
              <w:spacing w:before="0" w:after="0"/>
              <w:rPr>
                <w:rFonts w:ascii="Arial" w:hAnsi="Arial" w:cs="Arial"/>
                <w:color w:val="000000"/>
                <w:sz w:val="22"/>
                <w:szCs w:val="22"/>
              </w:rPr>
            </w:pPr>
            <w:r w:rsidRPr="00873F50">
              <w:rPr>
                <w:rFonts w:ascii="Arial" w:hAnsi="Arial" w:cs="Arial"/>
                <w:sz w:val="22"/>
                <w:szCs w:val="22"/>
              </w:rPr>
              <w:t xml:space="preserve">Dr. Mohamed </w:t>
            </w:r>
            <w:proofErr w:type="spellStart"/>
            <w:r w:rsidRPr="00873F50">
              <w:rPr>
                <w:rFonts w:ascii="Arial" w:hAnsi="Arial" w:cs="Arial"/>
                <w:sz w:val="22"/>
                <w:szCs w:val="22"/>
              </w:rPr>
              <w:t>Shtayia</w:t>
            </w:r>
            <w:proofErr w:type="spellEnd"/>
            <w:r w:rsidRPr="00873F50">
              <w:rPr>
                <w:rFonts w:ascii="Arial" w:hAnsi="Arial" w:cs="Arial"/>
                <w:sz w:val="22"/>
                <w:szCs w:val="22"/>
              </w:rPr>
              <w:t xml:space="preserve">, </w:t>
            </w:r>
          </w:p>
        </w:tc>
        <w:tc>
          <w:tcPr>
            <w:tcW w:w="3474" w:type="pct"/>
            <w:shd w:val="clear" w:color="auto" w:fill="FFFFFF" w:themeFill="background1"/>
            <w:vAlign w:val="center"/>
            <w:hideMark/>
          </w:tcPr>
          <w:p w:rsidR="00507380" w:rsidRPr="00873F50" w:rsidRDefault="00507380" w:rsidP="00873F50">
            <w:pPr>
              <w:spacing w:before="0" w:after="0"/>
              <w:jc w:val="left"/>
              <w:rPr>
                <w:rFonts w:ascii="Arial" w:hAnsi="Arial" w:cs="Arial"/>
                <w:i/>
                <w:iCs/>
                <w:color w:val="000000"/>
                <w:sz w:val="22"/>
                <w:szCs w:val="22"/>
                <w:lang w:val="en-GB"/>
              </w:rPr>
            </w:pPr>
            <w:r w:rsidRPr="00873F50">
              <w:rPr>
                <w:rFonts w:ascii="Arial" w:hAnsi="Arial" w:cs="Arial"/>
                <w:sz w:val="22"/>
                <w:szCs w:val="22"/>
              </w:rPr>
              <w:t>Director of PECDR</w:t>
            </w:r>
          </w:p>
        </w:tc>
      </w:tr>
      <w:tr w:rsidR="00507380" w:rsidRPr="00873F50" w:rsidTr="00873F50">
        <w:trPr>
          <w:trHeight w:val="363"/>
          <w:jc w:val="center"/>
        </w:trPr>
        <w:tc>
          <w:tcPr>
            <w:tcW w:w="1526" w:type="pct"/>
            <w:shd w:val="clear" w:color="auto" w:fill="FFFFFF" w:themeFill="background1"/>
            <w:vAlign w:val="center"/>
            <w:hideMark/>
          </w:tcPr>
          <w:p w:rsidR="00507380" w:rsidRPr="00873F50" w:rsidRDefault="00507380" w:rsidP="00873F50">
            <w:pPr>
              <w:spacing w:before="0" w:after="0"/>
              <w:rPr>
                <w:rFonts w:ascii="Arial" w:hAnsi="Arial" w:cs="Arial"/>
                <w:color w:val="000000"/>
                <w:sz w:val="22"/>
                <w:szCs w:val="22"/>
              </w:rPr>
            </w:pPr>
            <w:r w:rsidRPr="00873F50">
              <w:rPr>
                <w:rFonts w:ascii="Arial" w:hAnsi="Arial" w:cs="Arial"/>
                <w:sz w:val="22"/>
                <w:szCs w:val="22"/>
              </w:rPr>
              <w:t xml:space="preserve">Dr. </w:t>
            </w:r>
            <w:proofErr w:type="spellStart"/>
            <w:r w:rsidRPr="00873F50">
              <w:rPr>
                <w:rFonts w:ascii="Arial" w:hAnsi="Arial" w:cs="Arial"/>
                <w:sz w:val="22"/>
                <w:szCs w:val="22"/>
              </w:rPr>
              <w:t>Samir</w:t>
            </w:r>
            <w:proofErr w:type="spellEnd"/>
            <w:r w:rsidRPr="00873F50">
              <w:rPr>
                <w:rFonts w:ascii="Arial" w:hAnsi="Arial" w:cs="Arial"/>
                <w:sz w:val="22"/>
                <w:szCs w:val="22"/>
              </w:rPr>
              <w:t xml:space="preserve"> Abdulla, </w:t>
            </w:r>
          </w:p>
        </w:tc>
        <w:tc>
          <w:tcPr>
            <w:tcW w:w="3474" w:type="pct"/>
            <w:shd w:val="clear" w:color="auto" w:fill="FFFFFF" w:themeFill="background1"/>
            <w:vAlign w:val="center"/>
            <w:hideMark/>
          </w:tcPr>
          <w:p w:rsidR="00507380" w:rsidRPr="00873F50" w:rsidRDefault="00507380" w:rsidP="00873F50">
            <w:pPr>
              <w:spacing w:before="0" w:after="0"/>
              <w:jc w:val="left"/>
              <w:rPr>
                <w:rFonts w:ascii="Arial" w:hAnsi="Arial" w:cs="Arial"/>
                <w:color w:val="000000"/>
                <w:sz w:val="22"/>
                <w:szCs w:val="22"/>
                <w:lang w:val="en-GB"/>
              </w:rPr>
            </w:pPr>
            <w:r w:rsidRPr="00873F50">
              <w:rPr>
                <w:rFonts w:ascii="Arial" w:hAnsi="Arial" w:cs="Arial"/>
                <w:sz w:val="22"/>
                <w:szCs w:val="22"/>
              </w:rPr>
              <w:t>Director of MAS institute for economic research and policies</w:t>
            </w:r>
          </w:p>
        </w:tc>
      </w:tr>
      <w:tr w:rsidR="00507380" w:rsidRPr="00873F50" w:rsidTr="00873F50">
        <w:trPr>
          <w:trHeight w:val="363"/>
          <w:jc w:val="center"/>
        </w:trPr>
        <w:tc>
          <w:tcPr>
            <w:tcW w:w="1526" w:type="pct"/>
            <w:shd w:val="clear" w:color="auto" w:fill="FFFFFF" w:themeFill="background1"/>
            <w:vAlign w:val="center"/>
            <w:hideMark/>
          </w:tcPr>
          <w:p w:rsidR="00507380" w:rsidRPr="00873F50" w:rsidRDefault="00507380" w:rsidP="00873F50">
            <w:pPr>
              <w:spacing w:before="0" w:after="0"/>
              <w:rPr>
                <w:rFonts w:ascii="Arial" w:hAnsi="Arial" w:cs="Arial"/>
                <w:color w:val="000000"/>
                <w:sz w:val="22"/>
                <w:szCs w:val="22"/>
              </w:rPr>
            </w:pPr>
            <w:r w:rsidRPr="00873F50">
              <w:rPr>
                <w:rFonts w:ascii="Arial" w:hAnsi="Arial" w:cs="Arial"/>
                <w:sz w:val="22"/>
                <w:szCs w:val="22"/>
              </w:rPr>
              <w:t xml:space="preserve">Dr. Mohamed Mustafa, </w:t>
            </w:r>
          </w:p>
        </w:tc>
        <w:tc>
          <w:tcPr>
            <w:tcW w:w="3474" w:type="pct"/>
            <w:shd w:val="clear" w:color="auto" w:fill="FFFFFF" w:themeFill="background1"/>
            <w:vAlign w:val="center"/>
            <w:hideMark/>
          </w:tcPr>
          <w:p w:rsidR="00507380" w:rsidRPr="00873F50" w:rsidRDefault="00507380" w:rsidP="00873F50">
            <w:pPr>
              <w:spacing w:before="0" w:after="0"/>
              <w:jc w:val="left"/>
              <w:rPr>
                <w:rFonts w:ascii="Arial" w:hAnsi="Arial" w:cs="Arial"/>
                <w:color w:val="000000"/>
                <w:sz w:val="22"/>
                <w:szCs w:val="22"/>
                <w:lang w:val="en-GB"/>
              </w:rPr>
            </w:pPr>
            <w:r w:rsidRPr="00873F50">
              <w:rPr>
                <w:rFonts w:ascii="Arial" w:hAnsi="Arial" w:cs="Arial"/>
                <w:sz w:val="22"/>
                <w:szCs w:val="22"/>
              </w:rPr>
              <w:t>Head of board and director of Palestinian investment fund, PIF</w:t>
            </w:r>
          </w:p>
        </w:tc>
      </w:tr>
      <w:tr w:rsidR="00507380" w:rsidRPr="00873F50" w:rsidTr="00873F50">
        <w:trPr>
          <w:trHeight w:val="363"/>
          <w:jc w:val="center"/>
        </w:trPr>
        <w:tc>
          <w:tcPr>
            <w:tcW w:w="1526" w:type="pct"/>
            <w:shd w:val="clear" w:color="auto" w:fill="FFFFFF" w:themeFill="background1"/>
            <w:vAlign w:val="center"/>
            <w:hideMark/>
          </w:tcPr>
          <w:p w:rsidR="00507380" w:rsidRPr="00873F50" w:rsidRDefault="00507380" w:rsidP="00873F50">
            <w:pPr>
              <w:spacing w:before="0" w:after="0"/>
              <w:rPr>
                <w:rFonts w:ascii="Arial" w:hAnsi="Arial" w:cs="Arial"/>
                <w:color w:val="000000"/>
                <w:sz w:val="22"/>
                <w:szCs w:val="22"/>
              </w:rPr>
            </w:pPr>
            <w:r w:rsidRPr="00873F50">
              <w:rPr>
                <w:rFonts w:ascii="Arial" w:hAnsi="Arial" w:cs="Arial"/>
                <w:sz w:val="22"/>
                <w:szCs w:val="22"/>
              </w:rPr>
              <w:t xml:space="preserve">Dr. </w:t>
            </w:r>
            <w:proofErr w:type="spellStart"/>
            <w:r w:rsidRPr="00873F50">
              <w:rPr>
                <w:rFonts w:ascii="Arial" w:hAnsi="Arial" w:cs="Arial"/>
                <w:sz w:val="22"/>
                <w:szCs w:val="22"/>
              </w:rPr>
              <w:t>Nabil</w:t>
            </w:r>
            <w:proofErr w:type="spellEnd"/>
            <w:r w:rsidRPr="00873F50">
              <w:rPr>
                <w:rFonts w:ascii="Arial" w:hAnsi="Arial" w:cs="Arial"/>
                <w:sz w:val="22"/>
                <w:szCs w:val="22"/>
              </w:rPr>
              <w:t xml:space="preserve"> </w:t>
            </w:r>
            <w:proofErr w:type="spellStart"/>
            <w:r w:rsidRPr="00873F50">
              <w:rPr>
                <w:rFonts w:ascii="Arial" w:hAnsi="Arial" w:cs="Arial"/>
                <w:sz w:val="22"/>
                <w:szCs w:val="22"/>
              </w:rPr>
              <w:t>Qesis</w:t>
            </w:r>
            <w:proofErr w:type="spellEnd"/>
            <w:r w:rsidRPr="00873F50">
              <w:rPr>
                <w:rFonts w:ascii="Arial" w:hAnsi="Arial" w:cs="Arial"/>
                <w:sz w:val="22"/>
                <w:szCs w:val="22"/>
              </w:rPr>
              <w:t xml:space="preserve">, </w:t>
            </w:r>
          </w:p>
        </w:tc>
        <w:tc>
          <w:tcPr>
            <w:tcW w:w="3474" w:type="pct"/>
            <w:shd w:val="clear" w:color="auto" w:fill="FFFFFF" w:themeFill="background1"/>
            <w:vAlign w:val="center"/>
            <w:hideMark/>
          </w:tcPr>
          <w:p w:rsidR="00507380" w:rsidRPr="00873F50" w:rsidRDefault="00507380" w:rsidP="00873F50">
            <w:pPr>
              <w:spacing w:before="0" w:after="0"/>
              <w:jc w:val="left"/>
              <w:rPr>
                <w:rFonts w:ascii="Arial" w:hAnsi="Arial" w:cs="Arial"/>
                <w:color w:val="000000"/>
                <w:sz w:val="22"/>
                <w:szCs w:val="22"/>
                <w:lang w:val="en-GB"/>
              </w:rPr>
            </w:pPr>
            <w:r w:rsidRPr="00873F50">
              <w:rPr>
                <w:rFonts w:ascii="Arial" w:hAnsi="Arial" w:cs="Arial"/>
                <w:sz w:val="22"/>
                <w:szCs w:val="22"/>
              </w:rPr>
              <w:t>Ministry of finance.</w:t>
            </w:r>
          </w:p>
        </w:tc>
      </w:tr>
      <w:tr w:rsidR="00507380" w:rsidRPr="00873F50" w:rsidTr="00873F50">
        <w:trPr>
          <w:trHeight w:val="363"/>
          <w:jc w:val="center"/>
        </w:trPr>
        <w:tc>
          <w:tcPr>
            <w:tcW w:w="1526" w:type="pct"/>
            <w:shd w:val="clear" w:color="auto" w:fill="FFFFFF" w:themeFill="background1"/>
            <w:vAlign w:val="center"/>
            <w:hideMark/>
          </w:tcPr>
          <w:p w:rsidR="00507380" w:rsidRPr="00873F50" w:rsidRDefault="00507380" w:rsidP="00873F50">
            <w:pPr>
              <w:spacing w:before="0" w:after="0"/>
              <w:rPr>
                <w:rFonts w:ascii="Arial" w:hAnsi="Arial" w:cs="Arial"/>
                <w:b/>
                <w:sz w:val="22"/>
                <w:szCs w:val="22"/>
              </w:rPr>
            </w:pPr>
            <w:r w:rsidRPr="00873F50">
              <w:rPr>
                <w:rFonts w:ascii="Arial" w:hAnsi="Arial" w:cs="Arial"/>
                <w:sz w:val="22"/>
                <w:szCs w:val="22"/>
              </w:rPr>
              <w:t xml:space="preserve">Mr. </w:t>
            </w:r>
            <w:proofErr w:type="spellStart"/>
            <w:r w:rsidRPr="00873F50">
              <w:rPr>
                <w:rFonts w:ascii="Arial" w:hAnsi="Arial" w:cs="Arial"/>
                <w:sz w:val="22"/>
                <w:szCs w:val="22"/>
              </w:rPr>
              <w:t>Samir</w:t>
            </w:r>
            <w:proofErr w:type="spellEnd"/>
            <w:r w:rsidRPr="00873F50">
              <w:rPr>
                <w:rFonts w:ascii="Arial" w:hAnsi="Arial" w:cs="Arial"/>
                <w:sz w:val="22"/>
                <w:szCs w:val="22"/>
              </w:rPr>
              <w:t xml:space="preserve"> </w:t>
            </w:r>
            <w:proofErr w:type="spellStart"/>
            <w:r w:rsidRPr="00873F50">
              <w:rPr>
                <w:rFonts w:ascii="Arial" w:hAnsi="Arial" w:cs="Arial"/>
                <w:sz w:val="22"/>
                <w:szCs w:val="22"/>
              </w:rPr>
              <w:t>Huleila</w:t>
            </w:r>
            <w:proofErr w:type="spellEnd"/>
            <w:r w:rsidRPr="00873F50">
              <w:rPr>
                <w:rFonts w:ascii="Arial" w:hAnsi="Arial" w:cs="Arial"/>
                <w:sz w:val="22"/>
                <w:szCs w:val="22"/>
              </w:rPr>
              <w:t xml:space="preserve">, </w:t>
            </w:r>
          </w:p>
        </w:tc>
        <w:tc>
          <w:tcPr>
            <w:tcW w:w="3474" w:type="pct"/>
            <w:shd w:val="clear" w:color="auto" w:fill="FFFFFF" w:themeFill="background1"/>
            <w:vAlign w:val="center"/>
            <w:hideMark/>
          </w:tcPr>
          <w:p w:rsidR="00507380" w:rsidRPr="00873F50" w:rsidRDefault="00507380" w:rsidP="00873F50">
            <w:pPr>
              <w:spacing w:before="0" w:after="0"/>
              <w:jc w:val="left"/>
              <w:rPr>
                <w:rFonts w:ascii="Arial" w:hAnsi="Arial" w:cs="Arial"/>
                <w:sz w:val="22"/>
                <w:szCs w:val="22"/>
                <w:lang w:val="en-GB"/>
              </w:rPr>
            </w:pPr>
            <w:r w:rsidRPr="00873F50">
              <w:rPr>
                <w:rFonts w:ascii="Arial" w:hAnsi="Arial" w:cs="Arial"/>
                <w:sz w:val="22"/>
                <w:szCs w:val="22"/>
              </w:rPr>
              <w:t>Director PADICO</w:t>
            </w:r>
          </w:p>
        </w:tc>
      </w:tr>
      <w:tr w:rsidR="00507380" w:rsidRPr="00873F50" w:rsidTr="00873F50">
        <w:trPr>
          <w:trHeight w:val="363"/>
          <w:jc w:val="center"/>
        </w:trPr>
        <w:tc>
          <w:tcPr>
            <w:tcW w:w="1526" w:type="pct"/>
            <w:shd w:val="clear" w:color="auto" w:fill="FFFFFF" w:themeFill="background1"/>
            <w:vAlign w:val="center"/>
            <w:hideMark/>
          </w:tcPr>
          <w:p w:rsidR="00507380" w:rsidRPr="00873F50" w:rsidRDefault="00507380" w:rsidP="00873F50">
            <w:pPr>
              <w:spacing w:before="0" w:after="0"/>
              <w:jc w:val="left"/>
              <w:rPr>
                <w:rFonts w:ascii="Arial" w:hAnsi="Arial" w:cs="Arial"/>
                <w:color w:val="000000"/>
                <w:sz w:val="22"/>
                <w:szCs w:val="22"/>
                <w:lang w:val="en-GB"/>
              </w:rPr>
            </w:pPr>
            <w:r w:rsidRPr="00873F50">
              <w:rPr>
                <w:rFonts w:ascii="Arial" w:hAnsi="Arial" w:cs="Arial"/>
                <w:sz w:val="22"/>
                <w:szCs w:val="22"/>
              </w:rPr>
              <w:t xml:space="preserve">Mr. </w:t>
            </w:r>
            <w:proofErr w:type="spellStart"/>
            <w:r w:rsidRPr="00873F50">
              <w:rPr>
                <w:rFonts w:ascii="Arial" w:hAnsi="Arial" w:cs="Arial"/>
                <w:sz w:val="22"/>
                <w:szCs w:val="22"/>
              </w:rPr>
              <w:t>Nabil</w:t>
            </w:r>
            <w:proofErr w:type="spellEnd"/>
            <w:r w:rsidRPr="00873F50">
              <w:rPr>
                <w:rFonts w:ascii="Arial" w:hAnsi="Arial" w:cs="Arial"/>
                <w:sz w:val="22"/>
                <w:szCs w:val="22"/>
              </w:rPr>
              <w:t xml:space="preserve"> </w:t>
            </w:r>
            <w:proofErr w:type="spellStart"/>
            <w:r w:rsidRPr="00873F50">
              <w:rPr>
                <w:rFonts w:ascii="Arial" w:hAnsi="Arial" w:cs="Arial"/>
                <w:sz w:val="22"/>
                <w:szCs w:val="22"/>
              </w:rPr>
              <w:t>Kassis</w:t>
            </w:r>
            <w:proofErr w:type="spellEnd"/>
          </w:p>
        </w:tc>
        <w:tc>
          <w:tcPr>
            <w:tcW w:w="3474" w:type="pct"/>
            <w:shd w:val="clear" w:color="auto" w:fill="FFFFFF" w:themeFill="background1"/>
            <w:vAlign w:val="center"/>
            <w:hideMark/>
          </w:tcPr>
          <w:p w:rsidR="00507380" w:rsidRPr="00873F50" w:rsidRDefault="00507380" w:rsidP="00873F50">
            <w:pPr>
              <w:spacing w:before="0" w:after="0"/>
              <w:jc w:val="left"/>
              <w:rPr>
                <w:rFonts w:ascii="Arial" w:hAnsi="Arial" w:cs="Arial"/>
                <w:color w:val="000000"/>
                <w:sz w:val="22"/>
                <w:szCs w:val="22"/>
                <w:lang w:val="en-GB"/>
              </w:rPr>
            </w:pPr>
            <w:r w:rsidRPr="00873F50">
              <w:rPr>
                <w:rFonts w:ascii="Arial" w:hAnsi="Arial" w:cs="Arial"/>
                <w:sz w:val="22"/>
                <w:szCs w:val="22"/>
              </w:rPr>
              <w:t>Former Minister of Finance of Palestine</w:t>
            </w:r>
          </w:p>
        </w:tc>
      </w:tr>
      <w:tr w:rsidR="00507380" w:rsidRPr="00873F50" w:rsidTr="00873F50">
        <w:trPr>
          <w:trHeight w:val="363"/>
          <w:jc w:val="center"/>
        </w:trPr>
        <w:tc>
          <w:tcPr>
            <w:tcW w:w="1526" w:type="pct"/>
            <w:shd w:val="clear" w:color="auto" w:fill="FFFFFF" w:themeFill="background1"/>
            <w:vAlign w:val="center"/>
            <w:hideMark/>
          </w:tcPr>
          <w:p w:rsidR="00507380" w:rsidRPr="00873F50" w:rsidRDefault="00507380" w:rsidP="00873F50">
            <w:pPr>
              <w:spacing w:before="0" w:after="0"/>
              <w:rPr>
                <w:rFonts w:ascii="Arial" w:hAnsi="Arial" w:cs="Arial"/>
                <w:color w:val="000000"/>
                <w:sz w:val="22"/>
                <w:szCs w:val="22"/>
                <w:lang w:val="en-GB"/>
              </w:rPr>
            </w:pPr>
            <w:r w:rsidRPr="00873F50">
              <w:rPr>
                <w:rFonts w:ascii="Arial" w:hAnsi="Arial" w:cs="Arial"/>
                <w:sz w:val="22"/>
                <w:szCs w:val="22"/>
              </w:rPr>
              <w:t>Mr. Christian Berger</w:t>
            </w:r>
          </w:p>
        </w:tc>
        <w:tc>
          <w:tcPr>
            <w:tcW w:w="3474" w:type="pct"/>
            <w:shd w:val="clear" w:color="auto" w:fill="FFFFFF" w:themeFill="background1"/>
            <w:vAlign w:val="center"/>
            <w:hideMark/>
          </w:tcPr>
          <w:p w:rsidR="00507380" w:rsidRPr="00873F50" w:rsidRDefault="00507380" w:rsidP="00873F50">
            <w:pPr>
              <w:spacing w:before="0" w:after="0"/>
              <w:jc w:val="left"/>
              <w:rPr>
                <w:rFonts w:ascii="Arial" w:hAnsi="Arial" w:cs="Arial"/>
                <w:color w:val="000000"/>
                <w:sz w:val="22"/>
                <w:szCs w:val="22"/>
                <w:lang w:val="en-GB"/>
              </w:rPr>
            </w:pPr>
            <w:r w:rsidRPr="00873F50">
              <w:rPr>
                <w:rFonts w:ascii="Arial" w:hAnsi="Arial" w:cs="Arial"/>
                <w:sz w:val="22"/>
                <w:szCs w:val="22"/>
              </w:rPr>
              <w:t>EEAS Director</w:t>
            </w:r>
          </w:p>
        </w:tc>
      </w:tr>
      <w:tr w:rsidR="00507380" w:rsidRPr="00873F50" w:rsidTr="00873F50">
        <w:trPr>
          <w:trHeight w:val="363"/>
          <w:jc w:val="center"/>
        </w:trPr>
        <w:tc>
          <w:tcPr>
            <w:tcW w:w="1526" w:type="pct"/>
            <w:shd w:val="clear" w:color="auto" w:fill="FFFFFF" w:themeFill="background1"/>
            <w:vAlign w:val="center"/>
            <w:hideMark/>
          </w:tcPr>
          <w:p w:rsidR="00507380" w:rsidRPr="00873F50" w:rsidRDefault="00507380" w:rsidP="00873F50">
            <w:pPr>
              <w:spacing w:before="0" w:after="0"/>
              <w:jc w:val="left"/>
              <w:rPr>
                <w:rFonts w:ascii="Arial" w:hAnsi="Arial" w:cs="Arial"/>
                <w:color w:val="000000"/>
                <w:sz w:val="22"/>
                <w:szCs w:val="22"/>
                <w:lang w:val="en-GB"/>
              </w:rPr>
            </w:pPr>
            <w:r w:rsidRPr="00873F50">
              <w:rPr>
                <w:rFonts w:ascii="Arial" w:hAnsi="Arial" w:cs="Arial"/>
                <w:sz w:val="22"/>
                <w:szCs w:val="22"/>
              </w:rPr>
              <w:t xml:space="preserve">Dr. Mohammed </w:t>
            </w:r>
            <w:proofErr w:type="spellStart"/>
            <w:r w:rsidRPr="00873F50">
              <w:rPr>
                <w:rFonts w:ascii="Arial" w:hAnsi="Arial" w:cs="Arial"/>
                <w:sz w:val="22"/>
                <w:szCs w:val="22"/>
              </w:rPr>
              <w:t>Shtayyeh</w:t>
            </w:r>
            <w:proofErr w:type="spellEnd"/>
          </w:p>
        </w:tc>
        <w:tc>
          <w:tcPr>
            <w:tcW w:w="3474" w:type="pct"/>
            <w:shd w:val="clear" w:color="auto" w:fill="FFFFFF" w:themeFill="background1"/>
            <w:vAlign w:val="center"/>
            <w:hideMark/>
          </w:tcPr>
          <w:p w:rsidR="00507380" w:rsidRPr="00873F50" w:rsidRDefault="00507380" w:rsidP="00873F50">
            <w:pPr>
              <w:pStyle w:val="name"/>
              <w:spacing w:before="0" w:beforeAutospacing="0" w:after="0" w:afterAutospacing="0"/>
              <w:rPr>
                <w:rFonts w:ascii="Arial" w:hAnsi="Arial" w:cs="Arial"/>
                <w:color w:val="000000"/>
                <w:sz w:val="22"/>
                <w:szCs w:val="22"/>
                <w:lang w:val="en-GB"/>
              </w:rPr>
            </w:pPr>
            <w:r w:rsidRPr="00873F50">
              <w:rPr>
                <w:rFonts w:ascii="Arial" w:hAnsi="Arial" w:cs="Arial"/>
                <w:color w:val="000000" w:themeColor="text1"/>
                <w:sz w:val="22"/>
                <w:szCs w:val="22"/>
                <w:lang w:val="en-US" w:eastAsia="en-US"/>
              </w:rPr>
              <w:t>Minister Palestinian Economic Council for Development and Reconstruction  (PECDAR) and PLO</w:t>
            </w:r>
          </w:p>
        </w:tc>
      </w:tr>
      <w:tr w:rsidR="00507380" w:rsidRPr="00873F50" w:rsidTr="00873F50">
        <w:trPr>
          <w:trHeight w:val="475"/>
          <w:jc w:val="center"/>
        </w:trPr>
        <w:tc>
          <w:tcPr>
            <w:tcW w:w="1526" w:type="pct"/>
            <w:shd w:val="clear" w:color="auto" w:fill="FFFFFF" w:themeFill="background1"/>
            <w:vAlign w:val="center"/>
            <w:hideMark/>
          </w:tcPr>
          <w:p w:rsidR="00507380" w:rsidRPr="00873F50" w:rsidRDefault="00507380" w:rsidP="00873F50">
            <w:pPr>
              <w:spacing w:before="0" w:after="0"/>
              <w:rPr>
                <w:rFonts w:ascii="Arial" w:hAnsi="Arial" w:cs="Arial"/>
                <w:color w:val="000000"/>
                <w:sz w:val="22"/>
                <w:szCs w:val="22"/>
                <w:lang w:val="en-GB"/>
              </w:rPr>
            </w:pPr>
            <w:r w:rsidRPr="00873F50">
              <w:rPr>
                <w:rFonts w:ascii="Arial" w:hAnsi="Arial" w:cs="Arial"/>
                <w:sz w:val="22"/>
                <w:szCs w:val="22"/>
              </w:rPr>
              <w:t>Dr. Mohammed Mustafa</w:t>
            </w:r>
          </w:p>
        </w:tc>
        <w:tc>
          <w:tcPr>
            <w:tcW w:w="3474" w:type="pct"/>
            <w:shd w:val="clear" w:color="auto" w:fill="FFFFFF" w:themeFill="background1"/>
            <w:vAlign w:val="center"/>
            <w:hideMark/>
          </w:tcPr>
          <w:p w:rsidR="00507380" w:rsidRPr="00873F50" w:rsidRDefault="00507380" w:rsidP="00873F50">
            <w:pPr>
              <w:spacing w:before="0" w:after="0"/>
              <w:jc w:val="left"/>
              <w:rPr>
                <w:rFonts w:ascii="Arial" w:hAnsi="Arial" w:cs="Arial"/>
                <w:color w:val="000000"/>
                <w:sz w:val="22"/>
                <w:szCs w:val="22"/>
                <w:lang w:val="en-GB"/>
              </w:rPr>
            </w:pPr>
            <w:r w:rsidRPr="00873F50">
              <w:rPr>
                <w:rFonts w:ascii="Arial" w:hAnsi="Arial" w:cs="Arial"/>
                <w:sz w:val="22"/>
                <w:szCs w:val="22"/>
              </w:rPr>
              <w:t xml:space="preserve">Chief Executive Officer of the Palestine Investment Fund (PIF) </w:t>
            </w:r>
          </w:p>
        </w:tc>
      </w:tr>
      <w:tr w:rsidR="00507380" w:rsidRPr="00873F50" w:rsidTr="00873F50">
        <w:trPr>
          <w:trHeight w:val="363"/>
          <w:jc w:val="center"/>
        </w:trPr>
        <w:tc>
          <w:tcPr>
            <w:tcW w:w="1526" w:type="pct"/>
            <w:shd w:val="clear" w:color="auto" w:fill="FFFFFF" w:themeFill="background1"/>
            <w:vAlign w:val="center"/>
            <w:hideMark/>
          </w:tcPr>
          <w:p w:rsidR="00507380" w:rsidRPr="00873F50" w:rsidRDefault="00507380" w:rsidP="00873F50">
            <w:pPr>
              <w:spacing w:before="0" w:after="0"/>
              <w:jc w:val="left"/>
              <w:rPr>
                <w:rFonts w:ascii="Arial" w:hAnsi="Arial" w:cs="Arial"/>
                <w:color w:val="000000"/>
                <w:sz w:val="22"/>
                <w:szCs w:val="22"/>
                <w:lang w:val="en-GB"/>
              </w:rPr>
            </w:pPr>
            <w:r w:rsidRPr="00873F50">
              <w:rPr>
                <w:rFonts w:ascii="Arial" w:hAnsi="Arial" w:cs="Arial"/>
                <w:sz w:val="22"/>
                <w:szCs w:val="22"/>
              </w:rPr>
              <w:t xml:space="preserve">Dr. </w:t>
            </w:r>
            <w:proofErr w:type="spellStart"/>
            <w:r w:rsidRPr="00873F50">
              <w:rPr>
                <w:rFonts w:ascii="Arial" w:hAnsi="Arial" w:cs="Arial"/>
                <w:sz w:val="22"/>
                <w:szCs w:val="22"/>
              </w:rPr>
              <w:t>Firas</w:t>
            </w:r>
            <w:proofErr w:type="spellEnd"/>
            <w:r w:rsidRPr="00873F50">
              <w:rPr>
                <w:rFonts w:ascii="Arial" w:hAnsi="Arial" w:cs="Arial"/>
                <w:sz w:val="22"/>
                <w:szCs w:val="22"/>
              </w:rPr>
              <w:t xml:space="preserve"> </w:t>
            </w:r>
            <w:proofErr w:type="spellStart"/>
            <w:r w:rsidRPr="00873F50">
              <w:rPr>
                <w:rFonts w:ascii="Arial" w:hAnsi="Arial" w:cs="Arial"/>
                <w:sz w:val="22"/>
                <w:szCs w:val="22"/>
              </w:rPr>
              <w:t>Raad</w:t>
            </w:r>
            <w:proofErr w:type="spellEnd"/>
          </w:p>
        </w:tc>
        <w:tc>
          <w:tcPr>
            <w:tcW w:w="3474" w:type="pct"/>
            <w:shd w:val="clear" w:color="auto" w:fill="FFFFFF" w:themeFill="background1"/>
            <w:vAlign w:val="center"/>
            <w:hideMark/>
          </w:tcPr>
          <w:p w:rsidR="00507380" w:rsidRPr="00873F50" w:rsidRDefault="00507380" w:rsidP="00873F50">
            <w:pPr>
              <w:spacing w:before="0" w:after="0"/>
              <w:jc w:val="left"/>
              <w:rPr>
                <w:rFonts w:ascii="Arial" w:hAnsi="Arial" w:cs="Arial"/>
                <w:color w:val="000000"/>
                <w:sz w:val="22"/>
                <w:szCs w:val="22"/>
                <w:lang w:val="en-GB"/>
              </w:rPr>
            </w:pPr>
            <w:r w:rsidRPr="00873F50">
              <w:rPr>
                <w:rFonts w:ascii="Arial" w:hAnsi="Arial" w:cs="Arial"/>
                <w:sz w:val="22"/>
                <w:szCs w:val="22"/>
              </w:rPr>
              <w:t>OQR, Head of Mission and seconded by the World Bank</w:t>
            </w:r>
          </w:p>
        </w:tc>
      </w:tr>
    </w:tbl>
    <w:p w:rsidR="00507380" w:rsidRDefault="00507380" w:rsidP="00A574EB">
      <w:pPr>
        <w:jc w:val="center"/>
        <w:rPr>
          <w:rFonts w:ascii="Times New Roman" w:hAnsi="Times New Roman"/>
          <w:b/>
          <w:caps/>
          <w:color w:val="FFFFFF" w:themeColor="background1"/>
          <w:spacing w:val="20"/>
          <w:kern w:val="28"/>
          <w:sz w:val="28"/>
          <w:szCs w:val="28"/>
          <w:lang w:eastAsia="pl-PL"/>
        </w:rPr>
      </w:pPr>
    </w:p>
    <w:p w:rsidR="004D3D6D" w:rsidRPr="00873F50" w:rsidRDefault="00507380" w:rsidP="00873F50">
      <w:pPr>
        <w:spacing w:before="0" w:after="0"/>
        <w:jc w:val="center"/>
        <w:rPr>
          <w:rFonts w:ascii="Arial" w:hAnsi="Arial" w:cs="Arial"/>
          <w:b/>
          <w:caps/>
          <w:color w:val="1F497D" w:themeColor="text2"/>
          <w:spacing w:val="20"/>
          <w:kern w:val="28"/>
          <w:sz w:val="24"/>
          <w:szCs w:val="24"/>
          <w:lang w:eastAsia="pl-PL"/>
        </w:rPr>
      </w:pPr>
      <w:r w:rsidRPr="00873F50">
        <w:rPr>
          <w:rFonts w:ascii="Arial" w:hAnsi="Arial" w:cs="Arial"/>
          <w:b/>
          <w:caps/>
          <w:color w:val="1F497D" w:themeColor="text2"/>
          <w:spacing w:val="20"/>
          <w:kern w:val="28"/>
          <w:sz w:val="24"/>
          <w:szCs w:val="24"/>
          <w:lang w:eastAsia="pl-PL"/>
        </w:rPr>
        <w:t>list of people met for desk phase</w:t>
      </w:r>
    </w:p>
    <w:tbl>
      <w:tblPr>
        <w:tblW w:w="5000" w:type="pct"/>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tblPr>
      <w:tblGrid>
        <w:gridCol w:w="1638"/>
        <w:gridCol w:w="457"/>
        <w:gridCol w:w="3542"/>
        <w:gridCol w:w="851"/>
        <w:gridCol w:w="3366"/>
      </w:tblGrid>
      <w:tr w:rsidR="00507380" w:rsidRPr="00873F50" w:rsidTr="00873F50">
        <w:trPr>
          <w:trHeight w:val="361"/>
          <w:jc w:val="center"/>
        </w:trPr>
        <w:tc>
          <w:tcPr>
            <w:tcW w:w="831" w:type="pct"/>
            <w:tcBorders>
              <w:top w:val="double" w:sz="4" w:space="0" w:color="auto"/>
              <w:bottom w:val="single" w:sz="6" w:space="0" w:color="auto"/>
              <w:right w:val="nil"/>
            </w:tcBorders>
            <w:shd w:val="clear" w:color="auto" w:fill="4F81BD" w:themeFill="accent1"/>
            <w:noWrap/>
            <w:vAlign w:val="center"/>
            <w:hideMark/>
          </w:tcPr>
          <w:p w:rsidR="00507380" w:rsidRPr="00873F50" w:rsidRDefault="00507380" w:rsidP="00873F50">
            <w:pPr>
              <w:spacing w:before="0" w:after="0"/>
              <w:ind w:left="-108" w:firstLine="108"/>
              <w:jc w:val="center"/>
              <w:rPr>
                <w:rFonts w:ascii="Arial" w:hAnsi="Arial" w:cs="Arial"/>
                <w:b/>
                <w:bCs/>
                <w:color w:val="FFFFFF"/>
                <w:sz w:val="22"/>
                <w:szCs w:val="22"/>
                <w:lang w:val="en-GB"/>
              </w:rPr>
            </w:pPr>
            <w:r w:rsidRPr="00873F50">
              <w:rPr>
                <w:rFonts w:ascii="Arial" w:hAnsi="Arial" w:cs="Arial"/>
                <w:b/>
                <w:bCs/>
                <w:color w:val="FFFFFF"/>
                <w:sz w:val="22"/>
                <w:szCs w:val="22"/>
                <w:lang w:val="en-GB"/>
              </w:rPr>
              <w:t>Name</w:t>
            </w:r>
          </w:p>
        </w:tc>
        <w:tc>
          <w:tcPr>
            <w:tcW w:w="2461" w:type="pct"/>
            <w:gridSpan w:val="3"/>
            <w:tcBorders>
              <w:top w:val="double" w:sz="4" w:space="0" w:color="auto"/>
              <w:left w:val="nil"/>
              <w:bottom w:val="single" w:sz="6" w:space="0" w:color="auto"/>
              <w:right w:val="nil"/>
            </w:tcBorders>
            <w:shd w:val="clear" w:color="auto" w:fill="4F81BD" w:themeFill="accent1"/>
            <w:noWrap/>
            <w:vAlign w:val="center"/>
            <w:hideMark/>
          </w:tcPr>
          <w:p w:rsidR="00507380" w:rsidRPr="00873F50" w:rsidRDefault="00507380" w:rsidP="00873F50">
            <w:pPr>
              <w:spacing w:before="0" w:after="0"/>
              <w:ind w:left="-108" w:firstLine="108"/>
              <w:jc w:val="center"/>
              <w:rPr>
                <w:rFonts w:ascii="Arial" w:hAnsi="Arial" w:cs="Arial"/>
                <w:b/>
                <w:bCs/>
                <w:color w:val="FFFFFF"/>
                <w:sz w:val="22"/>
                <w:szCs w:val="22"/>
                <w:lang w:val="en-GB"/>
              </w:rPr>
            </w:pPr>
            <w:r w:rsidRPr="00873F50">
              <w:rPr>
                <w:rFonts w:ascii="Arial" w:hAnsi="Arial" w:cs="Arial"/>
                <w:b/>
                <w:bCs/>
                <w:color w:val="FFFFFF"/>
                <w:sz w:val="22"/>
                <w:szCs w:val="22"/>
                <w:lang w:val="en-GB"/>
              </w:rPr>
              <w:t>Position</w:t>
            </w:r>
          </w:p>
        </w:tc>
        <w:tc>
          <w:tcPr>
            <w:tcW w:w="1708" w:type="pct"/>
            <w:tcBorders>
              <w:top w:val="double" w:sz="4" w:space="0" w:color="auto"/>
              <w:left w:val="nil"/>
              <w:bottom w:val="single" w:sz="6" w:space="0" w:color="auto"/>
            </w:tcBorders>
            <w:shd w:val="clear" w:color="auto" w:fill="4F81BD" w:themeFill="accent1"/>
            <w:vAlign w:val="center"/>
          </w:tcPr>
          <w:p w:rsidR="00507380" w:rsidRPr="00873F50" w:rsidRDefault="00507380" w:rsidP="00873F50">
            <w:pPr>
              <w:spacing w:before="0" w:after="0"/>
              <w:ind w:left="-108" w:firstLine="108"/>
              <w:jc w:val="center"/>
              <w:rPr>
                <w:rFonts w:ascii="Arial" w:hAnsi="Arial" w:cs="Arial"/>
                <w:b/>
                <w:bCs/>
                <w:color w:val="FFFFFF"/>
                <w:sz w:val="22"/>
                <w:szCs w:val="22"/>
                <w:lang w:val="en-GB"/>
              </w:rPr>
            </w:pPr>
            <w:r w:rsidRPr="00873F50">
              <w:rPr>
                <w:rFonts w:ascii="Arial" w:hAnsi="Arial" w:cs="Arial"/>
                <w:b/>
                <w:bCs/>
                <w:color w:val="FFFFFF"/>
                <w:sz w:val="22"/>
                <w:szCs w:val="22"/>
                <w:lang w:val="en-GB"/>
              </w:rPr>
              <w:t>Key topics</w:t>
            </w:r>
          </w:p>
        </w:tc>
      </w:tr>
      <w:tr w:rsidR="00507380" w:rsidRPr="00873F50" w:rsidTr="00873F50">
        <w:trPr>
          <w:trHeight w:val="363"/>
          <w:jc w:val="center"/>
        </w:trPr>
        <w:tc>
          <w:tcPr>
            <w:tcW w:w="5000" w:type="pct"/>
            <w:gridSpan w:val="5"/>
            <w:shd w:val="clear" w:color="auto" w:fill="DBE5F1" w:themeFill="accent1" w:themeFillTint="33"/>
            <w:vAlign w:val="center"/>
            <w:hideMark/>
          </w:tcPr>
          <w:p w:rsidR="00507380" w:rsidRPr="00873F50" w:rsidRDefault="00507380" w:rsidP="00873F50">
            <w:pPr>
              <w:spacing w:before="0" w:after="0"/>
              <w:jc w:val="center"/>
              <w:rPr>
                <w:rFonts w:ascii="Arial" w:hAnsi="Arial" w:cs="Arial"/>
                <w:b/>
                <w:sz w:val="22"/>
                <w:szCs w:val="22"/>
              </w:rPr>
            </w:pPr>
            <w:r w:rsidRPr="00873F50">
              <w:rPr>
                <w:rFonts w:ascii="Arial" w:hAnsi="Arial" w:cs="Arial"/>
                <w:b/>
                <w:sz w:val="22"/>
                <w:szCs w:val="22"/>
              </w:rPr>
              <w:t>Washington October 2013</w:t>
            </w:r>
          </w:p>
        </w:tc>
      </w:tr>
      <w:tr w:rsidR="00507380" w:rsidRPr="00873F50" w:rsidTr="00873F50">
        <w:trPr>
          <w:trHeight w:val="363"/>
          <w:jc w:val="center"/>
        </w:trPr>
        <w:tc>
          <w:tcPr>
            <w:tcW w:w="1063" w:type="pct"/>
            <w:gridSpan w:val="2"/>
            <w:shd w:val="clear" w:color="auto" w:fill="FFFFFF" w:themeFill="background1"/>
            <w:hideMark/>
          </w:tcPr>
          <w:p w:rsidR="00507380" w:rsidRPr="00873F50" w:rsidRDefault="00507380" w:rsidP="00873F50">
            <w:pPr>
              <w:spacing w:before="0" w:after="0"/>
              <w:rPr>
                <w:rFonts w:ascii="Arial" w:hAnsi="Arial" w:cs="Arial"/>
                <w:sz w:val="22"/>
                <w:szCs w:val="22"/>
              </w:rPr>
            </w:pPr>
            <w:r w:rsidRPr="00873F50">
              <w:rPr>
                <w:rFonts w:ascii="Arial" w:hAnsi="Arial" w:cs="Arial"/>
                <w:sz w:val="22"/>
                <w:szCs w:val="22"/>
              </w:rPr>
              <w:t xml:space="preserve">Nabila </w:t>
            </w:r>
            <w:proofErr w:type="spellStart"/>
            <w:r w:rsidRPr="00873F50">
              <w:rPr>
                <w:rFonts w:ascii="Arial" w:hAnsi="Arial" w:cs="Arial"/>
                <w:sz w:val="22"/>
                <w:szCs w:val="22"/>
              </w:rPr>
              <w:t>Assaf</w:t>
            </w:r>
            <w:proofErr w:type="spellEnd"/>
            <w:r w:rsidRPr="00873F50">
              <w:rPr>
                <w:rFonts w:ascii="Arial" w:hAnsi="Arial" w:cs="Arial"/>
                <w:sz w:val="22"/>
                <w:szCs w:val="22"/>
              </w:rPr>
              <w:t xml:space="preserve">, </w:t>
            </w:r>
          </w:p>
        </w:tc>
        <w:tc>
          <w:tcPr>
            <w:tcW w:w="1797" w:type="pct"/>
            <w:shd w:val="clear" w:color="auto" w:fill="FFFFFF" w:themeFill="background1"/>
          </w:tcPr>
          <w:p w:rsidR="00507380" w:rsidRPr="00873F50" w:rsidRDefault="00507380" w:rsidP="00873F50">
            <w:pPr>
              <w:spacing w:before="0" w:after="0"/>
              <w:jc w:val="left"/>
              <w:rPr>
                <w:rFonts w:ascii="Arial" w:hAnsi="Arial" w:cs="Arial"/>
                <w:sz w:val="22"/>
                <w:szCs w:val="22"/>
                <w:lang w:val="en-GB"/>
              </w:rPr>
            </w:pPr>
            <w:r w:rsidRPr="00873F50">
              <w:rPr>
                <w:rFonts w:ascii="Arial" w:hAnsi="Arial" w:cs="Arial"/>
                <w:sz w:val="22"/>
                <w:szCs w:val="22"/>
                <w:lang w:val="en-GB"/>
              </w:rPr>
              <w:t xml:space="preserve">Manager, Private Sector Development, MENA, World Bank, and previously resident in Jerusalem for private sector development and donor coordination. </w:t>
            </w:r>
            <w:r w:rsidRPr="00873F50">
              <w:rPr>
                <w:rFonts w:ascii="Arial" w:hAnsi="Arial" w:cs="Arial"/>
                <w:i/>
                <w:sz w:val="22"/>
                <w:szCs w:val="22"/>
              </w:rPr>
              <w:t>(Washington 01.10.2013)</w:t>
            </w:r>
          </w:p>
        </w:tc>
        <w:tc>
          <w:tcPr>
            <w:tcW w:w="2140" w:type="pct"/>
            <w:gridSpan w:val="2"/>
            <w:shd w:val="clear" w:color="auto" w:fill="FFFFFF" w:themeFill="background1"/>
            <w:vAlign w:val="center"/>
          </w:tcPr>
          <w:p w:rsidR="00507380" w:rsidRPr="00873F50" w:rsidRDefault="00507380" w:rsidP="00873F50">
            <w:pPr>
              <w:spacing w:before="0" w:after="0"/>
              <w:jc w:val="left"/>
              <w:rPr>
                <w:rFonts w:ascii="Arial" w:hAnsi="Arial" w:cs="Arial"/>
                <w:sz w:val="22"/>
                <w:szCs w:val="22"/>
              </w:rPr>
            </w:pPr>
            <w:r w:rsidRPr="00873F50">
              <w:rPr>
                <w:rFonts w:ascii="Arial" w:hAnsi="Arial" w:cs="Arial"/>
                <w:sz w:val="22"/>
                <w:szCs w:val="22"/>
              </w:rPr>
              <w:t>Private Sector, Donor Coordination</w:t>
            </w:r>
          </w:p>
        </w:tc>
      </w:tr>
      <w:tr w:rsidR="00507380" w:rsidRPr="00873F50" w:rsidTr="00873F50">
        <w:trPr>
          <w:trHeight w:val="363"/>
          <w:jc w:val="center"/>
        </w:trPr>
        <w:tc>
          <w:tcPr>
            <w:tcW w:w="1063" w:type="pct"/>
            <w:gridSpan w:val="2"/>
            <w:shd w:val="clear" w:color="auto" w:fill="FFFFFF" w:themeFill="background1"/>
            <w:hideMark/>
          </w:tcPr>
          <w:p w:rsidR="00507380" w:rsidRPr="00873F50" w:rsidRDefault="00507380" w:rsidP="00873F50">
            <w:pPr>
              <w:spacing w:before="0" w:after="0"/>
              <w:rPr>
                <w:rFonts w:ascii="Arial" w:hAnsi="Arial" w:cs="Arial"/>
                <w:sz w:val="22"/>
                <w:szCs w:val="22"/>
              </w:rPr>
            </w:pPr>
            <w:r w:rsidRPr="00873F50">
              <w:rPr>
                <w:rFonts w:ascii="Arial" w:hAnsi="Arial" w:cs="Arial"/>
                <w:sz w:val="22"/>
                <w:szCs w:val="22"/>
              </w:rPr>
              <w:t>William Corcoran</w:t>
            </w:r>
          </w:p>
        </w:tc>
        <w:tc>
          <w:tcPr>
            <w:tcW w:w="1797" w:type="pct"/>
            <w:shd w:val="clear" w:color="auto" w:fill="FFFFFF" w:themeFill="background1"/>
          </w:tcPr>
          <w:p w:rsidR="00507380" w:rsidRPr="00873F50" w:rsidRDefault="00507380" w:rsidP="00873F50">
            <w:pPr>
              <w:spacing w:before="0" w:after="0"/>
              <w:jc w:val="left"/>
              <w:rPr>
                <w:rFonts w:ascii="Arial" w:hAnsi="Arial" w:cs="Arial"/>
                <w:sz w:val="22"/>
                <w:szCs w:val="22"/>
                <w:lang w:val="en-GB"/>
              </w:rPr>
            </w:pPr>
            <w:r w:rsidRPr="00873F50">
              <w:rPr>
                <w:rFonts w:ascii="Arial" w:hAnsi="Arial" w:cs="Arial"/>
                <w:sz w:val="22"/>
                <w:szCs w:val="22"/>
              </w:rPr>
              <w:t>CEO and Paul Butler, Director Palestine, resident Jerusalem, ANERA (</w:t>
            </w:r>
            <w:r w:rsidRPr="00873F50">
              <w:rPr>
                <w:rFonts w:ascii="Arial" w:hAnsi="Arial" w:cs="Arial"/>
                <w:i/>
                <w:sz w:val="22"/>
                <w:szCs w:val="22"/>
              </w:rPr>
              <w:t>Washington 06.10.2013</w:t>
            </w:r>
            <w:r w:rsidRPr="00873F50">
              <w:rPr>
                <w:rFonts w:ascii="Arial" w:hAnsi="Arial" w:cs="Arial"/>
                <w:sz w:val="22"/>
                <w:szCs w:val="22"/>
              </w:rPr>
              <w:t>)</w:t>
            </w:r>
          </w:p>
        </w:tc>
        <w:tc>
          <w:tcPr>
            <w:tcW w:w="2140" w:type="pct"/>
            <w:gridSpan w:val="2"/>
            <w:shd w:val="clear" w:color="auto" w:fill="FFFFFF" w:themeFill="background1"/>
            <w:vAlign w:val="center"/>
          </w:tcPr>
          <w:p w:rsidR="00507380" w:rsidRPr="00873F50" w:rsidRDefault="00507380" w:rsidP="00873F50">
            <w:pPr>
              <w:spacing w:before="0" w:after="0"/>
              <w:jc w:val="left"/>
              <w:rPr>
                <w:rFonts w:ascii="Arial" w:hAnsi="Arial" w:cs="Arial"/>
                <w:sz w:val="22"/>
                <w:szCs w:val="22"/>
              </w:rPr>
            </w:pPr>
            <w:r w:rsidRPr="00873F50">
              <w:rPr>
                <w:rFonts w:ascii="Arial" w:hAnsi="Arial" w:cs="Arial"/>
                <w:sz w:val="22"/>
                <w:szCs w:val="22"/>
              </w:rPr>
              <w:t>Modalities for implementation of projects in West Bank, Jerusalem and especially Gaza</w:t>
            </w:r>
          </w:p>
        </w:tc>
      </w:tr>
      <w:tr w:rsidR="00507380" w:rsidRPr="00873F50" w:rsidTr="00873F50">
        <w:trPr>
          <w:trHeight w:val="363"/>
          <w:jc w:val="center"/>
        </w:trPr>
        <w:tc>
          <w:tcPr>
            <w:tcW w:w="1063" w:type="pct"/>
            <w:gridSpan w:val="2"/>
            <w:shd w:val="clear" w:color="auto" w:fill="FFFFFF" w:themeFill="background1"/>
            <w:hideMark/>
          </w:tcPr>
          <w:p w:rsidR="00507380" w:rsidRPr="00873F50" w:rsidRDefault="00507380" w:rsidP="00873F50">
            <w:pPr>
              <w:spacing w:before="0" w:after="0"/>
              <w:rPr>
                <w:rFonts w:ascii="Arial" w:hAnsi="Arial" w:cs="Arial"/>
                <w:sz w:val="22"/>
                <w:szCs w:val="22"/>
              </w:rPr>
            </w:pPr>
            <w:proofErr w:type="spellStart"/>
            <w:r w:rsidRPr="00873F50">
              <w:rPr>
                <w:rFonts w:ascii="Arial" w:hAnsi="Arial" w:cs="Arial"/>
                <w:sz w:val="22"/>
                <w:szCs w:val="22"/>
              </w:rPr>
              <w:t>Gaith</w:t>
            </w:r>
            <w:proofErr w:type="spellEnd"/>
            <w:r w:rsidRPr="00873F50">
              <w:rPr>
                <w:rFonts w:ascii="Arial" w:hAnsi="Arial" w:cs="Arial"/>
                <w:sz w:val="22"/>
                <w:szCs w:val="22"/>
              </w:rPr>
              <w:t xml:space="preserve"> al-</w:t>
            </w:r>
            <w:proofErr w:type="spellStart"/>
            <w:r w:rsidRPr="00873F50">
              <w:rPr>
                <w:rFonts w:ascii="Arial" w:hAnsi="Arial" w:cs="Arial"/>
                <w:sz w:val="22"/>
                <w:szCs w:val="22"/>
              </w:rPr>
              <w:t>Omari</w:t>
            </w:r>
            <w:proofErr w:type="spellEnd"/>
          </w:p>
        </w:tc>
        <w:tc>
          <w:tcPr>
            <w:tcW w:w="1797" w:type="pct"/>
            <w:shd w:val="clear" w:color="auto" w:fill="FFFFFF" w:themeFill="background1"/>
          </w:tcPr>
          <w:p w:rsidR="00507380" w:rsidRPr="00873F50" w:rsidRDefault="00507380" w:rsidP="00873F50">
            <w:pPr>
              <w:spacing w:before="0" w:after="0"/>
              <w:jc w:val="left"/>
              <w:rPr>
                <w:rFonts w:ascii="Arial" w:hAnsi="Arial" w:cs="Arial"/>
                <w:sz w:val="22"/>
                <w:szCs w:val="22"/>
              </w:rPr>
            </w:pPr>
            <w:r w:rsidRPr="00873F50">
              <w:rPr>
                <w:rFonts w:ascii="Arial" w:hAnsi="Arial" w:cs="Arial"/>
                <w:sz w:val="22"/>
                <w:szCs w:val="22"/>
              </w:rPr>
              <w:t xml:space="preserve">Executive Director American Task Force on Palestine, former member of PA negotiations unit </w:t>
            </w:r>
          </w:p>
          <w:p w:rsidR="00507380" w:rsidRPr="00873F50" w:rsidRDefault="00507380" w:rsidP="00873F50">
            <w:pPr>
              <w:spacing w:before="0" w:after="0"/>
              <w:jc w:val="left"/>
              <w:rPr>
                <w:rFonts w:ascii="Arial" w:hAnsi="Arial" w:cs="Arial"/>
                <w:sz w:val="22"/>
                <w:szCs w:val="22"/>
                <w:lang w:val="en-GB"/>
              </w:rPr>
            </w:pPr>
            <w:r w:rsidRPr="00873F50">
              <w:rPr>
                <w:rFonts w:ascii="Arial" w:hAnsi="Arial" w:cs="Arial"/>
                <w:i/>
                <w:sz w:val="22"/>
                <w:szCs w:val="22"/>
              </w:rPr>
              <w:t>(Washington 08.10.2013)</w:t>
            </w:r>
          </w:p>
        </w:tc>
        <w:tc>
          <w:tcPr>
            <w:tcW w:w="2140" w:type="pct"/>
            <w:gridSpan w:val="2"/>
            <w:shd w:val="clear" w:color="auto" w:fill="FFFFFF" w:themeFill="background1"/>
            <w:vAlign w:val="center"/>
          </w:tcPr>
          <w:p w:rsidR="00507380" w:rsidRPr="00873F50" w:rsidRDefault="00507380" w:rsidP="00873F50">
            <w:pPr>
              <w:spacing w:before="0" w:after="0"/>
              <w:jc w:val="left"/>
              <w:rPr>
                <w:rFonts w:ascii="Arial" w:hAnsi="Arial" w:cs="Arial"/>
                <w:sz w:val="22"/>
                <w:szCs w:val="22"/>
              </w:rPr>
            </w:pPr>
            <w:r w:rsidRPr="00873F50">
              <w:rPr>
                <w:rFonts w:ascii="Arial" w:hAnsi="Arial" w:cs="Arial"/>
                <w:sz w:val="22"/>
                <w:szCs w:val="22"/>
              </w:rPr>
              <w:t>Effectiveness of EU Cooperation in advancing two-State solution and partnership with US</w:t>
            </w:r>
          </w:p>
        </w:tc>
      </w:tr>
      <w:tr w:rsidR="00507380" w:rsidRPr="00873F50" w:rsidTr="00873F50">
        <w:trPr>
          <w:trHeight w:val="363"/>
          <w:jc w:val="center"/>
        </w:trPr>
        <w:tc>
          <w:tcPr>
            <w:tcW w:w="1063" w:type="pct"/>
            <w:gridSpan w:val="2"/>
            <w:shd w:val="clear" w:color="auto" w:fill="FFFFFF" w:themeFill="background1"/>
            <w:hideMark/>
          </w:tcPr>
          <w:p w:rsidR="00507380" w:rsidRPr="00873F50" w:rsidRDefault="00507380" w:rsidP="00873F50">
            <w:pPr>
              <w:spacing w:before="0" w:after="0"/>
              <w:rPr>
                <w:rFonts w:ascii="Arial" w:hAnsi="Arial" w:cs="Arial"/>
                <w:sz w:val="22"/>
                <w:szCs w:val="22"/>
              </w:rPr>
            </w:pPr>
            <w:proofErr w:type="spellStart"/>
            <w:r w:rsidRPr="00873F50">
              <w:rPr>
                <w:rFonts w:ascii="Arial" w:hAnsi="Arial" w:cs="Arial"/>
                <w:sz w:val="22"/>
                <w:szCs w:val="22"/>
              </w:rPr>
              <w:t>Mariam</w:t>
            </w:r>
            <w:proofErr w:type="spellEnd"/>
            <w:r w:rsidRPr="00873F50">
              <w:rPr>
                <w:rFonts w:ascii="Arial" w:hAnsi="Arial" w:cs="Arial"/>
                <w:sz w:val="22"/>
                <w:szCs w:val="22"/>
              </w:rPr>
              <w:t xml:space="preserve"> Sherman, </w:t>
            </w:r>
          </w:p>
          <w:p w:rsidR="00507380" w:rsidRPr="00873F50" w:rsidRDefault="00507380" w:rsidP="00873F50">
            <w:pPr>
              <w:spacing w:before="0" w:after="0"/>
              <w:rPr>
                <w:rFonts w:ascii="Arial" w:hAnsi="Arial" w:cs="Arial"/>
                <w:sz w:val="22"/>
                <w:szCs w:val="22"/>
              </w:rPr>
            </w:pPr>
          </w:p>
        </w:tc>
        <w:tc>
          <w:tcPr>
            <w:tcW w:w="1797" w:type="pct"/>
            <w:shd w:val="clear" w:color="auto" w:fill="FFFFFF" w:themeFill="background1"/>
          </w:tcPr>
          <w:p w:rsidR="00507380" w:rsidRPr="00873F50" w:rsidRDefault="00507380" w:rsidP="00873F50">
            <w:pPr>
              <w:spacing w:before="0" w:after="0"/>
              <w:jc w:val="left"/>
              <w:rPr>
                <w:rFonts w:ascii="Arial" w:hAnsi="Arial" w:cs="Arial"/>
                <w:i/>
                <w:sz w:val="22"/>
                <w:szCs w:val="22"/>
              </w:rPr>
            </w:pPr>
            <w:r w:rsidRPr="00873F50">
              <w:rPr>
                <w:rFonts w:ascii="Arial" w:hAnsi="Arial" w:cs="Arial"/>
                <w:sz w:val="22"/>
                <w:szCs w:val="22"/>
              </w:rPr>
              <w:t>Outgoing Country Director for Palestine, World Bank</w:t>
            </w:r>
            <w:r w:rsidRPr="00873F50">
              <w:rPr>
                <w:rFonts w:ascii="Arial" w:hAnsi="Arial" w:cs="Arial"/>
                <w:i/>
                <w:sz w:val="22"/>
                <w:szCs w:val="22"/>
              </w:rPr>
              <w:t xml:space="preserve"> </w:t>
            </w:r>
          </w:p>
          <w:p w:rsidR="00507380" w:rsidRPr="00873F50" w:rsidRDefault="00507380" w:rsidP="00873F50">
            <w:pPr>
              <w:spacing w:before="0" w:after="0"/>
              <w:jc w:val="left"/>
              <w:rPr>
                <w:rFonts w:ascii="Arial" w:hAnsi="Arial" w:cs="Arial"/>
                <w:sz w:val="22"/>
                <w:szCs w:val="22"/>
                <w:lang w:val="en-GB"/>
              </w:rPr>
            </w:pPr>
            <w:r w:rsidRPr="00873F50">
              <w:rPr>
                <w:rFonts w:ascii="Arial" w:hAnsi="Arial" w:cs="Arial"/>
                <w:i/>
                <w:sz w:val="22"/>
                <w:szCs w:val="22"/>
              </w:rPr>
              <w:t>(Washington 08.10.2013)</w:t>
            </w:r>
          </w:p>
        </w:tc>
        <w:tc>
          <w:tcPr>
            <w:tcW w:w="2140" w:type="pct"/>
            <w:gridSpan w:val="2"/>
            <w:shd w:val="clear" w:color="auto" w:fill="FFFFFF" w:themeFill="background1"/>
            <w:vAlign w:val="center"/>
          </w:tcPr>
          <w:p w:rsidR="00507380" w:rsidRPr="00873F50" w:rsidRDefault="00507380" w:rsidP="00873F50">
            <w:pPr>
              <w:spacing w:before="0" w:after="0"/>
              <w:jc w:val="left"/>
              <w:rPr>
                <w:rFonts w:ascii="Arial" w:hAnsi="Arial" w:cs="Arial"/>
                <w:sz w:val="22"/>
                <w:szCs w:val="22"/>
              </w:rPr>
            </w:pPr>
            <w:r w:rsidRPr="00873F50">
              <w:rPr>
                <w:rFonts w:ascii="Arial" w:hAnsi="Arial" w:cs="Arial"/>
                <w:sz w:val="22"/>
                <w:szCs w:val="22"/>
              </w:rPr>
              <w:t>Coordination, partnerships, sector strategies, overall economic situation, progress in two-State solution.</w:t>
            </w:r>
          </w:p>
        </w:tc>
      </w:tr>
      <w:tr w:rsidR="00507380" w:rsidRPr="00873F50" w:rsidTr="00873F50">
        <w:trPr>
          <w:trHeight w:val="363"/>
          <w:jc w:val="center"/>
        </w:trPr>
        <w:tc>
          <w:tcPr>
            <w:tcW w:w="1063" w:type="pct"/>
            <w:gridSpan w:val="2"/>
            <w:shd w:val="clear" w:color="auto" w:fill="FFFFFF" w:themeFill="background1"/>
            <w:hideMark/>
          </w:tcPr>
          <w:p w:rsidR="00507380" w:rsidRPr="00873F50" w:rsidRDefault="00507380" w:rsidP="00873F50">
            <w:pPr>
              <w:spacing w:before="0" w:after="0"/>
              <w:rPr>
                <w:rFonts w:ascii="Arial" w:hAnsi="Arial" w:cs="Arial"/>
                <w:sz w:val="22"/>
                <w:szCs w:val="22"/>
              </w:rPr>
            </w:pPr>
            <w:r w:rsidRPr="00873F50">
              <w:rPr>
                <w:rFonts w:ascii="Arial" w:hAnsi="Arial" w:cs="Arial"/>
                <w:sz w:val="22"/>
                <w:szCs w:val="22"/>
              </w:rPr>
              <w:t xml:space="preserve">Geoffrey Aronson, </w:t>
            </w:r>
          </w:p>
        </w:tc>
        <w:tc>
          <w:tcPr>
            <w:tcW w:w="1797" w:type="pct"/>
            <w:shd w:val="clear" w:color="auto" w:fill="FFFFFF" w:themeFill="background1"/>
          </w:tcPr>
          <w:p w:rsidR="00507380" w:rsidRPr="00873F50" w:rsidRDefault="00507380" w:rsidP="00873F50">
            <w:pPr>
              <w:spacing w:before="0" w:after="0"/>
              <w:jc w:val="left"/>
              <w:rPr>
                <w:rFonts w:ascii="Arial" w:hAnsi="Arial" w:cs="Arial"/>
                <w:sz w:val="22"/>
                <w:szCs w:val="22"/>
                <w:lang w:val="en-GB"/>
              </w:rPr>
            </w:pPr>
            <w:r w:rsidRPr="00873F50">
              <w:rPr>
                <w:rFonts w:ascii="Arial" w:hAnsi="Arial" w:cs="Arial"/>
                <w:sz w:val="22"/>
                <w:szCs w:val="22"/>
              </w:rPr>
              <w:t xml:space="preserve">Conflicts Forum </w:t>
            </w:r>
            <w:r w:rsidRPr="00873F50">
              <w:rPr>
                <w:rFonts w:ascii="Arial" w:hAnsi="Arial" w:cs="Arial"/>
                <w:i/>
                <w:sz w:val="22"/>
                <w:szCs w:val="22"/>
              </w:rPr>
              <w:t>(Washington 08.10.2013)</w:t>
            </w:r>
          </w:p>
        </w:tc>
        <w:tc>
          <w:tcPr>
            <w:tcW w:w="2140" w:type="pct"/>
            <w:gridSpan w:val="2"/>
            <w:shd w:val="clear" w:color="auto" w:fill="FFFFFF" w:themeFill="background1"/>
            <w:vAlign w:val="center"/>
          </w:tcPr>
          <w:p w:rsidR="00507380" w:rsidRPr="00873F50" w:rsidRDefault="00507380" w:rsidP="00873F50">
            <w:pPr>
              <w:spacing w:before="0" w:after="0"/>
              <w:jc w:val="left"/>
              <w:rPr>
                <w:rFonts w:ascii="Arial" w:hAnsi="Arial" w:cs="Arial"/>
                <w:sz w:val="22"/>
                <w:szCs w:val="22"/>
              </w:rPr>
            </w:pPr>
            <w:r w:rsidRPr="00873F50">
              <w:rPr>
                <w:rFonts w:ascii="Arial" w:hAnsi="Arial" w:cs="Arial"/>
                <w:sz w:val="22"/>
                <w:szCs w:val="22"/>
              </w:rPr>
              <w:t>Aid Effectiveness in Palestine</w:t>
            </w:r>
          </w:p>
        </w:tc>
      </w:tr>
      <w:tr w:rsidR="00507380" w:rsidRPr="00873F50" w:rsidTr="00873F50">
        <w:trPr>
          <w:trHeight w:val="363"/>
          <w:jc w:val="center"/>
        </w:trPr>
        <w:tc>
          <w:tcPr>
            <w:tcW w:w="1063" w:type="pct"/>
            <w:gridSpan w:val="2"/>
            <w:shd w:val="clear" w:color="auto" w:fill="FFFFFF" w:themeFill="background1"/>
            <w:hideMark/>
          </w:tcPr>
          <w:p w:rsidR="00507380" w:rsidRPr="00873F50" w:rsidRDefault="00507380" w:rsidP="00873F50">
            <w:pPr>
              <w:spacing w:before="0" w:after="0"/>
              <w:rPr>
                <w:rFonts w:ascii="Arial" w:hAnsi="Arial" w:cs="Arial"/>
                <w:sz w:val="22"/>
                <w:szCs w:val="22"/>
              </w:rPr>
            </w:pPr>
            <w:r w:rsidRPr="00873F50">
              <w:rPr>
                <w:rFonts w:ascii="Arial" w:hAnsi="Arial" w:cs="Arial"/>
                <w:sz w:val="22"/>
                <w:szCs w:val="22"/>
              </w:rPr>
              <w:t xml:space="preserve">Mohammad </w:t>
            </w:r>
            <w:proofErr w:type="spellStart"/>
            <w:r w:rsidRPr="00873F50">
              <w:rPr>
                <w:rFonts w:ascii="Arial" w:hAnsi="Arial" w:cs="Arial"/>
                <w:sz w:val="22"/>
                <w:szCs w:val="22"/>
              </w:rPr>
              <w:t>Shtayyeh</w:t>
            </w:r>
            <w:proofErr w:type="spellEnd"/>
            <w:r w:rsidRPr="00873F50">
              <w:rPr>
                <w:rFonts w:ascii="Arial" w:hAnsi="Arial" w:cs="Arial"/>
                <w:sz w:val="22"/>
                <w:szCs w:val="22"/>
              </w:rPr>
              <w:t xml:space="preserve">, </w:t>
            </w:r>
          </w:p>
          <w:p w:rsidR="00507380" w:rsidRPr="00873F50" w:rsidRDefault="00507380" w:rsidP="00873F50">
            <w:pPr>
              <w:spacing w:before="0" w:after="0"/>
              <w:rPr>
                <w:rFonts w:ascii="Arial" w:hAnsi="Arial" w:cs="Arial"/>
                <w:sz w:val="22"/>
                <w:szCs w:val="22"/>
              </w:rPr>
            </w:pPr>
          </w:p>
        </w:tc>
        <w:tc>
          <w:tcPr>
            <w:tcW w:w="1797" w:type="pct"/>
            <w:shd w:val="clear" w:color="auto" w:fill="FFFFFF" w:themeFill="background1"/>
          </w:tcPr>
          <w:p w:rsidR="00507380" w:rsidRPr="00873F50" w:rsidRDefault="00507380" w:rsidP="00873F50">
            <w:pPr>
              <w:spacing w:before="0" w:after="0"/>
              <w:jc w:val="left"/>
              <w:rPr>
                <w:rFonts w:ascii="Arial" w:hAnsi="Arial" w:cs="Arial"/>
                <w:sz w:val="22"/>
                <w:szCs w:val="22"/>
              </w:rPr>
            </w:pPr>
            <w:r w:rsidRPr="00873F50">
              <w:rPr>
                <w:rFonts w:ascii="Arial" w:hAnsi="Arial" w:cs="Arial"/>
                <w:sz w:val="22"/>
                <w:szCs w:val="22"/>
              </w:rPr>
              <w:t xml:space="preserve">Minister, Negotiating team and President PECDAR </w:t>
            </w:r>
          </w:p>
          <w:p w:rsidR="00507380" w:rsidRPr="00873F50" w:rsidRDefault="00507380" w:rsidP="00873F50">
            <w:pPr>
              <w:spacing w:before="0" w:after="0"/>
              <w:jc w:val="left"/>
              <w:rPr>
                <w:rFonts w:ascii="Arial" w:hAnsi="Arial" w:cs="Arial"/>
                <w:sz w:val="22"/>
                <w:szCs w:val="22"/>
                <w:lang w:val="en-GB"/>
              </w:rPr>
            </w:pPr>
            <w:r w:rsidRPr="00873F50">
              <w:rPr>
                <w:rFonts w:ascii="Arial" w:hAnsi="Arial" w:cs="Arial"/>
                <w:i/>
                <w:sz w:val="22"/>
                <w:szCs w:val="22"/>
              </w:rPr>
              <w:t>(Washington 11.10.2013)</w:t>
            </w:r>
          </w:p>
        </w:tc>
        <w:tc>
          <w:tcPr>
            <w:tcW w:w="2140" w:type="pct"/>
            <w:gridSpan w:val="2"/>
            <w:shd w:val="clear" w:color="auto" w:fill="FFFFFF" w:themeFill="background1"/>
            <w:vAlign w:val="center"/>
          </w:tcPr>
          <w:p w:rsidR="00507380" w:rsidRPr="00873F50" w:rsidRDefault="00507380" w:rsidP="00873F50">
            <w:pPr>
              <w:spacing w:before="0" w:after="0"/>
              <w:jc w:val="left"/>
              <w:rPr>
                <w:rFonts w:ascii="Arial" w:hAnsi="Arial" w:cs="Arial"/>
                <w:sz w:val="22"/>
                <w:szCs w:val="22"/>
              </w:rPr>
            </w:pPr>
            <w:r w:rsidRPr="00873F50">
              <w:rPr>
                <w:rFonts w:ascii="Arial" w:hAnsi="Arial" w:cs="Arial"/>
                <w:sz w:val="22"/>
                <w:szCs w:val="22"/>
              </w:rPr>
              <w:t>Aid Effectiveness in pursuit of political goals</w:t>
            </w:r>
          </w:p>
        </w:tc>
      </w:tr>
      <w:tr w:rsidR="00507380" w:rsidRPr="00873F50" w:rsidTr="00873F50">
        <w:trPr>
          <w:trHeight w:val="363"/>
          <w:jc w:val="center"/>
        </w:trPr>
        <w:tc>
          <w:tcPr>
            <w:tcW w:w="1063" w:type="pct"/>
            <w:gridSpan w:val="2"/>
            <w:shd w:val="clear" w:color="auto" w:fill="FFFFFF" w:themeFill="background1"/>
            <w:hideMark/>
          </w:tcPr>
          <w:p w:rsidR="00507380" w:rsidRPr="00873F50" w:rsidRDefault="00507380" w:rsidP="00873F50">
            <w:pPr>
              <w:spacing w:before="0" w:after="0"/>
              <w:rPr>
                <w:rFonts w:ascii="Arial" w:hAnsi="Arial" w:cs="Arial"/>
                <w:sz w:val="22"/>
                <w:szCs w:val="22"/>
              </w:rPr>
            </w:pPr>
            <w:r w:rsidRPr="00873F50">
              <w:rPr>
                <w:rFonts w:ascii="Arial" w:hAnsi="Arial" w:cs="Arial"/>
                <w:sz w:val="22"/>
                <w:szCs w:val="22"/>
              </w:rPr>
              <w:t xml:space="preserve">Salam Fayyad, </w:t>
            </w:r>
          </w:p>
          <w:p w:rsidR="00507380" w:rsidRPr="00873F50" w:rsidRDefault="00507380" w:rsidP="00873F50">
            <w:pPr>
              <w:spacing w:before="0" w:after="0"/>
              <w:rPr>
                <w:rFonts w:ascii="Arial" w:hAnsi="Arial" w:cs="Arial"/>
                <w:sz w:val="22"/>
                <w:szCs w:val="22"/>
              </w:rPr>
            </w:pPr>
          </w:p>
        </w:tc>
        <w:tc>
          <w:tcPr>
            <w:tcW w:w="1797" w:type="pct"/>
            <w:shd w:val="clear" w:color="auto" w:fill="FFFFFF" w:themeFill="background1"/>
          </w:tcPr>
          <w:p w:rsidR="00507380" w:rsidRPr="00873F50" w:rsidRDefault="00507380" w:rsidP="00873F50">
            <w:pPr>
              <w:spacing w:before="0" w:after="0"/>
              <w:jc w:val="left"/>
              <w:rPr>
                <w:rFonts w:ascii="Arial" w:hAnsi="Arial" w:cs="Arial"/>
                <w:sz w:val="22"/>
                <w:szCs w:val="22"/>
              </w:rPr>
            </w:pPr>
            <w:r w:rsidRPr="00873F50">
              <w:rPr>
                <w:rFonts w:ascii="Arial" w:hAnsi="Arial" w:cs="Arial"/>
                <w:sz w:val="22"/>
                <w:szCs w:val="22"/>
              </w:rPr>
              <w:t xml:space="preserve">former Prime Minister Palestine. </w:t>
            </w:r>
          </w:p>
          <w:p w:rsidR="00507380" w:rsidRPr="00873F50" w:rsidRDefault="00507380" w:rsidP="00873F50">
            <w:pPr>
              <w:spacing w:before="0" w:after="0"/>
              <w:jc w:val="left"/>
              <w:rPr>
                <w:rFonts w:ascii="Arial" w:hAnsi="Arial" w:cs="Arial"/>
                <w:sz w:val="22"/>
                <w:szCs w:val="22"/>
                <w:lang w:val="en-GB"/>
              </w:rPr>
            </w:pPr>
            <w:r w:rsidRPr="00873F50">
              <w:rPr>
                <w:rFonts w:ascii="Arial" w:hAnsi="Arial" w:cs="Arial"/>
                <w:i/>
                <w:sz w:val="22"/>
                <w:szCs w:val="22"/>
              </w:rPr>
              <w:t>(Washington 17.10.2013)</w:t>
            </w:r>
          </w:p>
        </w:tc>
        <w:tc>
          <w:tcPr>
            <w:tcW w:w="2140" w:type="pct"/>
            <w:gridSpan w:val="2"/>
            <w:shd w:val="clear" w:color="auto" w:fill="FFFFFF" w:themeFill="background1"/>
            <w:vAlign w:val="center"/>
          </w:tcPr>
          <w:p w:rsidR="00507380" w:rsidRPr="00873F50" w:rsidRDefault="00507380" w:rsidP="00873F50">
            <w:pPr>
              <w:spacing w:before="0" w:after="0"/>
              <w:jc w:val="left"/>
              <w:rPr>
                <w:rFonts w:ascii="Arial" w:hAnsi="Arial" w:cs="Arial"/>
                <w:sz w:val="22"/>
                <w:szCs w:val="22"/>
              </w:rPr>
            </w:pPr>
            <w:r w:rsidRPr="00873F50">
              <w:rPr>
                <w:rFonts w:ascii="Arial" w:hAnsi="Arial" w:cs="Arial"/>
                <w:sz w:val="22"/>
                <w:szCs w:val="22"/>
              </w:rPr>
              <w:t>Overall PA-EU relationship 2008-2013</w:t>
            </w:r>
          </w:p>
        </w:tc>
      </w:tr>
      <w:tr w:rsidR="00507380" w:rsidRPr="00873F50" w:rsidTr="00873F50">
        <w:trPr>
          <w:trHeight w:val="363"/>
          <w:jc w:val="center"/>
        </w:trPr>
        <w:tc>
          <w:tcPr>
            <w:tcW w:w="1063" w:type="pct"/>
            <w:gridSpan w:val="2"/>
            <w:shd w:val="clear" w:color="auto" w:fill="FFFFFF" w:themeFill="background1"/>
            <w:hideMark/>
          </w:tcPr>
          <w:p w:rsidR="00507380" w:rsidRPr="00873F50" w:rsidRDefault="00507380" w:rsidP="00873F50">
            <w:pPr>
              <w:spacing w:before="0" w:after="0"/>
              <w:rPr>
                <w:rFonts w:ascii="Arial" w:hAnsi="Arial" w:cs="Arial"/>
                <w:sz w:val="22"/>
                <w:szCs w:val="22"/>
              </w:rPr>
            </w:pPr>
            <w:r w:rsidRPr="00873F50">
              <w:rPr>
                <w:rFonts w:ascii="Arial" w:hAnsi="Arial" w:cs="Arial"/>
                <w:sz w:val="22"/>
                <w:szCs w:val="22"/>
              </w:rPr>
              <w:t xml:space="preserve">Steen Jorgensen, </w:t>
            </w:r>
          </w:p>
          <w:p w:rsidR="00507380" w:rsidRPr="00873F50" w:rsidRDefault="00507380" w:rsidP="00873F50">
            <w:pPr>
              <w:spacing w:before="0" w:after="0"/>
              <w:rPr>
                <w:rFonts w:ascii="Arial" w:hAnsi="Arial" w:cs="Arial"/>
                <w:sz w:val="22"/>
                <w:szCs w:val="22"/>
              </w:rPr>
            </w:pPr>
          </w:p>
        </w:tc>
        <w:tc>
          <w:tcPr>
            <w:tcW w:w="1797" w:type="pct"/>
            <w:shd w:val="clear" w:color="auto" w:fill="FFFFFF" w:themeFill="background1"/>
          </w:tcPr>
          <w:p w:rsidR="00507380" w:rsidRPr="00873F50" w:rsidRDefault="00507380" w:rsidP="00873F50">
            <w:pPr>
              <w:spacing w:before="0" w:after="0"/>
              <w:jc w:val="left"/>
              <w:rPr>
                <w:rFonts w:ascii="Arial" w:hAnsi="Arial" w:cs="Arial"/>
                <w:sz w:val="22"/>
                <w:szCs w:val="22"/>
              </w:rPr>
            </w:pPr>
            <w:r w:rsidRPr="00873F50">
              <w:rPr>
                <w:rFonts w:ascii="Arial" w:hAnsi="Arial" w:cs="Arial"/>
                <w:sz w:val="22"/>
                <w:szCs w:val="22"/>
              </w:rPr>
              <w:t xml:space="preserve">Director, Human Development, MENA, World Bank and incoming </w:t>
            </w:r>
            <w:r w:rsidRPr="00873F50">
              <w:rPr>
                <w:rFonts w:ascii="Arial" w:hAnsi="Arial" w:cs="Arial"/>
                <w:sz w:val="22"/>
                <w:szCs w:val="22"/>
              </w:rPr>
              <w:lastRenderedPageBreak/>
              <w:t>Country Director, Palestine</w:t>
            </w:r>
          </w:p>
          <w:p w:rsidR="00507380" w:rsidRPr="00873F50" w:rsidRDefault="00507380" w:rsidP="00873F50">
            <w:pPr>
              <w:spacing w:before="0" w:after="0"/>
              <w:jc w:val="left"/>
              <w:rPr>
                <w:rFonts w:ascii="Arial" w:hAnsi="Arial" w:cs="Arial"/>
                <w:sz w:val="22"/>
                <w:szCs w:val="22"/>
                <w:lang w:val="en-GB"/>
              </w:rPr>
            </w:pPr>
            <w:r w:rsidRPr="00873F50">
              <w:rPr>
                <w:rFonts w:ascii="Arial" w:hAnsi="Arial" w:cs="Arial"/>
                <w:i/>
                <w:sz w:val="22"/>
                <w:szCs w:val="22"/>
              </w:rPr>
              <w:t>(Washington 17.10.2013</w:t>
            </w:r>
          </w:p>
        </w:tc>
        <w:tc>
          <w:tcPr>
            <w:tcW w:w="2140" w:type="pct"/>
            <w:gridSpan w:val="2"/>
            <w:shd w:val="clear" w:color="auto" w:fill="FFFFFF" w:themeFill="background1"/>
            <w:vAlign w:val="center"/>
          </w:tcPr>
          <w:p w:rsidR="00507380" w:rsidRPr="00873F50" w:rsidRDefault="00507380" w:rsidP="00873F50">
            <w:pPr>
              <w:spacing w:before="0" w:after="0"/>
              <w:jc w:val="left"/>
              <w:rPr>
                <w:rFonts w:ascii="Arial" w:hAnsi="Arial" w:cs="Arial"/>
                <w:sz w:val="22"/>
                <w:szCs w:val="22"/>
              </w:rPr>
            </w:pPr>
            <w:r w:rsidRPr="00873F50">
              <w:rPr>
                <w:rFonts w:ascii="Arial" w:hAnsi="Arial" w:cs="Arial"/>
                <w:sz w:val="22"/>
                <w:szCs w:val="22"/>
              </w:rPr>
              <w:lastRenderedPageBreak/>
              <w:t>Human Development and Social Protection Programs for Palestine</w:t>
            </w:r>
          </w:p>
        </w:tc>
      </w:tr>
      <w:tr w:rsidR="00507380" w:rsidRPr="00873F50" w:rsidTr="00873F50">
        <w:trPr>
          <w:trHeight w:val="363"/>
          <w:jc w:val="center"/>
        </w:trPr>
        <w:tc>
          <w:tcPr>
            <w:tcW w:w="1063" w:type="pct"/>
            <w:gridSpan w:val="2"/>
            <w:shd w:val="clear" w:color="auto" w:fill="FFFFFF" w:themeFill="background1"/>
            <w:hideMark/>
          </w:tcPr>
          <w:p w:rsidR="00507380" w:rsidRPr="00873F50" w:rsidRDefault="00507380" w:rsidP="00873F50">
            <w:pPr>
              <w:spacing w:before="0" w:after="0"/>
              <w:rPr>
                <w:rFonts w:ascii="Arial" w:hAnsi="Arial" w:cs="Arial"/>
                <w:i/>
                <w:sz w:val="22"/>
                <w:szCs w:val="22"/>
              </w:rPr>
            </w:pPr>
            <w:r w:rsidRPr="00873F50">
              <w:rPr>
                <w:rFonts w:ascii="Arial" w:hAnsi="Arial" w:cs="Arial"/>
                <w:sz w:val="22"/>
                <w:szCs w:val="22"/>
              </w:rPr>
              <w:lastRenderedPageBreak/>
              <w:t xml:space="preserve">Omar </w:t>
            </w:r>
            <w:proofErr w:type="spellStart"/>
            <w:r w:rsidRPr="00873F50">
              <w:rPr>
                <w:rFonts w:ascii="Arial" w:hAnsi="Arial" w:cs="Arial"/>
                <w:sz w:val="22"/>
                <w:szCs w:val="22"/>
              </w:rPr>
              <w:t>Mehyar</w:t>
            </w:r>
            <w:proofErr w:type="spellEnd"/>
            <w:r w:rsidRPr="00873F50">
              <w:rPr>
                <w:rFonts w:ascii="Arial" w:hAnsi="Arial" w:cs="Arial"/>
                <w:sz w:val="22"/>
                <w:szCs w:val="22"/>
              </w:rPr>
              <w:t xml:space="preserve">, </w:t>
            </w:r>
          </w:p>
        </w:tc>
        <w:tc>
          <w:tcPr>
            <w:tcW w:w="1797" w:type="pct"/>
            <w:shd w:val="clear" w:color="auto" w:fill="FFFFFF" w:themeFill="background1"/>
          </w:tcPr>
          <w:p w:rsidR="00507380" w:rsidRPr="00873F50" w:rsidRDefault="00507380" w:rsidP="00873F50">
            <w:pPr>
              <w:spacing w:before="0" w:after="0"/>
              <w:jc w:val="left"/>
              <w:rPr>
                <w:rFonts w:ascii="Arial" w:hAnsi="Arial" w:cs="Arial"/>
                <w:sz w:val="22"/>
                <w:szCs w:val="22"/>
              </w:rPr>
            </w:pPr>
            <w:r w:rsidRPr="00873F50">
              <w:rPr>
                <w:rFonts w:ascii="Arial" w:hAnsi="Arial" w:cs="Arial"/>
                <w:sz w:val="22"/>
                <w:szCs w:val="22"/>
              </w:rPr>
              <w:t xml:space="preserve">Palestine Desk, Islamic Development Bank,. </w:t>
            </w:r>
          </w:p>
          <w:p w:rsidR="00507380" w:rsidRPr="00873F50" w:rsidRDefault="00507380" w:rsidP="00873F50">
            <w:pPr>
              <w:spacing w:before="0" w:after="0"/>
              <w:jc w:val="left"/>
              <w:rPr>
                <w:rFonts w:ascii="Arial" w:hAnsi="Arial" w:cs="Arial"/>
                <w:sz w:val="22"/>
                <w:szCs w:val="22"/>
                <w:lang w:val="en-GB"/>
              </w:rPr>
            </w:pPr>
            <w:r w:rsidRPr="00873F50">
              <w:rPr>
                <w:rFonts w:ascii="Arial" w:hAnsi="Arial" w:cs="Arial"/>
                <w:i/>
                <w:sz w:val="22"/>
                <w:szCs w:val="22"/>
              </w:rPr>
              <w:t>(by telephone 10.11.2013)</w:t>
            </w:r>
          </w:p>
        </w:tc>
        <w:tc>
          <w:tcPr>
            <w:tcW w:w="2140" w:type="pct"/>
            <w:gridSpan w:val="2"/>
            <w:shd w:val="clear" w:color="auto" w:fill="FFFFFF" w:themeFill="background1"/>
            <w:vAlign w:val="center"/>
          </w:tcPr>
          <w:p w:rsidR="00507380" w:rsidRPr="00873F50" w:rsidRDefault="00507380" w:rsidP="00873F50">
            <w:pPr>
              <w:spacing w:before="0" w:after="0"/>
              <w:jc w:val="left"/>
              <w:rPr>
                <w:rFonts w:ascii="Arial" w:hAnsi="Arial" w:cs="Arial"/>
                <w:sz w:val="22"/>
                <w:szCs w:val="22"/>
              </w:rPr>
            </w:pPr>
            <w:r w:rsidRPr="00873F50">
              <w:rPr>
                <w:rFonts w:ascii="Arial" w:hAnsi="Arial" w:cs="Arial"/>
                <w:sz w:val="22"/>
                <w:szCs w:val="22"/>
              </w:rPr>
              <w:t>Palestine program and cooperation with  regional actors</w:t>
            </w:r>
          </w:p>
        </w:tc>
      </w:tr>
      <w:tr w:rsidR="00507380" w:rsidRPr="00873F50" w:rsidTr="00873F50">
        <w:trPr>
          <w:trHeight w:val="363"/>
          <w:jc w:val="center"/>
        </w:trPr>
        <w:tc>
          <w:tcPr>
            <w:tcW w:w="1063" w:type="pct"/>
            <w:gridSpan w:val="2"/>
            <w:shd w:val="clear" w:color="auto" w:fill="FFFFFF" w:themeFill="background1"/>
            <w:hideMark/>
          </w:tcPr>
          <w:p w:rsidR="00507380" w:rsidRPr="00873F50" w:rsidRDefault="00507380" w:rsidP="00873F50">
            <w:pPr>
              <w:spacing w:before="0" w:after="0"/>
              <w:rPr>
                <w:rFonts w:ascii="Arial" w:hAnsi="Arial" w:cs="Arial"/>
                <w:i/>
                <w:sz w:val="22"/>
                <w:szCs w:val="22"/>
              </w:rPr>
            </w:pPr>
            <w:r w:rsidRPr="00873F50">
              <w:rPr>
                <w:rFonts w:ascii="Arial" w:hAnsi="Arial" w:cs="Arial"/>
                <w:sz w:val="22"/>
                <w:szCs w:val="22"/>
              </w:rPr>
              <w:t xml:space="preserve">El </w:t>
            </w:r>
            <w:proofErr w:type="spellStart"/>
            <w:r w:rsidRPr="00873F50">
              <w:rPr>
                <w:rFonts w:ascii="Arial" w:hAnsi="Arial" w:cs="Arial"/>
                <w:sz w:val="22"/>
                <w:szCs w:val="22"/>
              </w:rPr>
              <w:t>Mansour</w:t>
            </w:r>
            <w:proofErr w:type="spellEnd"/>
            <w:r w:rsidRPr="00873F50">
              <w:rPr>
                <w:rFonts w:ascii="Arial" w:hAnsi="Arial" w:cs="Arial"/>
                <w:sz w:val="22"/>
                <w:szCs w:val="22"/>
              </w:rPr>
              <w:t xml:space="preserve"> </w:t>
            </w:r>
            <w:proofErr w:type="spellStart"/>
            <w:r w:rsidRPr="00873F50">
              <w:rPr>
                <w:rFonts w:ascii="Arial" w:hAnsi="Arial" w:cs="Arial"/>
                <w:sz w:val="22"/>
                <w:szCs w:val="22"/>
              </w:rPr>
              <w:t>Feten</w:t>
            </w:r>
            <w:proofErr w:type="spellEnd"/>
            <w:r w:rsidRPr="00873F50">
              <w:rPr>
                <w:rFonts w:ascii="Arial" w:hAnsi="Arial" w:cs="Arial"/>
                <w:sz w:val="22"/>
                <w:szCs w:val="22"/>
              </w:rPr>
              <w:t xml:space="preserve">, </w:t>
            </w:r>
          </w:p>
          <w:p w:rsidR="00507380" w:rsidRPr="00873F50" w:rsidRDefault="00507380" w:rsidP="00873F50">
            <w:pPr>
              <w:spacing w:before="0" w:after="0"/>
              <w:rPr>
                <w:rFonts w:ascii="Arial" w:hAnsi="Arial" w:cs="Arial"/>
                <w:i/>
                <w:sz w:val="22"/>
                <w:szCs w:val="22"/>
              </w:rPr>
            </w:pPr>
          </w:p>
        </w:tc>
        <w:tc>
          <w:tcPr>
            <w:tcW w:w="1797" w:type="pct"/>
            <w:shd w:val="clear" w:color="auto" w:fill="FFFFFF" w:themeFill="background1"/>
          </w:tcPr>
          <w:p w:rsidR="00507380" w:rsidRPr="00873F50" w:rsidRDefault="00507380" w:rsidP="00873F50">
            <w:pPr>
              <w:spacing w:before="0" w:after="0"/>
              <w:jc w:val="left"/>
              <w:rPr>
                <w:rFonts w:ascii="Arial" w:hAnsi="Arial" w:cs="Arial"/>
                <w:sz w:val="22"/>
                <w:szCs w:val="22"/>
              </w:rPr>
            </w:pPr>
            <w:r w:rsidRPr="00873F50">
              <w:rPr>
                <w:rFonts w:ascii="Arial" w:hAnsi="Arial" w:cs="Arial"/>
                <w:sz w:val="22"/>
                <w:szCs w:val="22"/>
              </w:rPr>
              <w:t xml:space="preserve">Director, Trust Funds, Islamic Development Bank, </w:t>
            </w:r>
          </w:p>
          <w:p w:rsidR="00507380" w:rsidRPr="00873F50" w:rsidRDefault="00507380" w:rsidP="00873F50">
            <w:pPr>
              <w:spacing w:before="0" w:after="0"/>
              <w:jc w:val="left"/>
              <w:rPr>
                <w:rFonts w:ascii="Arial" w:hAnsi="Arial" w:cs="Arial"/>
                <w:sz w:val="22"/>
                <w:szCs w:val="22"/>
                <w:lang w:val="en-GB"/>
              </w:rPr>
            </w:pPr>
            <w:r w:rsidRPr="00873F50">
              <w:rPr>
                <w:rFonts w:ascii="Arial" w:hAnsi="Arial" w:cs="Arial"/>
                <w:i/>
                <w:sz w:val="22"/>
                <w:szCs w:val="22"/>
              </w:rPr>
              <w:t>(by telephone 10.11.2013)</w:t>
            </w:r>
          </w:p>
        </w:tc>
        <w:tc>
          <w:tcPr>
            <w:tcW w:w="2140" w:type="pct"/>
            <w:gridSpan w:val="2"/>
            <w:shd w:val="clear" w:color="auto" w:fill="FFFFFF" w:themeFill="background1"/>
            <w:vAlign w:val="center"/>
          </w:tcPr>
          <w:p w:rsidR="00507380" w:rsidRPr="00873F50" w:rsidRDefault="00507380" w:rsidP="00873F50">
            <w:pPr>
              <w:spacing w:before="0" w:after="0"/>
              <w:jc w:val="left"/>
              <w:rPr>
                <w:rFonts w:ascii="Arial" w:hAnsi="Arial" w:cs="Arial"/>
                <w:sz w:val="22"/>
                <w:szCs w:val="22"/>
              </w:rPr>
            </w:pPr>
            <w:r w:rsidRPr="00873F50">
              <w:rPr>
                <w:rFonts w:ascii="Arial" w:hAnsi="Arial" w:cs="Arial"/>
                <w:sz w:val="22"/>
                <w:szCs w:val="22"/>
              </w:rPr>
              <w:t>Palestine program and cooperation with regional actors</w:t>
            </w:r>
          </w:p>
        </w:tc>
      </w:tr>
      <w:tr w:rsidR="00507380" w:rsidRPr="00873F50" w:rsidTr="00873F50">
        <w:trPr>
          <w:trHeight w:val="363"/>
          <w:jc w:val="center"/>
        </w:trPr>
        <w:tc>
          <w:tcPr>
            <w:tcW w:w="1063" w:type="pct"/>
            <w:gridSpan w:val="2"/>
            <w:shd w:val="clear" w:color="auto" w:fill="FFFFFF" w:themeFill="background1"/>
            <w:hideMark/>
          </w:tcPr>
          <w:p w:rsidR="00507380" w:rsidRPr="00873F50" w:rsidRDefault="00507380" w:rsidP="00873F50">
            <w:pPr>
              <w:spacing w:before="0" w:after="0"/>
              <w:rPr>
                <w:rFonts w:ascii="Arial" w:hAnsi="Arial" w:cs="Arial"/>
                <w:sz w:val="22"/>
                <w:szCs w:val="22"/>
              </w:rPr>
            </w:pPr>
            <w:r w:rsidRPr="00873F50">
              <w:rPr>
                <w:rFonts w:ascii="Arial" w:hAnsi="Arial" w:cs="Arial"/>
                <w:sz w:val="22"/>
                <w:szCs w:val="22"/>
              </w:rPr>
              <w:t xml:space="preserve">Jihad </w:t>
            </w:r>
            <w:proofErr w:type="spellStart"/>
            <w:r w:rsidRPr="00873F50">
              <w:rPr>
                <w:rFonts w:ascii="Arial" w:hAnsi="Arial" w:cs="Arial"/>
                <w:sz w:val="22"/>
                <w:szCs w:val="22"/>
              </w:rPr>
              <w:t>alWazir</w:t>
            </w:r>
            <w:proofErr w:type="spellEnd"/>
            <w:r w:rsidRPr="00873F50">
              <w:rPr>
                <w:rFonts w:ascii="Arial" w:hAnsi="Arial" w:cs="Arial"/>
                <w:sz w:val="22"/>
                <w:szCs w:val="22"/>
              </w:rPr>
              <w:t xml:space="preserve">, </w:t>
            </w:r>
          </w:p>
        </w:tc>
        <w:tc>
          <w:tcPr>
            <w:tcW w:w="1797" w:type="pct"/>
            <w:shd w:val="clear" w:color="auto" w:fill="FFFFFF" w:themeFill="background1"/>
          </w:tcPr>
          <w:p w:rsidR="00507380" w:rsidRPr="00873F50" w:rsidRDefault="00507380" w:rsidP="00873F50">
            <w:pPr>
              <w:spacing w:before="0" w:after="0"/>
              <w:jc w:val="left"/>
              <w:rPr>
                <w:rFonts w:ascii="Arial" w:hAnsi="Arial" w:cs="Arial"/>
                <w:sz w:val="22"/>
                <w:szCs w:val="22"/>
                <w:lang w:val="en-GB"/>
              </w:rPr>
            </w:pPr>
            <w:r w:rsidRPr="00873F50">
              <w:rPr>
                <w:rFonts w:ascii="Arial" w:hAnsi="Arial" w:cs="Arial"/>
                <w:sz w:val="22"/>
                <w:szCs w:val="22"/>
              </w:rPr>
              <w:t xml:space="preserve">Governor Palestine Monetary Authority </w:t>
            </w:r>
            <w:r w:rsidRPr="00873F50">
              <w:rPr>
                <w:rFonts w:ascii="Arial" w:hAnsi="Arial" w:cs="Arial"/>
                <w:i/>
                <w:sz w:val="22"/>
                <w:szCs w:val="22"/>
              </w:rPr>
              <w:t>(October 2013)</w:t>
            </w:r>
          </w:p>
        </w:tc>
        <w:tc>
          <w:tcPr>
            <w:tcW w:w="2140" w:type="pct"/>
            <w:gridSpan w:val="2"/>
            <w:shd w:val="clear" w:color="auto" w:fill="FFFFFF" w:themeFill="background1"/>
            <w:vAlign w:val="center"/>
          </w:tcPr>
          <w:p w:rsidR="00507380" w:rsidRPr="00873F50" w:rsidRDefault="00507380" w:rsidP="00873F50">
            <w:pPr>
              <w:spacing w:before="0" w:after="0"/>
              <w:jc w:val="left"/>
              <w:rPr>
                <w:rFonts w:ascii="Arial" w:hAnsi="Arial" w:cs="Arial"/>
                <w:sz w:val="22"/>
                <w:szCs w:val="22"/>
              </w:rPr>
            </w:pPr>
            <w:r w:rsidRPr="00873F50">
              <w:rPr>
                <w:rFonts w:ascii="Arial" w:hAnsi="Arial" w:cs="Arial"/>
                <w:sz w:val="22"/>
                <w:szCs w:val="22"/>
              </w:rPr>
              <w:t>Economic Sector</w:t>
            </w:r>
          </w:p>
        </w:tc>
      </w:tr>
      <w:tr w:rsidR="00507380" w:rsidRPr="00873F50" w:rsidTr="00873F50">
        <w:trPr>
          <w:trHeight w:val="363"/>
          <w:jc w:val="center"/>
        </w:trPr>
        <w:tc>
          <w:tcPr>
            <w:tcW w:w="1063" w:type="pct"/>
            <w:gridSpan w:val="2"/>
            <w:shd w:val="clear" w:color="auto" w:fill="FFFFFF" w:themeFill="background1"/>
            <w:hideMark/>
          </w:tcPr>
          <w:p w:rsidR="00507380" w:rsidRPr="00873F50" w:rsidRDefault="00507380" w:rsidP="00873F50">
            <w:pPr>
              <w:spacing w:before="0" w:after="0"/>
              <w:rPr>
                <w:rFonts w:ascii="Arial" w:hAnsi="Arial" w:cs="Arial"/>
                <w:sz w:val="22"/>
                <w:szCs w:val="22"/>
                <w:highlight w:val="red"/>
              </w:rPr>
            </w:pPr>
            <w:r w:rsidRPr="00873F50">
              <w:rPr>
                <w:rFonts w:ascii="Arial" w:hAnsi="Arial" w:cs="Arial"/>
                <w:sz w:val="22"/>
                <w:szCs w:val="22"/>
              </w:rPr>
              <w:t xml:space="preserve">John </w:t>
            </w:r>
            <w:proofErr w:type="spellStart"/>
            <w:r w:rsidRPr="00873F50">
              <w:rPr>
                <w:rFonts w:ascii="Arial" w:hAnsi="Arial" w:cs="Arial"/>
                <w:sz w:val="22"/>
                <w:szCs w:val="22"/>
              </w:rPr>
              <w:t>Nasir</w:t>
            </w:r>
            <w:proofErr w:type="spellEnd"/>
            <w:r w:rsidRPr="00873F50">
              <w:rPr>
                <w:rFonts w:ascii="Arial" w:hAnsi="Arial" w:cs="Arial"/>
                <w:sz w:val="22"/>
                <w:szCs w:val="22"/>
              </w:rPr>
              <w:t xml:space="preserve">, </w:t>
            </w:r>
          </w:p>
        </w:tc>
        <w:tc>
          <w:tcPr>
            <w:tcW w:w="1797" w:type="pct"/>
            <w:shd w:val="clear" w:color="auto" w:fill="FFFFFF" w:themeFill="background1"/>
          </w:tcPr>
          <w:p w:rsidR="00507380" w:rsidRPr="00873F50" w:rsidRDefault="00507380" w:rsidP="00873F50">
            <w:pPr>
              <w:spacing w:before="0" w:after="0"/>
              <w:jc w:val="left"/>
              <w:rPr>
                <w:rFonts w:ascii="Arial" w:hAnsi="Arial" w:cs="Arial"/>
                <w:sz w:val="22"/>
                <w:szCs w:val="22"/>
                <w:lang w:val="en-GB"/>
              </w:rPr>
            </w:pPr>
            <w:r w:rsidRPr="00873F50">
              <w:rPr>
                <w:rFonts w:ascii="Arial" w:hAnsi="Arial" w:cs="Arial"/>
                <w:sz w:val="22"/>
                <w:szCs w:val="22"/>
              </w:rPr>
              <w:t>Lead Private Sector Development Specialist Country Economist for World Bank in West Bank and Gaza</w:t>
            </w:r>
          </w:p>
        </w:tc>
        <w:tc>
          <w:tcPr>
            <w:tcW w:w="2140" w:type="pct"/>
            <w:gridSpan w:val="2"/>
            <w:shd w:val="clear" w:color="auto" w:fill="FFFFFF" w:themeFill="background1"/>
            <w:vAlign w:val="center"/>
          </w:tcPr>
          <w:p w:rsidR="00507380" w:rsidRPr="00873F50" w:rsidRDefault="00507380" w:rsidP="00873F50">
            <w:pPr>
              <w:spacing w:before="0" w:after="0"/>
              <w:jc w:val="left"/>
              <w:rPr>
                <w:rFonts w:ascii="Arial" w:hAnsi="Arial" w:cs="Arial"/>
                <w:sz w:val="22"/>
                <w:szCs w:val="22"/>
              </w:rPr>
            </w:pPr>
            <w:r w:rsidRPr="00873F50">
              <w:rPr>
                <w:rFonts w:ascii="Arial" w:hAnsi="Arial" w:cs="Arial"/>
                <w:sz w:val="22"/>
                <w:szCs w:val="22"/>
              </w:rPr>
              <w:t>Private Sector Development</w:t>
            </w:r>
          </w:p>
        </w:tc>
      </w:tr>
      <w:tr w:rsidR="00507380" w:rsidRPr="00873F50" w:rsidTr="00873F50">
        <w:trPr>
          <w:trHeight w:val="363"/>
          <w:jc w:val="center"/>
        </w:trPr>
        <w:tc>
          <w:tcPr>
            <w:tcW w:w="5000" w:type="pct"/>
            <w:gridSpan w:val="5"/>
            <w:shd w:val="clear" w:color="auto" w:fill="DBE5F1" w:themeFill="accent1" w:themeFillTint="33"/>
            <w:vAlign w:val="center"/>
            <w:hideMark/>
          </w:tcPr>
          <w:p w:rsidR="00507380" w:rsidRPr="00873F50" w:rsidRDefault="00507380" w:rsidP="00873F50">
            <w:pPr>
              <w:spacing w:before="0" w:after="0"/>
              <w:jc w:val="center"/>
              <w:rPr>
                <w:rFonts w:ascii="Arial" w:hAnsi="Arial" w:cs="Arial"/>
                <w:b/>
                <w:sz w:val="22"/>
                <w:szCs w:val="22"/>
                <w:lang w:val="en-GB"/>
              </w:rPr>
            </w:pPr>
            <w:proofErr w:type="spellStart"/>
            <w:r w:rsidRPr="00873F50">
              <w:rPr>
                <w:rFonts w:ascii="Arial" w:hAnsi="Arial" w:cs="Arial"/>
                <w:b/>
                <w:sz w:val="22"/>
                <w:szCs w:val="22"/>
                <w:lang w:val="en-GB"/>
              </w:rPr>
              <w:t>Bruxelles</w:t>
            </w:r>
            <w:proofErr w:type="spellEnd"/>
            <w:r w:rsidRPr="00873F50">
              <w:rPr>
                <w:rFonts w:ascii="Arial" w:hAnsi="Arial" w:cs="Arial"/>
                <w:b/>
                <w:sz w:val="22"/>
                <w:szCs w:val="22"/>
                <w:lang w:val="en-GB"/>
              </w:rPr>
              <w:t xml:space="preserve"> November 2013: Desk Phase</w:t>
            </w:r>
          </w:p>
        </w:tc>
      </w:tr>
      <w:tr w:rsidR="00507380" w:rsidRPr="00873F50" w:rsidTr="00873F50">
        <w:trPr>
          <w:trHeight w:val="2817"/>
          <w:jc w:val="center"/>
        </w:trPr>
        <w:tc>
          <w:tcPr>
            <w:tcW w:w="1063" w:type="pct"/>
            <w:gridSpan w:val="2"/>
            <w:shd w:val="clear" w:color="auto" w:fill="FFFFFF" w:themeFill="background1"/>
            <w:vAlign w:val="center"/>
            <w:hideMark/>
          </w:tcPr>
          <w:p w:rsidR="00507380" w:rsidRPr="00873F50" w:rsidRDefault="00507380" w:rsidP="00873F50">
            <w:pPr>
              <w:spacing w:before="0" w:after="0"/>
              <w:rPr>
                <w:rFonts w:ascii="Arial" w:hAnsi="Arial" w:cs="Arial"/>
                <w:sz w:val="22"/>
                <w:szCs w:val="22"/>
                <w:lang w:val="it-IT"/>
              </w:rPr>
            </w:pPr>
            <w:r w:rsidRPr="00873F50">
              <w:rPr>
                <w:rFonts w:ascii="Arial" w:hAnsi="Arial" w:cs="Arial"/>
                <w:sz w:val="22"/>
                <w:szCs w:val="22"/>
                <w:lang w:val="it-IT"/>
              </w:rPr>
              <w:t xml:space="preserve">Laura </w:t>
            </w:r>
            <w:proofErr w:type="spellStart"/>
            <w:r w:rsidRPr="00873F50">
              <w:rPr>
                <w:rFonts w:ascii="Arial" w:hAnsi="Arial" w:cs="Arial"/>
                <w:sz w:val="22"/>
                <w:szCs w:val="22"/>
                <w:lang w:val="it-IT"/>
              </w:rPr>
              <w:t>Fallovita</w:t>
            </w:r>
            <w:proofErr w:type="spellEnd"/>
            <w:r w:rsidRPr="00873F50">
              <w:rPr>
                <w:rFonts w:ascii="Arial" w:hAnsi="Arial" w:cs="Arial"/>
                <w:sz w:val="22"/>
                <w:szCs w:val="22"/>
                <w:lang w:val="it-IT"/>
              </w:rPr>
              <w:t xml:space="preserve"> </w:t>
            </w:r>
          </w:p>
          <w:p w:rsidR="00507380" w:rsidRPr="00873F50" w:rsidRDefault="00507380" w:rsidP="00873F50">
            <w:pPr>
              <w:spacing w:before="0" w:after="0"/>
              <w:rPr>
                <w:rFonts w:ascii="Arial" w:hAnsi="Arial" w:cs="Arial"/>
                <w:sz w:val="22"/>
                <w:szCs w:val="22"/>
                <w:lang w:val="it-IT"/>
              </w:rPr>
            </w:pPr>
            <w:proofErr w:type="spellStart"/>
            <w:r w:rsidRPr="00873F50">
              <w:rPr>
                <w:rFonts w:ascii="Arial" w:hAnsi="Arial" w:cs="Arial"/>
                <w:sz w:val="22"/>
                <w:szCs w:val="22"/>
                <w:lang w:val="it-IT"/>
              </w:rPr>
              <w:t>Annemie</w:t>
            </w:r>
            <w:proofErr w:type="spellEnd"/>
            <w:r w:rsidRPr="00873F50">
              <w:rPr>
                <w:rFonts w:ascii="Arial" w:hAnsi="Arial" w:cs="Arial"/>
                <w:sz w:val="22"/>
                <w:szCs w:val="22"/>
                <w:lang w:val="it-IT"/>
              </w:rPr>
              <w:t xml:space="preserve"> </w:t>
            </w:r>
            <w:proofErr w:type="spellStart"/>
            <w:r w:rsidRPr="00873F50">
              <w:rPr>
                <w:rFonts w:ascii="Arial" w:hAnsi="Arial" w:cs="Arial"/>
                <w:sz w:val="22"/>
                <w:szCs w:val="22"/>
                <w:lang w:val="it-IT"/>
              </w:rPr>
              <w:t>Cump</w:t>
            </w:r>
            <w:proofErr w:type="spellEnd"/>
          </w:p>
        </w:tc>
        <w:tc>
          <w:tcPr>
            <w:tcW w:w="1797" w:type="pct"/>
            <w:shd w:val="clear" w:color="auto" w:fill="FFFFFF" w:themeFill="background1"/>
            <w:vAlign w:val="center"/>
          </w:tcPr>
          <w:p w:rsidR="00507380" w:rsidRPr="00873F50" w:rsidRDefault="00507380" w:rsidP="00873F50">
            <w:pPr>
              <w:pStyle w:val="Paragrafoelenco"/>
              <w:spacing w:before="0" w:after="0"/>
              <w:ind w:left="113"/>
              <w:jc w:val="left"/>
              <w:rPr>
                <w:rFonts w:ascii="Arial" w:hAnsi="Arial" w:cs="Arial"/>
                <w:sz w:val="22"/>
                <w:szCs w:val="22"/>
                <w:lang w:val="en-GB"/>
              </w:rPr>
            </w:pPr>
            <w:r w:rsidRPr="00873F50">
              <w:rPr>
                <w:rFonts w:ascii="Arial" w:hAnsi="Arial" w:cs="Arial"/>
                <w:sz w:val="22"/>
                <w:szCs w:val="22"/>
                <w:lang w:val="it-IT"/>
              </w:rPr>
              <w:t xml:space="preserve">DEVCO, F2 </w:t>
            </w:r>
          </w:p>
          <w:p w:rsidR="00507380" w:rsidRPr="00873F50" w:rsidRDefault="00507380" w:rsidP="00873F50">
            <w:pPr>
              <w:pStyle w:val="Paragrafoelenco"/>
              <w:spacing w:before="0" w:after="0"/>
              <w:ind w:left="113"/>
              <w:jc w:val="left"/>
              <w:rPr>
                <w:rFonts w:ascii="Arial" w:hAnsi="Arial" w:cs="Arial"/>
                <w:sz w:val="22"/>
                <w:szCs w:val="22"/>
                <w:lang w:val="en-GB"/>
              </w:rPr>
            </w:pPr>
          </w:p>
        </w:tc>
        <w:tc>
          <w:tcPr>
            <w:tcW w:w="2140" w:type="pct"/>
            <w:gridSpan w:val="2"/>
            <w:shd w:val="clear" w:color="auto" w:fill="FFFFFF" w:themeFill="background1"/>
            <w:vAlign w:val="center"/>
          </w:tcPr>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Strategy preparation (Joint Committees, Action Plan, Local Strategy)</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Programming</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Interventions follow-up</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Interactions with EEAS</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Actors coordination</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Review of key documents</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Discussion of assumptions and external factors</w:t>
            </w:r>
          </w:p>
          <w:p w:rsidR="00507380" w:rsidRPr="00873F50" w:rsidRDefault="00507380" w:rsidP="00873F50">
            <w:pPr>
              <w:pStyle w:val="Paragrafoelenco"/>
              <w:spacing w:before="0" w:after="0"/>
              <w:ind w:left="113"/>
              <w:jc w:val="left"/>
              <w:rPr>
                <w:rFonts w:ascii="Arial" w:hAnsi="Arial" w:cs="Arial"/>
                <w:sz w:val="22"/>
                <w:szCs w:val="22"/>
              </w:rPr>
            </w:pPr>
            <w:r w:rsidRPr="00873F50">
              <w:rPr>
                <w:rFonts w:ascii="Arial" w:hAnsi="Arial" w:cs="Arial"/>
                <w:sz w:val="22"/>
                <w:szCs w:val="22"/>
              </w:rPr>
              <w:t>Discussion on scope of evaluation</w:t>
            </w:r>
          </w:p>
        </w:tc>
      </w:tr>
      <w:tr w:rsidR="00507380" w:rsidRPr="00873F50" w:rsidTr="00873F50">
        <w:trPr>
          <w:trHeight w:val="363"/>
          <w:jc w:val="center"/>
        </w:trPr>
        <w:tc>
          <w:tcPr>
            <w:tcW w:w="1063" w:type="pct"/>
            <w:gridSpan w:val="2"/>
            <w:shd w:val="clear" w:color="auto" w:fill="FFFFFF" w:themeFill="background1"/>
            <w:vAlign w:val="center"/>
            <w:hideMark/>
          </w:tcPr>
          <w:p w:rsidR="00507380" w:rsidRPr="00873F50" w:rsidRDefault="00507380" w:rsidP="00873F50">
            <w:pPr>
              <w:spacing w:before="0" w:after="0"/>
              <w:rPr>
                <w:rFonts w:ascii="Arial" w:hAnsi="Arial" w:cs="Arial"/>
                <w:sz w:val="22"/>
                <w:szCs w:val="22"/>
                <w:lang w:val="en-GB"/>
              </w:rPr>
            </w:pPr>
            <w:r w:rsidRPr="00873F50">
              <w:rPr>
                <w:rFonts w:ascii="Arial" w:hAnsi="Arial" w:cs="Arial"/>
                <w:sz w:val="22"/>
                <w:szCs w:val="22"/>
                <w:lang w:val="en-GB"/>
              </w:rPr>
              <w:t xml:space="preserve">Matthias </w:t>
            </w:r>
            <w:proofErr w:type="spellStart"/>
            <w:r w:rsidRPr="00873F50">
              <w:rPr>
                <w:rFonts w:ascii="Arial" w:hAnsi="Arial" w:cs="Arial"/>
                <w:sz w:val="22"/>
                <w:szCs w:val="22"/>
                <w:lang w:val="en-GB"/>
              </w:rPr>
              <w:t>Bruchard</w:t>
            </w:r>
            <w:proofErr w:type="spellEnd"/>
            <w:r w:rsidRPr="00873F50">
              <w:rPr>
                <w:rFonts w:ascii="Arial" w:hAnsi="Arial" w:cs="Arial"/>
                <w:sz w:val="22"/>
                <w:szCs w:val="22"/>
                <w:lang w:val="en-GB"/>
              </w:rPr>
              <w:t xml:space="preserve"> </w:t>
            </w:r>
          </w:p>
        </w:tc>
        <w:tc>
          <w:tcPr>
            <w:tcW w:w="1797" w:type="pct"/>
            <w:shd w:val="clear" w:color="auto" w:fill="FFFFFF" w:themeFill="background1"/>
            <w:vAlign w:val="center"/>
          </w:tcPr>
          <w:p w:rsidR="00507380" w:rsidRPr="00873F50" w:rsidRDefault="00507380" w:rsidP="00873F50">
            <w:pPr>
              <w:pStyle w:val="Paragrafoelenco"/>
              <w:spacing w:before="0" w:after="0"/>
              <w:ind w:left="113"/>
              <w:jc w:val="left"/>
              <w:rPr>
                <w:rFonts w:ascii="Arial" w:hAnsi="Arial" w:cs="Arial"/>
                <w:sz w:val="22"/>
                <w:szCs w:val="22"/>
                <w:lang w:val="en-GB"/>
              </w:rPr>
            </w:pPr>
            <w:r w:rsidRPr="00873F50">
              <w:rPr>
                <w:rFonts w:ascii="Arial" w:hAnsi="Arial" w:cs="Arial"/>
                <w:sz w:val="22"/>
                <w:szCs w:val="22"/>
                <w:lang w:val="en-GB"/>
              </w:rPr>
              <w:t>UNRWA</w:t>
            </w:r>
          </w:p>
        </w:tc>
        <w:tc>
          <w:tcPr>
            <w:tcW w:w="2140" w:type="pct"/>
            <w:gridSpan w:val="2"/>
            <w:shd w:val="clear" w:color="auto" w:fill="FFFFFF" w:themeFill="background1"/>
            <w:vAlign w:val="center"/>
          </w:tcPr>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Overview of UNRWA activities in the 5 geographical fields</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Main goals and 4 key strategic sectors</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Planning (HIP and FIPs)</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Organizational Development</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Medium-term Strategy</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Issues and challenges</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Goals</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Relevance to EU goals</w:t>
            </w:r>
          </w:p>
          <w:p w:rsidR="00507380" w:rsidRPr="00873F50" w:rsidRDefault="00507380" w:rsidP="00873F50">
            <w:pPr>
              <w:pStyle w:val="Paragrafoelenco"/>
              <w:spacing w:before="0" w:after="0"/>
              <w:ind w:left="113"/>
              <w:jc w:val="left"/>
              <w:rPr>
                <w:rFonts w:ascii="Arial" w:hAnsi="Arial" w:cs="Arial"/>
                <w:sz w:val="22"/>
                <w:szCs w:val="22"/>
                <w:lang w:val="en-GB"/>
              </w:rPr>
            </w:pPr>
            <w:r w:rsidRPr="00873F50">
              <w:rPr>
                <w:rFonts w:ascii="Arial" w:hAnsi="Arial" w:cs="Arial"/>
                <w:sz w:val="22"/>
                <w:szCs w:val="22"/>
              </w:rPr>
              <w:t>Partnership with EU</w:t>
            </w:r>
          </w:p>
        </w:tc>
      </w:tr>
      <w:tr w:rsidR="00507380" w:rsidRPr="00873F50" w:rsidTr="00873F50">
        <w:trPr>
          <w:trHeight w:val="363"/>
          <w:jc w:val="center"/>
        </w:trPr>
        <w:tc>
          <w:tcPr>
            <w:tcW w:w="1063" w:type="pct"/>
            <w:gridSpan w:val="2"/>
            <w:shd w:val="clear" w:color="auto" w:fill="FFFFFF" w:themeFill="background1"/>
            <w:vAlign w:val="center"/>
            <w:hideMark/>
          </w:tcPr>
          <w:p w:rsidR="00507380" w:rsidRPr="00873F50" w:rsidRDefault="00507380" w:rsidP="00873F50">
            <w:pPr>
              <w:spacing w:before="0" w:after="0"/>
              <w:rPr>
                <w:rFonts w:ascii="Arial" w:hAnsi="Arial" w:cs="Arial"/>
                <w:sz w:val="22"/>
                <w:szCs w:val="22"/>
                <w:lang w:val="en-GB"/>
              </w:rPr>
            </w:pPr>
            <w:r w:rsidRPr="00873F50">
              <w:rPr>
                <w:rFonts w:ascii="Arial" w:hAnsi="Arial" w:cs="Arial"/>
                <w:sz w:val="22"/>
                <w:szCs w:val="22"/>
                <w:lang w:val="en-GB"/>
              </w:rPr>
              <w:t>Christian Berger</w:t>
            </w:r>
          </w:p>
        </w:tc>
        <w:tc>
          <w:tcPr>
            <w:tcW w:w="1797" w:type="pct"/>
            <w:shd w:val="clear" w:color="auto" w:fill="FFFFFF" w:themeFill="background1"/>
            <w:vAlign w:val="center"/>
          </w:tcPr>
          <w:p w:rsidR="00507380" w:rsidRPr="00873F50" w:rsidRDefault="00507380" w:rsidP="00873F50">
            <w:pPr>
              <w:pStyle w:val="Paragrafoelenco"/>
              <w:spacing w:before="0" w:after="0"/>
              <w:ind w:left="113"/>
              <w:jc w:val="left"/>
              <w:rPr>
                <w:rFonts w:ascii="Arial" w:hAnsi="Arial" w:cs="Arial"/>
                <w:sz w:val="22"/>
                <w:szCs w:val="22"/>
                <w:lang w:val="en-GB"/>
              </w:rPr>
            </w:pPr>
            <w:r w:rsidRPr="00873F50">
              <w:rPr>
                <w:rFonts w:ascii="Arial" w:hAnsi="Arial" w:cs="Arial"/>
                <w:sz w:val="22"/>
                <w:szCs w:val="22"/>
                <w:lang w:val="en-GB"/>
              </w:rPr>
              <w:t>EEAS</w:t>
            </w:r>
          </w:p>
        </w:tc>
        <w:tc>
          <w:tcPr>
            <w:tcW w:w="2140" w:type="pct"/>
            <w:gridSpan w:val="2"/>
            <w:shd w:val="clear" w:color="auto" w:fill="FFFFFF" w:themeFill="background1"/>
            <w:vAlign w:val="center"/>
          </w:tcPr>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Overview of Cooperation from 1995-present</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Impact of Lisbon Treaty changes on cooperation</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Relationship of EEAS to DEVCO in programming</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Overall Action Plan relationships with PA</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Constraints to Implementation and overall EU objectives</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Issues of trade agreements, certificates of origin and guidelines</w:t>
            </w:r>
          </w:p>
          <w:p w:rsidR="00507380" w:rsidRPr="00873F50" w:rsidRDefault="00507380" w:rsidP="00873F50">
            <w:pPr>
              <w:pStyle w:val="Paragrafoelenco"/>
              <w:spacing w:before="0" w:after="0"/>
              <w:ind w:left="113"/>
              <w:jc w:val="left"/>
              <w:rPr>
                <w:rFonts w:ascii="Arial" w:hAnsi="Arial" w:cs="Arial"/>
                <w:sz w:val="22"/>
                <w:szCs w:val="22"/>
                <w:lang w:val="en-GB"/>
              </w:rPr>
            </w:pPr>
            <w:r w:rsidRPr="00873F50">
              <w:rPr>
                <w:rFonts w:ascii="Arial" w:hAnsi="Arial" w:cs="Arial"/>
                <w:sz w:val="22"/>
                <w:szCs w:val="22"/>
              </w:rPr>
              <w:t>Prospects going forward</w:t>
            </w:r>
          </w:p>
        </w:tc>
      </w:tr>
      <w:tr w:rsidR="00507380" w:rsidRPr="00873F50" w:rsidTr="00873F50">
        <w:trPr>
          <w:trHeight w:val="363"/>
          <w:jc w:val="center"/>
        </w:trPr>
        <w:tc>
          <w:tcPr>
            <w:tcW w:w="1063" w:type="pct"/>
            <w:gridSpan w:val="2"/>
            <w:shd w:val="clear" w:color="auto" w:fill="FFFFFF" w:themeFill="background1"/>
            <w:vAlign w:val="center"/>
            <w:hideMark/>
          </w:tcPr>
          <w:p w:rsidR="00507380" w:rsidRPr="00873F50" w:rsidRDefault="00507380" w:rsidP="00873F50">
            <w:pPr>
              <w:spacing w:before="0" w:after="0"/>
              <w:rPr>
                <w:rFonts w:ascii="Arial" w:hAnsi="Arial" w:cs="Arial"/>
                <w:sz w:val="22"/>
                <w:szCs w:val="22"/>
                <w:lang w:val="en-GB"/>
              </w:rPr>
            </w:pPr>
            <w:r w:rsidRPr="00873F50">
              <w:rPr>
                <w:rFonts w:ascii="Arial" w:hAnsi="Arial" w:cs="Arial"/>
                <w:sz w:val="22"/>
                <w:szCs w:val="22"/>
                <w:lang w:val="en-GB"/>
              </w:rPr>
              <w:t xml:space="preserve">Christian </w:t>
            </w:r>
            <w:proofErr w:type="spellStart"/>
            <w:r w:rsidRPr="00873F50">
              <w:rPr>
                <w:rFonts w:ascii="Arial" w:hAnsi="Arial" w:cs="Arial"/>
                <w:sz w:val="22"/>
                <w:szCs w:val="22"/>
                <w:lang w:val="en-GB"/>
              </w:rPr>
              <w:t>Leffler</w:t>
            </w:r>
            <w:proofErr w:type="spellEnd"/>
            <w:r w:rsidRPr="00873F50">
              <w:rPr>
                <w:rFonts w:ascii="Arial" w:hAnsi="Arial" w:cs="Arial"/>
                <w:sz w:val="22"/>
                <w:szCs w:val="22"/>
                <w:lang w:val="en-GB"/>
              </w:rPr>
              <w:t xml:space="preserve"> </w:t>
            </w:r>
          </w:p>
        </w:tc>
        <w:tc>
          <w:tcPr>
            <w:tcW w:w="1797" w:type="pct"/>
            <w:shd w:val="clear" w:color="auto" w:fill="FFFFFF" w:themeFill="background1"/>
            <w:vAlign w:val="center"/>
          </w:tcPr>
          <w:p w:rsidR="00507380" w:rsidRPr="00873F50" w:rsidRDefault="00507380" w:rsidP="00873F50">
            <w:pPr>
              <w:pStyle w:val="Paragrafoelenco"/>
              <w:spacing w:before="0" w:after="0"/>
              <w:ind w:left="113"/>
              <w:jc w:val="left"/>
              <w:rPr>
                <w:rFonts w:ascii="Arial" w:hAnsi="Arial" w:cs="Arial"/>
                <w:sz w:val="22"/>
                <w:szCs w:val="22"/>
                <w:lang w:val="en-GB"/>
              </w:rPr>
            </w:pPr>
            <w:r w:rsidRPr="00873F50">
              <w:rPr>
                <w:rFonts w:ascii="Arial" w:hAnsi="Arial" w:cs="Arial"/>
                <w:sz w:val="22"/>
                <w:szCs w:val="22"/>
                <w:lang w:val="en-GB"/>
              </w:rPr>
              <w:t>EEAS</w:t>
            </w:r>
          </w:p>
        </w:tc>
        <w:tc>
          <w:tcPr>
            <w:tcW w:w="2140" w:type="pct"/>
            <w:gridSpan w:val="2"/>
            <w:shd w:val="clear" w:color="auto" w:fill="FFFFFF" w:themeFill="background1"/>
            <w:vAlign w:val="center"/>
          </w:tcPr>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External Action for Palestine – history</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Overview of period 2006-2008</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Overview of early political dialogue – Action Plan 2005 and reporting</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lastRenderedPageBreak/>
              <w:t>Mandates following Lisbon Treaty</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 xml:space="preserve">Fragile State assessment </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Setting up of PEGASE</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Benchmarks for PEGASE</w:t>
            </w:r>
          </w:p>
          <w:p w:rsidR="00507380" w:rsidRPr="00873F50" w:rsidRDefault="00507380" w:rsidP="00873F50">
            <w:pPr>
              <w:pStyle w:val="Paragrafoelenco"/>
              <w:spacing w:before="0" w:after="0"/>
              <w:ind w:left="113"/>
              <w:jc w:val="left"/>
              <w:rPr>
                <w:rFonts w:ascii="Arial" w:hAnsi="Arial" w:cs="Arial"/>
                <w:sz w:val="22"/>
                <w:szCs w:val="22"/>
                <w:lang w:val="en-GB"/>
              </w:rPr>
            </w:pPr>
            <w:r w:rsidRPr="00873F50">
              <w:rPr>
                <w:rFonts w:ascii="Arial" w:hAnsi="Arial" w:cs="Arial"/>
                <w:sz w:val="22"/>
                <w:szCs w:val="22"/>
              </w:rPr>
              <w:t>Issue of EU trade agreements</w:t>
            </w:r>
          </w:p>
        </w:tc>
      </w:tr>
      <w:tr w:rsidR="00507380" w:rsidRPr="00873F50" w:rsidTr="00873F50">
        <w:trPr>
          <w:trHeight w:val="363"/>
          <w:jc w:val="center"/>
        </w:trPr>
        <w:tc>
          <w:tcPr>
            <w:tcW w:w="1063" w:type="pct"/>
            <w:gridSpan w:val="2"/>
            <w:shd w:val="clear" w:color="auto" w:fill="FFFFFF" w:themeFill="background1"/>
            <w:vAlign w:val="center"/>
            <w:hideMark/>
          </w:tcPr>
          <w:p w:rsidR="00507380" w:rsidRPr="00873F50" w:rsidRDefault="00507380" w:rsidP="00873F50">
            <w:pPr>
              <w:spacing w:before="0" w:after="0"/>
              <w:rPr>
                <w:rFonts w:ascii="Arial" w:hAnsi="Arial" w:cs="Arial"/>
                <w:sz w:val="22"/>
                <w:szCs w:val="22"/>
                <w:lang w:val="en-GB"/>
              </w:rPr>
            </w:pPr>
            <w:r w:rsidRPr="00873F50">
              <w:rPr>
                <w:rFonts w:ascii="Arial" w:hAnsi="Arial" w:cs="Arial"/>
                <w:sz w:val="22"/>
                <w:szCs w:val="22"/>
                <w:lang w:val="en-GB"/>
              </w:rPr>
              <w:lastRenderedPageBreak/>
              <w:t xml:space="preserve">Karolina Hansson </w:t>
            </w:r>
          </w:p>
        </w:tc>
        <w:tc>
          <w:tcPr>
            <w:tcW w:w="1797" w:type="pct"/>
            <w:shd w:val="clear" w:color="auto" w:fill="FFFFFF" w:themeFill="background1"/>
            <w:vAlign w:val="center"/>
          </w:tcPr>
          <w:p w:rsidR="00507380" w:rsidRPr="00873F50" w:rsidRDefault="00507380" w:rsidP="00873F50">
            <w:pPr>
              <w:pStyle w:val="Paragrafoelenco"/>
              <w:spacing w:before="0" w:after="0"/>
              <w:ind w:left="113"/>
              <w:jc w:val="left"/>
              <w:rPr>
                <w:rFonts w:ascii="Arial" w:hAnsi="Arial" w:cs="Arial"/>
                <w:sz w:val="22"/>
                <w:szCs w:val="22"/>
                <w:lang w:val="en-GB"/>
              </w:rPr>
            </w:pPr>
            <w:r w:rsidRPr="00873F50">
              <w:rPr>
                <w:rFonts w:ascii="Arial" w:hAnsi="Arial" w:cs="Arial"/>
                <w:sz w:val="22"/>
                <w:szCs w:val="22"/>
                <w:lang w:val="en-GB"/>
              </w:rPr>
              <w:t>DEVCO</w:t>
            </w:r>
          </w:p>
        </w:tc>
        <w:tc>
          <w:tcPr>
            <w:tcW w:w="2140" w:type="pct"/>
            <w:gridSpan w:val="2"/>
            <w:shd w:val="clear" w:color="auto" w:fill="FFFFFF" w:themeFill="background1"/>
            <w:vAlign w:val="center"/>
          </w:tcPr>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Human Rights in DEVCO</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EIDHR instrument</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Policies for HR</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Political dialogue for HR</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Platforms with Civil Society</w:t>
            </w:r>
          </w:p>
          <w:p w:rsidR="00507380" w:rsidRPr="00873F50" w:rsidRDefault="00507380" w:rsidP="00873F50">
            <w:pPr>
              <w:pStyle w:val="Paragrafoelenco"/>
              <w:spacing w:before="0" w:after="0"/>
              <w:ind w:left="113"/>
              <w:jc w:val="left"/>
              <w:rPr>
                <w:rFonts w:ascii="Arial" w:hAnsi="Arial" w:cs="Arial"/>
                <w:sz w:val="22"/>
                <w:szCs w:val="22"/>
                <w:lang w:val="en-GB"/>
              </w:rPr>
            </w:pPr>
            <w:r w:rsidRPr="00873F50">
              <w:rPr>
                <w:rFonts w:ascii="Arial" w:hAnsi="Arial" w:cs="Arial"/>
                <w:sz w:val="22"/>
                <w:szCs w:val="22"/>
              </w:rPr>
              <w:t>Resources and capacities for follow-up of HR issues</w:t>
            </w:r>
          </w:p>
        </w:tc>
      </w:tr>
      <w:tr w:rsidR="00507380" w:rsidRPr="00873F50" w:rsidTr="00873F50">
        <w:trPr>
          <w:trHeight w:val="363"/>
          <w:jc w:val="center"/>
        </w:trPr>
        <w:tc>
          <w:tcPr>
            <w:tcW w:w="1063" w:type="pct"/>
            <w:gridSpan w:val="2"/>
            <w:shd w:val="clear" w:color="auto" w:fill="FFFFFF" w:themeFill="background1"/>
            <w:vAlign w:val="center"/>
            <w:hideMark/>
          </w:tcPr>
          <w:p w:rsidR="00507380" w:rsidRPr="00873F50" w:rsidRDefault="00507380" w:rsidP="00873F50">
            <w:pPr>
              <w:spacing w:before="0" w:after="0"/>
              <w:rPr>
                <w:rFonts w:ascii="Arial" w:hAnsi="Arial" w:cs="Arial"/>
                <w:sz w:val="22"/>
                <w:szCs w:val="22"/>
                <w:lang w:val="en-GB"/>
              </w:rPr>
            </w:pPr>
            <w:proofErr w:type="spellStart"/>
            <w:r w:rsidRPr="00873F50">
              <w:rPr>
                <w:rFonts w:ascii="Arial" w:hAnsi="Arial" w:cs="Arial"/>
                <w:sz w:val="22"/>
                <w:szCs w:val="22"/>
                <w:lang w:val="en-GB"/>
              </w:rPr>
              <w:t>Emer</w:t>
            </w:r>
            <w:proofErr w:type="spellEnd"/>
            <w:r w:rsidRPr="00873F50">
              <w:rPr>
                <w:rFonts w:ascii="Arial" w:hAnsi="Arial" w:cs="Arial"/>
                <w:sz w:val="22"/>
                <w:szCs w:val="22"/>
                <w:lang w:val="en-GB"/>
              </w:rPr>
              <w:t xml:space="preserve"> Costello </w:t>
            </w:r>
          </w:p>
        </w:tc>
        <w:tc>
          <w:tcPr>
            <w:tcW w:w="1797" w:type="pct"/>
            <w:shd w:val="clear" w:color="auto" w:fill="FFFFFF" w:themeFill="background1"/>
            <w:vAlign w:val="center"/>
          </w:tcPr>
          <w:p w:rsidR="00507380" w:rsidRPr="00873F50" w:rsidRDefault="00507380" w:rsidP="00873F50">
            <w:pPr>
              <w:pStyle w:val="Paragrafoelenco"/>
              <w:spacing w:before="0" w:after="0"/>
              <w:ind w:left="113"/>
              <w:jc w:val="left"/>
              <w:rPr>
                <w:rFonts w:ascii="Arial" w:hAnsi="Arial" w:cs="Arial"/>
                <w:sz w:val="22"/>
                <w:szCs w:val="22"/>
                <w:lang w:val="en-GB"/>
              </w:rPr>
            </w:pPr>
            <w:r w:rsidRPr="00873F50">
              <w:rPr>
                <w:rFonts w:ascii="Arial" w:hAnsi="Arial" w:cs="Arial"/>
                <w:sz w:val="22"/>
                <w:szCs w:val="22"/>
                <w:lang w:val="en-GB"/>
              </w:rPr>
              <w:t>EU Parliament and Legislative Council for Palestine</w:t>
            </w:r>
          </w:p>
        </w:tc>
        <w:tc>
          <w:tcPr>
            <w:tcW w:w="2140" w:type="pct"/>
            <w:gridSpan w:val="2"/>
            <w:shd w:val="clear" w:color="auto" w:fill="FFFFFF" w:themeFill="background1"/>
            <w:vAlign w:val="center"/>
          </w:tcPr>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Political follow-up of situation in Palestine</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EU political role: actual and potential</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 xml:space="preserve">Political priorities </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Human Rights issues</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Elections in Palestine</w:t>
            </w:r>
          </w:p>
          <w:p w:rsidR="00507380" w:rsidRPr="00873F50" w:rsidRDefault="00507380" w:rsidP="00873F50">
            <w:pPr>
              <w:pStyle w:val="Paragrafoelenco"/>
              <w:spacing w:before="0" w:after="0"/>
              <w:ind w:left="113"/>
              <w:jc w:val="left"/>
              <w:rPr>
                <w:rFonts w:ascii="Arial" w:hAnsi="Arial" w:cs="Arial"/>
                <w:sz w:val="22"/>
                <w:szCs w:val="22"/>
                <w:lang w:val="en-GB"/>
              </w:rPr>
            </w:pPr>
            <w:r w:rsidRPr="00873F50">
              <w:rPr>
                <w:rFonts w:ascii="Arial" w:hAnsi="Arial" w:cs="Arial"/>
                <w:sz w:val="22"/>
                <w:szCs w:val="22"/>
              </w:rPr>
              <w:t>Coordination Council and EEAS</w:t>
            </w:r>
          </w:p>
        </w:tc>
      </w:tr>
      <w:tr w:rsidR="00507380" w:rsidRPr="00873F50" w:rsidTr="00873F50">
        <w:trPr>
          <w:trHeight w:val="363"/>
          <w:jc w:val="center"/>
        </w:trPr>
        <w:tc>
          <w:tcPr>
            <w:tcW w:w="1063" w:type="pct"/>
            <w:gridSpan w:val="2"/>
            <w:shd w:val="clear" w:color="auto" w:fill="FFFFFF" w:themeFill="background1"/>
            <w:vAlign w:val="center"/>
            <w:hideMark/>
          </w:tcPr>
          <w:p w:rsidR="00507380" w:rsidRPr="00873F50" w:rsidRDefault="00507380" w:rsidP="00873F50">
            <w:pPr>
              <w:spacing w:before="0" w:after="0"/>
              <w:rPr>
                <w:rFonts w:ascii="Arial" w:hAnsi="Arial" w:cs="Arial"/>
                <w:sz w:val="22"/>
                <w:szCs w:val="22"/>
                <w:lang w:val="en-GB"/>
              </w:rPr>
            </w:pPr>
            <w:r w:rsidRPr="00873F50">
              <w:rPr>
                <w:rFonts w:ascii="Arial" w:hAnsi="Arial" w:cs="Arial"/>
                <w:sz w:val="22"/>
                <w:szCs w:val="22"/>
                <w:lang w:val="en-GB"/>
              </w:rPr>
              <w:t xml:space="preserve">Christian </w:t>
            </w:r>
            <w:proofErr w:type="spellStart"/>
            <w:r w:rsidRPr="00873F50">
              <w:rPr>
                <w:rFonts w:ascii="Arial" w:hAnsi="Arial" w:cs="Arial"/>
                <w:sz w:val="22"/>
                <w:szCs w:val="22"/>
                <w:lang w:val="en-GB"/>
              </w:rPr>
              <w:t>Garrigues</w:t>
            </w:r>
            <w:proofErr w:type="spellEnd"/>
          </w:p>
        </w:tc>
        <w:tc>
          <w:tcPr>
            <w:tcW w:w="1797" w:type="pct"/>
            <w:shd w:val="clear" w:color="auto" w:fill="FFFFFF" w:themeFill="background1"/>
            <w:vAlign w:val="center"/>
          </w:tcPr>
          <w:p w:rsidR="00507380" w:rsidRPr="00873F50" w:rsidRDefault="00507380" w:rsidP="00873F50">
            <w:pPr>
              <w:pStyle w:val="Paragrafoelenco"/>
              <w:spacing w:before="0" w:after="0"/>
              <w:ind w:left="113"/>
              <w:jc w:val="left"/>
              <w:rPr>
                <w:rFonts w:ascii="Arial" w:hAnsi="Arial" w:cs="Arial"/>
                <w:sz w:val="22"/>
                <w:szCs w:val="22"/>
                <w:lang w:val="en-GB"/>
              </w:rPr>
            </w:pPr>
            <w:r w:rsidRPr="00873F50">
              <w:rPr>
                <w:rFonts w:ascii="Arial" w:hAnsi="Arial" w:cs="Arial"/>
                <w:sz w:val="22"/>
                <w:szCs w:val="22"/>
                <w:lang w:val="en-GB"/>
              </w:rPr>
              <w:t>EU Parliament and Legislative Council for Palestine</w:t>
            </w:r>
          </w:p>
        </w:tc>
        <w:tc>
          <w:tcPr>
            <w:tcW w:w="2140" w:type="pct"/>
            <w:gridSpan w:val="2"/>
            <w:shd w:val="clear" w:color="auto" w:fill="FFFFFF" w:themeFill="background1"/>
            <w:vAlign w:val="center"/>
          </w:tcPr>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EU political role: actual and potential</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 xml:space="preserve">Political priorities </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Human Rights issues</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Elections in Palestine</w:t>
            </w:r>
          </w:p>
          <w:p w:rsidR="00507380" w:rsidRPr="00873F50" w:rsidRDefault="00507380" w:rsidP="00873F50">
            <w:pPr>
              <w:pStyle w:val="Paragrafoelenco"/>
              <w:spacing w:before="0" w:after="0"/>
              <w:ind w:left="113"/>
              <w:jc w:val="left"/>
              <w:rPr>
                <w:rFonts w:ascii="Arial" w:hAnsi="Arial" w:cs="Arial"/>
                <w:sz w:val="22"/>
                <w:szCs w:val="22"/>
                <w:lang w:val="en-GB"/>
              </w:rPr>
            </w:pPr>
            <w:r w:rsidRPr="00873F50">
              <w:rPr>
                <w:rFonts w:ascii="Arial" w:hAnsi="Arial" w:cs="Arial"/>
                <w:sz w:val="22"/>
                <w:szCs w:val="22"/>
              </w:rPr>
              <w:t>Coordination Council and EEAS</w:t>
            </w:r>
          </w:p>
        </w:tc>
      </w:tr>
      <w:tr w:rsidR="00507380" w:rsidRPr="00873F50" w:rsidTr="00873F50">
        <w:trPr>
          <w:trHeight w:val="363"/>
          <w:jc w:val="center"/>
        </w:trPr>
        <w:tc>
          <w:tcPr>
            <w:tcW w:w="1063" w:type="pct"/>
            <w:gridSpan w:val="2"/>
            <w:shd w:val="clear" w:color="auto" w:fill="FFFFFF" w:themeFill="background1"/>
            <w:vAlign w:val="center"/>
            <w:hideMark/>
          </w:tcPr>
          <w:p w:rsidR="00507380" w:rsidRPr="00873F50" w:rsidRDefault="00507380" w:rsidP="00873F50">
            <w:pPr>
              <w:spacing w:before="0" w:after="0"/>
              <w:rPr>
                <w:rFonts w:ascii="Arial" w:hAnsi="Arial" w:cs="Arial"/>
                <w:sz w:val="22"/>
                <w:szCs w:val="22"/>
                <w:lang w:val="en-GB"/>
              </w:rPr>
            </w:pPr>
            <w:r w:rsidRPr="00873F50">
              <w:rPr>
                <w:rFonts w:ascii="Arial" w:hAnsi="Arial" w:cs="Arial"/>
                <w:sz w:val="22"/>
                <w:szCs w:val="22"/>
                <w:lang w:val="en-GB"/>
              </w:rPr>
              <w:t xml:space="preserve">Brigitte </w:t>
            </w:r>
            <w:proofErr w:type="spellStart"/>
            <w:r w:rsidRPr="00873F50">
              <w:rPr>
                <w:rFonts w:ascii="Arial" w:hAnsi="Arial" w:cs="Arial"/>
                <w:sz w:val="22"/>
                <w:szCs w:val="22"/>
                <w:lang w:val="en-GB"/>
              </w:rPr>
              <w:t>Herremans</w:t>
            </w:r>
            <w:proofErr w:type="spellEnd"/>
          </w:p>
        </w:tc>
        <w:tc>
          <w:tcPr>
            <w:tcW w:w="1797" w:type="pct"/>
            <w:shd w:val="clear" w:color="auto" w:fill="FFFFFF" w:themeFill="background1"/>
            <w:vAlign w:val="center"/>
          </w:tcPr>
          <w:p w:rsidR="00507380" w:rsidRPr="00873F50" w:rsidRDefault="00507380" w:rsidP="00873F50">
            <w:pPr>
              <w:pStyle w:val="Paragrafoelenco"/>
              <w:spacing w:before="0" w:after="0"/>
              <w:ind w:left="113"/>
              <w:jc w:val="left"/>
              <w:rPr>
                <w:rFonts w:ascii="Arial" w:hAnsi="Arial" w:cs="Arial"/>
                <w:sz w:val="22"/>
                <w:szCs w:val="22"/>
                <w:lang w:val="en-GB"/>
              </w:rPr>
            </w:pPr>
            <w:proofErr w:type="spellStart"/>
            <w:r w:rsidRPr="00873F50">
              <w:rPr>
                <w:rFonts w:ascii="Arial" w:hAnsi="Arial" w:cs="Arial"/>
                <w:sz w:val="22"/>
                <w:szCs w:val="22"/>
                <w:lang w:val="en-GB"/>
              </w:rPr>
              <w:t>Broederlijk</w:t>
            </w:r>
            <w:proofErr w:type="spellEnd"/>
            <w:r w:rsidRPr="00873F50">
              <w:rPr>
                <w:rFonts w:ascii="Arial" w:hAnsi="Arial" w:cs="Arial"/>
                <w:sz w:val="22"/>
                <w:szCs w:val="22"/>
                <w:lang w:val="en-GB"/>
              </w:rPr>
              <w:t xml:space="preserve"> </w:t>
            </w:r>
            <w:proofErr w:type="spellStart"/>
            <w:r w:rsidRPr="00873F50">
              <w:rPr>
                <w:rFonts w:ascii="Arial" w:hAnsi="Arial" w:cs="Arial"/>
                <w:sz w:val="22"/>
                <w:szCs w:val="22"/>
                <w:lang w:val="en-GB"/>
              </w:rPr>
              <w:t>Delen</w:t>
            </w:r>
            <w:proofErr w:type="spellEnd"/>
          </w:p>
        </w:tc>
        <w:tc>
          <w:tcPr>
            <w:tcW w:w="2140" w:type="pct"/>
            <w:gridSpan w:val="2"/>
            <w:shd w:val="clear" w:color="auto" w:fill="FFFFFF" w:themeFill="background1"/>
            <w:vAlign w:val="center"/>
          </w:tcPr>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Civil Society and EU cooperation</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Assumptions for EU cooperation</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Analysis of obstacles to achieving goals</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Respect of humanitarian law and EU engagement</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Policy making: tangible and intangible factors</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Gaza</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Area C</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Need for engagement and socialization with Israel</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Role and challenges for Civil Society</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Relevance and effectiveness of aid</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Civil Society contacts in Palestine</w:t>
            </w:r>
          </w:p>
          <w:p w:rsidR="00507380" w:rsidRPr="00873F50" w:rsidRDefault="00507380" w:rsidP="00873F50">
            <w:pPr>
              <w:pStyle w:val="Paragrafoelenco"/>
              <w:spacing w:before="0" w:after="0"/>
              <w:ind w:left="113"/>
              <w:jc w:val="left"/>
              <w:rPr>
                <w:rFonts w:ascii="Arial" w:hAnsi="Arial" w:cs="Arial"/>
                <w:sz w:val="22"/>
                <w:szCs w:val="22"/>
                <w:lang w:val="en-GB"/>
              </w:rPr>
            </w:pPr>
            <w:r w:rsidRPr="00873F50">
              <w:rPr>
                <w:rFonts w:ascii="Arial" w:hAnsi="Arial" w:cs="Arial"/>
                <w:sz w:val="22"/>
                <w:szCs w:val="22"/>
              </w:rPr>
              <w:t>Civil Society and EU policies</w:t>
            </w:r>
          </w:p>
        </w:tc>
      </w:tr>
      <w:tr w:rsidR="00507380" w:rsidRPr="00873F50" w:rsidTr="00873F50">
        <w:trPr>
          <w:trHeight w:val="363"/>
          <w:jc w:val="center"/>
        </w:trPr>
        <w:tc>
          <w:tcPr>
            <w:tcW w:w="1063" w:type="pct"/>
            <w:gridSpan w:val="2"/>
            <w:shd w:val="clear" w:color="auto" w:fill="FFFFFF" w:themeFill="background1"/>
            <w:vAlign w:val="center"/>
            <w:hideMark/>
          </w:tcPr>
          <w:p w:rsidR="00507380" w:rsidRPr="00873F50" w:rsidRDefault="00507380" w:rsidP="00873F50">
            <w:pPr>
              <w:spacing w:before="0" w:after="0"/>
              <w:rPr>
                <w:rFonts w:ascii="Arial" w:hAnsi="Arial" w:cs="Arial"/>
                <w:sz w:val="22"/>
                <w:szCs w:val="22"/>
                <w:lang w:val="en-GB"/>
              </w:rPr>
            </w:pPr>
            <w:proofErr w:type="spellStart"/>
            <w:r w:rsidRPr="00873F50">
              <w:rPr>
                <w:rFonts w:ascii="Arial" w:hAnsi="Arial" w:cs="Arial"/>
                <w:sz w:val="22"/>
                <w:szCs w:val="22"/>
                <w:lang w:val="en-GB"/>
              </w:rPr>
              <w:t>Pavel</w:t>
            </w:r>
            <w:proofErr w:type="spellEnd"/>
            <w:r w:rsidRPr="00873F50">
              <w:rPr>
                <w:rFonts w:ascii="Arial" w:hAnsi="Arial" w:cs="Arial"/>
                <w:sz w:val="22"/>
                <w:szCs w:val="22"/>
                <w:lang w:val="en-GB"/>
              </w:rPr>
              <w:t xml:space="preserve"> </w:t>
            </w:r>
            <w:proofErr w:type="spellStart"/>
            <w:r w:rsidRPr="00873F50">
              <w:rPr>
                <w:rFonts w:ascii="Arial" w:hAnsi="Arial" w:cs="Arial"/>
                <w:sz w:val="22"/>
                <w:szCs w:val="22"/>
                <w:lang w:val="en-GB"/>
              </w:rPr>
              <w:t>Bouda</w:t>
            </w:r>
            <w:proofErr w:type="spellEnd"/>
            <w:r w:rsidRPr="00873F50">
              <w:rPr>
                <w:rFonts w:ascii="Arial" w:hAnsi="Arial" w:cs="Arial"/>
                <w:sz w:val="22"/>
                <w:szCs w:val="22"/>
                <w:lang w:val="en-GB"/>
              </w:rPr>
              <w:t xml:space="preserve"> </w:t>
            </w:r>
          </w:p>
        </w:tc>
        <w:tc>
          <w:tcPr>
            <w:tcW w:w="1797" w:type="pct"/>
            <w:shd w:val="clear" w:color="auto" w:fill="FFFFFF" w:themeFill="background1"/>
            <w:vAlign w:val="center"/>
          </w:tcPr>
          <w:p w:rsidR="00507380" w:rsidRPr="00873F50" w:rsidRDefault="00507380" w:rsidP="00873F50">
            <w:pPr>
              <w:spacing w:before="0" w:after="0"/>
              <w:jc w:val="left"/>
              <w:rPr>
                <w:rFonts w:ascii="Arial" w:hAnsi="Arial" w:cs="Arial"/>
                <w:sz w:val="22"/>
                <w:szCs w:val="22"/>
                <w:lang w:val="en-GB"/>
              </w:rPr>
            </w:pPr>
            <w:r w:rsidRPr="00873F50">
              <w:rPr>
                <w:rFonts w:ascii="Arial" w:hAnsi="Arial" w:cs="Arial"/>
                <w:sz w:val="22"/>
                <w:szCs w:val="22"/>
                <w:lang w:val="en-GB"/>
              </w:rPr>
              <w:t xml:space="preserve">Cabinet Commissioner </w:t>
            </w:r>
            <w:proofErr w:type="spellStart"/>
            <w:r w:rsidRPr="00873F50">
              <w:rPr>
                <w:rFonts w:ascii="Arial" w:hAnsi="Arial" w:cs="Arial"/>
                <w:sz w:val="22"/>
                <w:szCs w:val="22"/>
                <w:lang w:val="en-GB"/>
              </w:rPr>
              <w:t>Fule</w:t>
            </w:r>
            <w:proofErr w:type="spellEnd"/>
          </w:p>
        </w:tc>
        <w:tc>
          <w:tcPr>
            <w:tcW w:w="2140" w:type="pct"/>
            <w:gridSpan w:val="2"/>
            <w:shd w:val="clear" w:color="auto" w:fill="FFFFFF" w:themeFill="background1"/>
            <w:vAlign w:val="center"/>
          </w:tcPr>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Coordination EU services</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Lisbon Treaty and collegiality</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Political perspective of EU for Palestine and Middle East</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Stable equilibrium</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Political circumstances and exit strategy</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Dialogue with Israel</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Leverage with PA and Israel</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Guidelines</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Application of Humanitarian Laws</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Instruments for making cooperation more effective</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Role of High Representative</w:t>
            </w:r>
          </w:p>
          <w:p w:rsidR="00507380" w:rsidRPr="00873F50" w:rsidRDefault="00507380" w:rsidP="00873F50">
            <w:pPr>
              <w:spacing w:before="0" w:after="0"/>
              <w:jc w:val="left"/>
              <w:rPr>
                <w:rFonts w:ascii="Arial" w:hAnsi="Arial" w:cs="Arial"/>
                <w:sz w:val="22"/>
                <w:szCs w:val="22"/>
                <w:lang w:val="en-GB"/>
              </w:rPr>
            </w:pPr>
            <w:r w:rsidRPr="00873F50">
              <w:rPr>
                <w:rFonts w:ascii="Arial" w:hAnsi="Arial" w:cs="Arial"/>
                <w:sz w:val="22"/>
                <w:szCs w:val="22"/>
              </w:rPr>
              <w:lastRenderedPageBreak/>
              <w:t>Scope and importance of the Evaluation</w:t>
            </w:r>
          </w:p>
        </w:tc>
      </w:tr>
      <w:tr w:rsidR="00507380" w:rsidRPr="00873F50" w:rsidTr="00873F50">
        <w:trPr>
          <w:trHeight w:val="363"/>
          <w:jc w:val="center"/>
        </w:trPr>
        <w:tc>
          <w:tcPr>
            <w:tcW w:w="1063" w:type="pct"/>
            <w:gridSpan w:val="2"/>
            <w:shd w:val="clear" w:color="auto" w:fill="FFFFFF" w:themeFill="background1"/>
            <w:vAlign w:val="center"/>
            <w:hideMark/>
          </w:tcPr>
          <w:p w:rsidR="00507380" w:rsidRPr="00873F50" w:rsidRDefault="00507380" w:rsidP="00873F50">
            <w:pPr>
              <w:spacing w:before="0" w:after="0"/>
              <w:rPr>
                <w:rFonts w:ascii="Arial" w:hAnsi="Arial" w:cs="Arial"/>
                <w:sz w:val="22"/>
                <w:szCs w:val="22"/>
                <w:lang w:val="en-GB"/>
              </w:rPr>
            </w:pPr>
            <w:r w:rsidRPr="00873F50">
              <w:rPr>
                <w:rFonts w:ascii="Arial" w:hAnsi="Arial" w:cs="Arial"/>
                <w:sz w:val="22"/>
                <w:szCs w:val="22"/>
                <w:lang w:val="en-GB"/>
              </w:rPr>
              <w:lastRenderedPageBreak/>
              <w:t xml:space="preserve">Raffaella </w:t>
            </w:r>
            <w:proofErr w:type="spellStart"/>
            <w:r w:rsidRPr="00873F50">
              <w:rPr>
                <w:rFonts w:ascii="Arial" w:hAnsi="Arial" w:cs="Arial"/>
                <w:sz w:val="22"/>
                <w:szCs w:val="22"/>
                <w:lang w:val="en-GB"/>
              </w:rPr>
              <w:t>Iodice</w:t>
            </w:r>
            <w:proofErr w:type="spellEnd"/>
            <w:r w:rsidRPr="00873F50">
              <w:rPr>
                <w:rFonts w:ascii="Arial" w:hAnsi="Arial" w:cs="Arial"/>
                <w:sz w:val="22"/>
                <w:szCs w:val="22"/>
                <w:lang w:val="en-GB"/>
              </w:rPr>
              <w:t xml:space="preserve"> </w:t>
            </w:r>
          </w:p>
        </w:tc>
        <w:tc>
          <w:tcPr>
            <w:tcW w:w="1797" w:type="pct"/>
            <w:shd w:val="clear" w:color="auto" w:fill="FFFFFF" w:themeFill="background1"/>
            <w:vAlign w:val="center"/>
          </w:tcPr>
          <w:p w:rsidR="00507380" w:rsidRPr="00873F50" w:rsidRDefault="00507380" w:rsidP="00873F50">
            <w:pPr>
              <w:spacing w:before="0" w:after="0"/>
              <w:jc w:val="left"/>
              <w:rPr>
                <w:rFonts w:ascii="Arial" w:hAnsi="Arial" w:cs="Arial"/>
                <w:sz w:val="22"/>
                <w:szCs w:val="22"/>
                <w:lang w:val="en-GB"/>
              </w:rPr>
            </w:pPr>
            <w:r w:rsidRPr="00873F50">
              <w:rPr>
                <w:rFonts w:ascii="Arial" w:hAnsi="Arial" w:cs="Arial"/>
                <w:sz w:val="22"/>
                <w:szCs w:val="22"/>
                <w:lang w:val="en-GB"/>
              </w:rPr>
              <w:t>DEVCO</w:t>
            </w:r>
          </w:p>
        </w:tc>
        <w:tc>
          <w:tcPr>
            <w:tcW w:w="2140" w:type="pct"/>
            <w:gridSpan w:val="2"/>
            <w:shd w:val="clear" w:color="auto" w:fill="FFFFFF" w:themeFill="background1"/>
          </w:tcPr>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Context for cooperation with Palestine and evolution of the situation</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Paradigm shift in cooperation</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Coordination DEVCO – EEAS</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Quartet and AHLC</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Outcomes of cooperation efforts</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Privileged channel of communication with PA</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Instruments of cooperation</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Limitation of cooperation efforts with PA (example of Judiciary)</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Accountability</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Coordination with Member States</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Coordination with Gulf States and Islamic Bank</w:t>
            </w:r>
          </w:p>
          <w:p w:rsidR="00507380" w:rsidRPr="00873F50" w:rsidRDefault="00507380" w:rsidP="00873F50">
            <w:pPr>
              <w:spacing w:before="0" w:after="0"/>
              <w:jc w:val="left"/>
              <w:rPr>
                <w:rFonts w:ascii="Arial" w:hAnsi="Arial" w:cs="Arial"/>
                <w:sz w:val="22"/>
                <w:szCs w:val="22"/>
                <w:lang w:val="en-GB"/>
              </w:rPr>
            </w:pPr>
            <w:r w:rsidRPr="00873F50">
              <w:rPr>
                <w:rFonts w:ascii="Arial" w:hAnsi="Arial" w:cs="Arial"/>
                <w:sz w:val="22"/>
                <w:szCs w:val="22"/>
              </w:rPr>
              <w:t>Benchmarks for cooperation</w:t>
            </w:r>
          </w:p>
        </w:tc>
      </w:tr>
      <w:tr w:rsidR="00507380" w:rsidRPr="00873F50" w:rsidTr="00873F50">
        <w:trPr>
          <w:trHeight w:val="363"/>
          <w:jc w:val="center"/>
        </w:trPr>
        <w:tc>
          <w:tcPr>
            <w:tcW w:w="1063" w:type="pct"/>
            <w:gridSpan w:val="2"/>
            <w:shd w:val="clear" w:color="auto" w:fill="FFFFFF" w:themeFill="background1"/>
            <w:vAlign w:val="center"/>
            <w:hideMark/>
          </w:tcPr>
          <w:p w:rsidR="00507380" w:rsidRPr="00873F50" w:rsidRDefault="00507380" w:rsidP="00873F50">
            <w:pPr>
              <w:spacing w:before="0" w:after="0"/>
              <w:rPr>
                <w:rFonts w:ascii="Arial" w:hAnsi="Arial" w:cs="Arial"/>
                <w:sz w:val="22"/>
                <w:szCs w:val="22"/>
                <w:lang w:val="en-GB"/>
              </w:rPr>
            </w:pPr>
            <w:r w:rsidRPr="00873F50">
              <w:rPr>
                <w:rFonts w:ascii="Arial" w:hAnsi="Arial" w:cs="Arial"/>
                <w:sz w:val="22"/>
                <w:szCs w:val="22"/>
                <w:lang w:val="en-GB"/>
              </w:rPr>
              <w:t xml:space="preserve">Deborah </w:t>
            </w:r>
            <w:proofErr w:type="spellStart"/>
            <w:r w:rsidRPr="00873F50">
              <w:rPr>
                <w:rFonts w:ascii="Arial" w:hAnsi="Arial" w:cs="Arial"/>
                <w:sz w:val="22"/>
                <w:szCs w:val="22"/>
                <w:lang w:val="en-GB"/>
              </w:rPr>
              <w:t>Casalin</w:t>
            </w:r>
            <w:proofErr w:type="spellEnd"/>
          </w:p>
        </w:tc>
        <w:tc>
          <w:tcPr>
            <w:tcW w:w="1797" w:type="pct"/>
            <w:shd w:val="clear" w:color="auto" w:fill="FFFFFF" w:themeFill="background1"/>
            <w:vAlign w:val="center"/>
          </w:tcPr>
          <w:p w:rsidR="00507380" w:rsidRPr="00873F50" w:rsidRDefault="00507380" w:rsidP="00873F50">
            <w:pPr>
              <w:spacing w:before="0" w:after="0"/>
              <w:jc w:val="left"/>
              <w:rPr>
                <w:rFonts w:ascii="Arial" w:hAnsi="Arial" w:cs="Arial"/>
                <w:sz w:val="22"/>
                <w:szCs w:val="22"/>
                <w:lang w:val="en-GB"/>
              </w:rPr>
            </w:pPr>
            <w:r w:rsidRPr="00873F50">
              <w:rPr>
                <w:rFonts w:ascii="Arial" w:hAnsi="Arial" w:cs="Arial"/>
                <w:sz w:val="22"/>
                <w:szCs w:val="22"/>
                <w:lang w:val="en-GB"/>
              </w:rPr>
              <w:t>CIDSE</w:t>
            </w:r>
          </w:p>
        </w:tc>
        <w:tc>
          <w:tcPr>
            <w:tcW w:w="2140" w:type="pct"/>
            <w:gridSpan w:val="2"/>
            <w:shd w:val="clear" w:color="auto" w:fill="FFFFFF" w:themeFill="background1"/>
          </w:tcPr>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Civil Society action for EU policies</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EU Peace process support</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Relations with Israel</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Association Agreement</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 xml:space="preserve">Guidelines and </w:t>
            </w:r>
            <w:proofErr w:type="spellStart"/>
            <w:r w:rsidRPr="00873F50">
              <w:rPr>
                <w:rFonts w:ascii="Arial" w:hAnsi="Arial" w:cs="Arial"/>
                <w:sz w:val="22"/>
                <w:szCs w:val="22"/>
              </w:rPr>
              <w:t>labelling</w:t>
            </w:r>
            <w:proofErr w:type="spellEnd"/>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 xml:space="preserve">December 2012 Council Conclusions and agreements not to recognize, aid or assist violations to international law </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Challenges of different political perspectives of MS</w:t>
            </w:r>
          </w:p>
        </w:tc>
      </w:tr>
      <w:tr w:rsidR="00507380" w:rsidRPr="00873F50" w:rsidTr="00873F50">
        <w:trPr>
          <w:trHeight w:val="363"/>
          <w:jc w:val="center"/>
        </w:trPr>
        <w:tc>
          <w:tcPr>
            <w:tcW w:w="1063" w:type="pct"/>
            <w:gridSpan w:val="2"/>
            <w:shd w:val="clear" w:color="auto" w:fill="FFFFFF" w:themeFill="background1"/>
            <w:vAlign w:val="center"/>
            <w:hideMark/>
          </w:tcPr>
          <w:p w:rsidR="00507380" w:rsidRPr="00873F50" w:rsidRDefault="00507380" w:rsidP="00873F50">
            <w:pPr>
              <w:spacing w:before="0" w:after="0"/>
              <w:rPr>
                <w:rFonts w:ascii="Arial" w:hAnsi="Arial" w:cs="Arial"/>
                <w:sz w:val="22"/>
                <w:szCs w:val="22"/>
                <w:lang w:val="en-GB"/>
              </w:rPr>
            </w:pPr>
            <w:r w:rsidRPr="00873F50">
              <w:rPr>
                <w:rFonts w:ascii="Arial" w:hAnsi="Arial" w:cs="Arial"/>
                <w:sz w:val="22"/>
                <w:szCs w:val="22"/>
                <w:lang w:val="en-GB"/>
              </w:rPr>
              <w:t>Isabelle Martins</w:t>
            </w:r>
          </w:p>
        </w:tc>
        <w:tc>
          <w:tcPr>
            <w:tcW w:w="1797" w:type="pct"/>
            <w:shd w:val="clear" w:color="auto" w:fill="FFFFFF" w:themeFill="background1"/>
            <w:vAlign w:val="center"/>
          </w:tcPr>
          <w:p w:rsidR="00507380" w:rsidRPr="00873F50" w:rsidRDefault="00507380" w:rsidP="00873F50">
            <w:pPr>
              <w:spacing w:before="0" w:after="0"/>
              <w:jc w:val="left"/>
              <w:rPr>
                <w:rFonts w:ascii="Arial" w:hAnsi="Arial" w:cs="Arial"/>
                <w:sz w:val="22"/>
                <w:szCs w:val="22"/>
                <w:lang w:val="en-GB"/>
              </w:rPr>
            </w:pPr>
            <w:r w:rsidRPr="00873F50">
              <w:rPr>
                <w:rFonts w:ascii="Arial" w:hAnsi="Arial" w:cs="Arial"/>
                <w:sz w:val="22"/>
                <w:szCs w:val="22"/>
                <w:lang w:val="en-GB"/>
              </w:rPr>
              <w:t>EU Advocacy Intern OXFAM</w:t>
            </w:r>
          </w:p>
        </w:tc>
        <w:tc>
          <w:tcPr>
            <w:tcW w:w="2140" w:type="pct"/>
            <w:gridSpan w:val="2"/>
            <w:shd w:val="clear" w:color="auto" w:fill="FFFFFF" w:themeFill="background1"/>
          </w:tcPr>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Positive outcomes of EU cooperation</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Dichotomy of political track and development track</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Civil Society action for EU policies</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Demolition of EU projects: lack of coordinated policies and mechanisms</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Investments in Area C</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Guidelines for a) funding, b) labeling and c) business</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Call from MS to HR for EU guidelines</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Different approaches of MS to middle east politics and how this affects cooperation efforts</w:t>
            </w:r>
          </w:p>
          <w:p w:rsidR="00507380" w:rsidRPr="00873F50" w:rsidRDefault="00507380" w:rsidP="00B54C8F">
            <w:pPr>
              <w:pStyle w:val="Paragrafoelenco"/>
              <w:numPr>
                <w:ilvl w:val="0"/>
                <w:numId w:val="96"/>
              </w:numPr>
              <w:spacing w:before="0" w:after="0"/>
              <w:jc w:val="left"/>
              <w:rPr>
                <w:rFonts w:ascii="Arial" w:hAnsi="Arial" w:cs="Arial"/>
                <w:sz w:val="22"/>
                <w:szCs w:val="22"/>
              </w:rPr>
            </w:pPr>
            <w:r w:rsidRPr="00873F50">
              <w:rPr>
                <w:rFonts w:ascii="Arial" w:hAnsi="Arial" w:cs="Arial"/>
                <w:sz w:val="22"/>
                <w:szCs w:val="22"/>
              </w:rPr>
              <w:t>Difficulties to enforce existing legislation</w:t>
            </w:r>
          </w:p>
        </w:tc>
      </w:tr>
    </w:tbl>
    <w:p w:rsidR="00507380" w:rsidRDefault="00507380" w:rsidP="00A574EB">
      <w:pPr>
        <w:jc w:val="center"/>
        <w:rPr>
          <w:rFonts w:ascii="Times New Roman" w:hAnsi="Times New Roman"/>
          <w:b/>
          <w:caps/>
          <w:color w:val="FFFFFF" w:themeColor="background1"/>
          <w:spacing w:val="20"/>
          <w:kern w:val="28"/>
          <w:sz w:val="28"/>
          <w:szCs w:val="28"/>
          <w:lang w:eastAsia="pl-PL"/>
        </w:rPr>
      </w:pPr>
    </w:p>
    <w:p w:rsidR="004D3D6D" w:rsidRDefault="004D3D6D" w:rsidP="00A574EB">
      <w:pPr>
        <w:jc w:val="center"/>
        <w:rPr>
          <w:rFonts w:ascii="Times New Roman" w:hAnsi="Times New Roman"/>
          <w:b/>
          <w:caps/>
          <w:color w:val="FFFFFF" w:themeColor="background1"/>
          <w:spacing w:val="20"/>
          <w:kern w:val="28"/>
          <w:sz w:val="28"/>
          <w:szCs w:val="28"/>
          <w:lang w:eastAsia="pl-PL"/>
        </w:rPr>
      </w:pPr>
    </w:p>
    <w:p w:rsidR="00C468AA" w:rsidRDefault="00C468AA" w:rsidP="00A574EB">
      <w:pPr>
        <w:jc w:val="center"/>
        <w:rPr>
          <w:rFonts w:ascii="Times New Roman" w:hAnsi="Times New Roman"/>
          <w:b/>
          <w:caps/>
          <w:color w:val="FFFFFF" w:themeColor="background1"/>
          <w:spacing w:val="20"/>
          <w:kern w:val="28"/>
          <w:sz w:val="28"/>
          <w:szCs w:val="28"/>
          <w:lang w:eastAsia="pl-PL"/>
        </w:rPr>
        <w:sectPr w:rsidR="00C468AA" w:rsidSect="00AB31B3">
          <w:pgSz w:w="11906" w:h="16838"/>
          <w:pgMar w:top="1417" w:right="1134" w:bottom="1134" w:left="1134" w:header="708" w:footer="708" w:gutter="0"/>
          <w:cols w:space="708"/>
          <w:docGrid w:linePitch="360"/>
        </w:sectPr>
      </w:pPr>
    </w:p>
    <w:p w:rsidR="008F2A89" w:rsidRDefault="00C468AA" w:rsidP="006D7451">
      <w:pPr>
        <w:spacing w:before="0" w:after="0"/>
        <w:jc w:val="center"/>
        <w:rPr>
          <w:rFonts w:ascii="Arial" w:hAnsi="Arial" w:cs="Arial"/>
          <w:b/>
          <w:caps/>
          <w:color w:val="1F497D" w:themeColor="text2"/>
          <w:spacing w:val="20"/>
          <w:kern w:val="28"/>
          <w:sz w:val="24"/>
          <w:szCs w:val="24"/>
          <w:lang w:eastAsia="pl-PL"/>
        </w:rPr>
      </w:pPr>
      <w:r w:rsidRPr="006D7451">
        <w:rPr>
          <w:rFonts w:ascii="Arial" w:hAnsi="Arial" w:cs="Arial"/>
          <w:b/>
          <w:caps/>
          <w:color w:val="1F497D" w:themeColor="text2"/>
          <w:spacing w:val="20"/>
          <w:kern w:val="28"/>
          <w:sz w:val="24"/>
          <w:szCs w:val="24"/>
          <w:lang w:eastAsia="pl-PL"/>
        </w:rPr>
        <w:lastRenderedPageBreak/>
        <w:t>Annex 4: List of Stakeholders for field mission</w:t>
      </w:r>
    </w:p>
    <w:tbl>
      <w:tblPr>
        <w:tblW w:w="5000" w:type="pct"/>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CellMar>
          <w:left w:w="70" w:type="dxa"/>
          <w:right w:w="70" w:type="dxa"/>
        </w:tblCellMar>
        <w:tblLook w:val="04A0"/>
      </w:tblPr>
      <w:tblGrid>
        <w:gridCol w:w="1633"/>
        <w:gridCol w:w="1416"/>
        <w:gridCol w:w="18"/>
        <w:gridCol w:w="1400"/>
        <w:gridCol w:w="5311"/>
      </w:tblGrid>
      <w:tr w:rsidR="00124A50" w:rsidRPr="00400559" w:rsidTr="00740262">
        <w:trPr>
          <w:trHeight w:val="360"/>
        </w:trPr>
        <w:tc>
          <w:tcPr>
            <w:tcW w:w="835" w:type="pct"/>
            <w:shd w:val="clear" w:color="auto" w:fill="4F81BD" w:themeFill="accent1"/>
            <w:noWrap/>
            <w:vAlign w:val="center"/>
            <w:hideMark/>
          </w:tcPr>
          <w:p w:rsidR="00124A50" w:rsidRPr="00400559" w:rsidRDefault="00124A50" w:rsidP="00124A50">
            <w:pPr>
              <w:spacing w:before="0" w:after="0"/>
              <w:jc w:val="center"/>
              <w:rPr>
                <w:rFonts w:ascii="Arial Narrow" w:hAnsi="Arial Narrow" w:cs="Arial"/>
                <w:b/>
                <w:bCs/>
                <w:color w:val="FFFFFF" w:themeColor="background1"/>
                <w:sz w:val="20"/>
                <w:lang w:val="it-IT" w:eastAsia="it-IT"/>
              </w:rPr>
            </w:pPr>
            <w:r w:rsidRPr="00400559">
              <w:rPr>
                <w:rFonts w:ascii="Arial Narrow" w:hAnsi="Arial Narrow" w:cs="Arial"/>
                <w:b/>
                <w:bCs/>
                <w:color w:val="FFFFFF" w:themeColor="background1"/>
                <w:sz w:val="20"/>
                <w:lang w:val="it-IT" w:eastAsia="it-IT"/>
              </w:rPr>
              <w:t>INSTITUTION</w:t>
            </w:r>
          </w:p>
        </w:tc>
        <w:tc>
          <w:tcPr>
            <w:tcW w:w="733" w:type="pct"/>
            <w:gridSpan w:val="2"/>
            <w:shd w:val="clear" w:color="auto" w:fill="4F81BD" w:themeFill="accent1"/>
            <w:noWrap/>
            <w:vAlign w:val="center"/>
            <w:hideMark/>
          </w:tcPr>
          <w:p w:rsidR="00124A50" w:rsidRPr="00400559" w:rsidRDefault="00124A50" w:rsidP="00124A50">
            <w:pPr>
              <w:spacing w:before="0" w:after="0"/>
              <w:jc w:val="center"/>
              <w:rPr>
                <w:rFonts w:ascii="Arial Narrow" w:hAnsi="Arial Narrow" w:cs="Arial"/>
                <w:b/>
                <w:bCs/>
                <w:color w:val="FFFFFF" w:themeColor="background1"/>
                <w:sz w:val="20"/>
                <w:lang w:val="it-IT" w:eastAsia="it-IT"/>
              </w:rPr>
            </w:pPr>
            <w:r w:rsidRPr="00400559">
              <w:rPr>
                <w:rFonts w:ascii="Arial Narrow" w:hAnsi="Arial Narrow" w:cs="Arial"/>
                <w:b/>
                <w:bCs/>
                <w:color w:val="FFFFFF" w:themeColor="background1"/>
                <w:sz w:val="20"/>
                <w:lang w:val="it-IT" w:eastAsia="it-IT"/>
              </w:rPr>
              <w:t>NAME</w:t>
            </w:r>
          </w:p>
        </w:tc>
        <w:tc>
          <w:tcPr>
            <w:tcW w:w="716" w:type="pct"/>
            <w:shd w:val="clear" w:color="auto" w:fill="4F81BD" w:themeFill="accent1"/>
          </w:tcPr>
          <w:p w:rsidR="00124A50" w:rsidRPr="00400559" w:rsidRDefault="00124A50" w:rsidP="00124A50">
            <w:pPr>
              <w:spacing w:before="0" w:after="0"/>
              <w:jc w:val="center"/>
              <w:rPr>
                <w:rFonts w:ascii="Arial Narrow" w:hAnsi="Arial Narrow" w:cs="Arial"/>
                <w:b/>
                <w:bCs/>
                <w:color w:val="FFFFFF" w:themeColor="background1"/>
                <w:sz w:val="20"/>
                <w:lang w:val="it-IT" w:eastAsia="it-IT"/>
              </w:rPr>
            </w:pPr>
            <w:r w:rsidRPr="00400559">
              <w:rPr>
                <w:rFonts w:ascii="Arial Narrow" w:hAnsi="Arial Narrow" w:cs="Arial"/>
                <w:b/>
                <w:bCs/>
                <w:color w:val="FFFFFF" w:themeColor="background1"/>
                <w:sz w:val="20"/>
                <w:lang w:val="it-IT" w:eastAsia="it-IT"/>
              </w:rPr>
              <w:t>SURNAME</w:t>
            </w:r>
          </w:p>
        </w:tc>
        <w:tc>
          <w:tcPr>
            <w:tcW w:w="2716" w:type="pct"/>
            <w:shd w:val="clear" w:color="auto" w:fill="4F81BD" w:themeFill="accent1"/>
            <w:noWrap/>
            <w:vAlign w:val="center"/>
            <w:hideMark/>
          </w:tcPr>
          <w:p w:rsidR="00124A50" w:rsidRPr="00400559" w:rsidRDefault="00124A50" w:rsidP="00124A50">
            <w:pPr>
              <w:spacing w:before="0" w:after="0"/>
              <w:jc w:val="center"/>
              <w:rPr>
                <w:rFonts w:ascii="Arial Narrow" w:hAnsi="Arial Narrow" w:cs="Arial"/>
                <w:b/>
                <w:bCs/>
                <w:color w:val="FFFFFF" w:themeColor="background1"/>
                <w:sz w:val="20"/>
                <w:lang w:val="it-IT" w:eastAsia="it-IT"/>
              </w:rPr>
            </w:pPr>
            <w:r w:rsidRPr="00400559">
              <w:rPr>
                <w:rFonts w:ascii="Arial Narrow" w:hAnsi="Arial Narrow" w:cs="Arial"/>
                <w:b/>
                <w:bCs/>
                <w:color w:val="FFFFFF" w:themeColor="background1"/>
                <w:sz w:val="20"/>
                <w:lang w:val="it-IT" w:eastAsia="it-IT"/>
              </w:rPr>
              <w:t>FUNCTION</w:t>
            </w:r>
          </w:p>
        </w:tc>
      </w:tr>
      <w:tr w:rsidR="00124A50" w:rsidRPr="00400559" w:rsidTr="00740262">
        <w:trPr>
          <w:trHeight w:val="360"/>
        </w:trPr>
        <w:tc>
          <w:tcPr>
            <w:tcW w:w="5000" w:type="pct"/>
            <w:gridSpan w:val="5"/>
            <w:shd w:val="clear" w:color="auto" w:fill="DBE5F1" w:themeFill="accent1" w:themeFillTint="33"/>
          </w:tcPr>
          <w:p w:rsidR="00124A50" w:rsidRPr="00400559" w:rsidRDefault="00124A50" w:rsidP="00124A50">
            <w:pPr>
              <w:spacing w:before="0" w:after="0"/>
              <w:jc w:val="center"/>
              <w:rPr>
                <w:rFonts w:ascii="Arial Narrow" w:hAnsi="Arial Narrow" w:cs="Arial"/>
                <w:b/>
                <w:bCs/>
                <w:sz w:val="20"/>
                <w:lang w:val="it-IT" w:eastAsia="it-IT"/>
              </w:rPr>
            </w:pPr>
            <w:r w:rsidRPr="00400559">
              <w:rPr>
                <w:rFonts w:ascii="Arial Narrow" w:hAnsi="Arial Narrow" w:cs="Arial"/>
                <w:b/>
                <w:bCs/>
                <w:sz w:val="20"/>
                <w:lang w:val="it-IT" w:eastAsia="it-IT"/>
              </w:rPr>
              <w:t>EUREP</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EUREP</w:t>
            </w:r>
          </w:p>
        </w:tc>
        <w:tc>
          <w:tcPr>
            <w:tcW w:w="724"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OLGA</w:t>
            </w:r>
          </w:p>
        </w:tc>
        <w:tc>
          <w:tcPr>
            <w:tcW w:w="725" w:type="pct"/>
            <w:gridSpan w:val="2"/>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BAUS</w:t>
            </w:r>
            <w:r>
              <w:rPr>
                <w:rFonts w:ascii="Arial Narrow" w:hAnsi="Arial Narrow" w:cs="Arial"/>
                <w:sz w:val="20"/>
                <w:lang w:val="it-IT" w:eastAsia="it-IT"/>
              </w:rPr>
              <w:t xml:space="preserve"> GIBERT</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rPr>
              <w:t>Head of Social Affairs, Human Rights and Civil Society</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EEAS</w:t>
            </w:r>
          </w:p>
        </w:tc>
        <w:tc>
          <w:tcPr>
            <w:tcW w:w="724"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 xml:space="preserve">Christian </w:t>
            </w:r>
          </w:p>
        </w:tc>
        <w:tc>
          <w:tcPr>
            <w:tcW w:w="725" w:type="pct"/>
            <w:gridSpan w:val="2"/>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val="it-IT" w:eastAsia="it-IT"/>
              </w:rPr>
              <w:t>Berger</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Director North Africa, Middle East, Arabian Peninsula, Iran and Iraq</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EUREP</w:t>
            </w:r>
          </w:p>
        </w:tc>
        <w:tc>
          <w:tcPr>
            <w:tcW w:w="724"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 xml:space="preserve">Anna Maria </w:t>
            </w:r>
          </w:p>
        </w:tc>
        <w:tc>
          <w:tcPr>
            <w:tcW w:w="725" w:type="pct"/>
            <w:gridSpan w:val="2"/>
          </w:tcPr>
          <w:p w:rsidR="00124A50" w:rsidRPr="00400559" w:rsidRDefault="00124A50" w:rsidP="00124A50">
            <w:pPr>
              <w:spacing w:before="0" w:after="0"/>
              <w:jc w:val="left"/>
              <w:rPr>
                <w:rFonts w:ascii="Arial Narrow" w:hAnsi="Arial Narrow" w:cs="Arial"/>
                <w:sz w:val="20"/>
                <w:lang w:eastAsia="it-IT"/>
              </w:rPr>
            </w:pPr>
            <w:proofErr w:type="spellStart"/>
            <w:r w:rsidRPr="00400559">
              <w:rPr>
                <w:rFonts w:ascii="Arial Narrow" w:hAnsi="Arial Narrow" w:cs="Arial"/>
                <w:sz w:val="20"/>
                <w:lang w:val="it-IT" w:eastAsia="it-IT"/>
              </w:rPr>
              <w:t>Bonnici</w:t>
            </w:r>
            <w:proofErr w:type="spellEnd"/>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 xml:space="preserve">Co-Desk </w:t>
            </w:r>
            <w:proofErr w:type="spellStart"/>
            <w:r w:rsidRPr="00400559">
              <w:rPr>
                <w:rFonts w:ascii="Arial Narrow" w:hAnsi="Arial Narrow" w:cs="Arial"/>
                <w:sz w:val="20"/>
                <w:lang w:eastAsia="it-IT"/>
              </w:rPr>
              <w:t>oPT</w:t>
            </w:r>
            <w:proofErr w:type="spellEnd"/>
            <w:r w:rsidRPr="00400559">
              <w:rPr>
                <w:rFonts w:ascii="Arial Narrow" w:hAnsi="Arial Narrow" w:cs="Arial"/>
                <w:sz w:val="20"/>
                <w:lang w:eastAsia="it-IT"/>
              </w:rPr>
              <w:t xml:space="preserve"> Middle East Division MEPP Israel </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rPr>
                <w:rFonts w:ascii="Arial Narrow" w:hAnsi="Arial Narrow"/>
                <w:sz w:val="20"/>
              </w:rPr>
            </w:pPr>
            <w:r w:rsidRPr="00400559">
              <w:rPr>
                <w:rFonts w:ascii="Arial Narrow" w:hAnsi="Arial Narrow" w:cs="Arial"/>
                <w:sz w:val="20"/>
                <w:lang w:val="it-IT" w:eastAsia="it-IT"/>
              </w:rPr>
              <w:t>EUREP</w:t>
            </w:r>
          </w:p>
        </w:tc>
        <w:tc>
          <w:tcPr>
            <w:tcW w:w="724" w:type="pct"/>
            <w:shd w:val="clear" w:color="auto" w:fill="auto"/>
            <w:noWrap/>
            <w:vAlign w:val="center"/>
            <w:hideMark/>
          </w:tcPr>
          <w:p w:rsidR="00124A50" w:rsidRPr="00400559" w:rsidRDefault="00124A50" w:rsidP="00124A50">
            <w:pPr>
              <w:spacing w:before="0" w:after="0"/>
              <w:rPr>
                <w:rFonts w:ascii="Arial Narrow" w:hAnsi="Arial Narrow" w:cs="Arial"/>
                <w:sz w:val="20"/>
              </w:rPr>
            </w:pPr>
            <w:r w:rsidRPr="00400559">
              <w:rPr>
                <w:rFonts w:ascii="Arial Narrow" w:hAnsi="Arial Narrow" w:cs="Arial"/>
                <w:sz w:val="20"/>
              </w:rPr>
              <w:t xml:space="preserve">Sophie </w:t>
            </w:r>
          </w:p>
        </w:tc>
        <w:tc>
          <w:tcPr>
            <w:tcW w:w="725" w:type="pct"/>
            <w:gridSpan w:val="2"/>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rPr>
              <w:t>Collette</w:t>
            </w:r>
          </w:p>
        </w:tc>
        <w:tc>
          <w:tcPr>
            <w:tcW w:w="2716" w:type="pct"/>
            <w:shd w:val="clear" w:color="auto" w:fill="auto"/>
            <w:noWrap/>
            <w:vAlign w:val="center"/>
            <w:hideMark/>
          </w:tcPr>
          <w:p w:rsidR="00124A50" w:rsidRPr="00400559" w:rsidRDefault="00124A50" w:rsidP="00124A50">
            <w:pPr>
              <w:spacing w:before="0" w:after="0"/>
              <w:rPr>
                <w:rFonts w:ascii="Arial Narrow" w:hAnsi="Arial Narrow" w:cs="Arial"/>
                <w:sz w:val="20"/>
              </w:rPr>
            </w:pPr>
            <w:proofErr w:type="spellStart"/>
            <w:r w:rsidRPr="00400559">
              <w:rPr>
                <w:rFonts w:ascii="Arial Narrow" w:hAnsi="Arial Narrow" w:cs="Arial"/>
                <w:sz w:val="20"/>
              </w:rPr>
              <w:t>Programme</w:t>
            </w:r>
            <w:proofErr w:type="spellEnd"/>
            <w:r w:rsidRPr="00400559">
              <w:rPr>
                <w:rFonts w:ascii="Arial Narrow" w:hAnsi="Arial Narrow" w:cs="Arial"/>
                <w:sz w:val="20"/>
              </w:rPr>
              <w:t xml:space="preserve"> Manager OPS2 - Water and Sanitation</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rPr>
                <w:rFonts w:ascii="Arial Narrow" w:hAnsi="Arial Narrow" w:cs="Arial"/>
                <w:sz w:val="20"/>
                <w:lang w:val="it-IT" w:eastAsia="it-IT"/>
              </w:rPr>
            </w:pPr>
            <w:r>
              <w:rPr>
                <w:rFonts w:ascii="Arial Narrow" w:hAnsi="Arial Narrow" w:cs="Arial"/>
                <w:sz w:val="20"/>
                <w:lang w:val="it-IT" w:eastAsia="it-IT"/>
              </w:rPr>
              <w:t>EUREP</w:t>
            </w:r>
          </w:p>
        </w:tc>
        <w:tc>
          <w:tcPr>
            <w:tcW w:w="724" w:type="pct"/>
            <w:shd w:val="clear" w:color="auto" w:fill="auto"/>
            <w:noWrap/>
            <w:vAlign w:val="center"/>
            <w:hideMark/>
          </w:tcPr>
          <w:p w:rsidR="00124A50" w:rsidRPr="00400559" w:rsidRDefault="00124A50" w:rsidP="00124A50">
            <w:pPr>
              <w:spacing w:before="0" w:after="0"/>
              <w:rPr>
                <w:rFonts w:ascii="Arial Narrow" w:hAnsi="Arial Narrow" w:cs="Arial"/>
                <w:sz w:val="20"/>
              </w:rPr>
            </w:pPr>
            <w:r>
              <w:rPr>
                <w:rFonts w:ascii="Arial Narrow" w:hAnsi="Arial Narrow" w:cs="Arial"/>
                <w:sz w:val="20"/>
              </w:rPr>
              <w:t>JOSEP</w:t>
            </w:r>
          </w:p>
        </w:tc>
        <w:tc>
          <w:tcPr>
            <w:tcW w:w="725" w:type="pct"/>
            <w:gridSpan w:val="2"/>
          </w:tcPr>
          <w:p w:rsidR="00124A50" w:rsidRPr="00400559" w:rsidRDefault="00124A50" w:rsidP="00124A50">
            <w:pPr>
              <w:spacing w:before="0" w:after="0"/>
              <w:jc w:val="left"/>
              <w:rPr>
                <w:rFonts w:ascii="Arial Narrow" w:hAnsi="Arial Narrow" w:cs="Arial"/>
                <w:sz w:val="20"/>
              </w:rPr>
            </w:pPr>
            <w:r>
              <w:rPr>
                <w:rFonts w:ascii="Arial Narrow" w:hAnsi="Arial Narrow" w:cs="Arial"/>
                <w:sz w:val="20"/>
              </w:rPr>
              <w:t>DESQUENS</w:t>
            </w:r>
          </w:p>
        </w:tc>
        <w:tc>
          <w:tcPr>
            <w:tcW w:w="2716" w:type="pct"/>
            <w:shd w:val="clear" w:color="auto" w:fill="auto"/>
            <w:noWrap/>
            <w:vAlign w:val="center"/>
            <w:hideMark/>
          </w:tcPr>
          <w:p w:rsidR="00124A50" w:rsidRPr="00400559" w:rsidRDefault="00124A50" w:rsidP="00124A50">
            <w:pPr>
              <w:spacing w:before="0" w:after="0"/>
              <w:rPr>
                <w:rFonts w:ascii="Arial Narrow" w:hAnsi="Arial Narrow" w:cs="Arial"/>
                <w:sz w:val="20"/>
              </w:rPr>
            </w:pPr>
            <w:r>
              <w:rPr>
                <w:rFonts w:ascii="Arial Narrow" w:hAnsi="Arial Narrow" w:cs="Arial"/>
                <w:sz w:val="20"/>
              </w:rPr>
              <w:t>Project manager Direct Financial Support</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rPr>
                <w:rFonts w:ascii="Arial Narrow" w:hAnsi="Arial Narrow"/>
                <w:sz w:val="20"/>
              </w:rPr>
            </w:pPr>
            <w:r w:rsidRPr="00400559">
              <w:rPr>
                <w:rFonts w:ascii="Arial Narrow" w:hAnsi="Arial Narrow" w:cs="Arial"/>
                <w:sz w:val="20"/>
                <w:lang w:val="it-IT" w:eastAsia="it-IT"/>
              </w:rPr>
              <w:t>EUREP</w:t>
            </w:r>
          </w:p>
        </w:tc>
        <w:tc>
          <w:tcPr>
            <w:tcW w:w="724" w:type="pct"/>
            <w:shd w:val="clear" w:color="auto" w:fill="auto"/>
            <w:noWrap/>
            <w:vAlign w:val="center"/>
            <w:hideMark/>
          </w:tcPr>
          <w:p w:rsidR="00124A50" w:rsidRPr="00400559" w:rsidRDefault="00124A50" w:rsidP="00124A50">
            <w:pPr>
              <w:spacing w:before="0" w:after="0"/>
              <w:rPr>
                <w:rFonts w:ascii="Arial Narrow" w:hAnsi="Arial Narrow" w:cs="Arial"/>
                <w:sz w:val="20"/>
              </w:rPr>
            </w:pPr>
            <w:r w:rsidRPr="00400559">
              <w:rPr>
                <w:rFonts w:ascii="Arial Narrow" w:hAnsi="Arial Narrow" w:cs="Arial"/>
                <w:sz w:val="20"/>
              </w:rPr>
              <w:t xml:space="preserve">Paolo </w:t>
            </w:r>
          </w:p>
        </w:tc>
        <w:tc>
          <w:tcPr>
            <w:tcW w:w="725" w:type="pct"/>
            <w:gridSpan w:val="2"/>
          </w:tcPr>
          <w:p w:rsidR="00124A50" w:rsidRPr="00400559" w:rsidRDefault="00124A50" w:rsidP="00124A50">
            <w:pPr>
              <w:spacing w:before="0" w:after="0"/>
              <w:jc w:val="left"/>
              <w:rPr>
                <w:rFonts w:ascii="Arial Narrow" w:hAnsi="Arial Narrow" w:cs="Arial"/>
                <w:sz w:val="20"/>
                <w:lang w:val="it-IT" w:eastAsia="it-IT"/>
              </w:rPr>
            </w:pPr>
            <w:proofErr w:type="spellStart"/>
            <w:r w:rsidRPr="00400559">
              <w:rPr>
                <w:rFonts w:ascii="Arial Narrow" w:hAnsi="Arial Narrow" w:cs="Arial"/>
                <w:sz w:val="20"/>
              </w:rPr>
              <w:t>Curradi</w:t>
            </w:r>
            <w:proofErr w:type="spellEnd"/>
          </w:p>
        </w:tc>
        <w:tc>
          <w:tcPr>
            <w:tcW w:w="2716" w:type="pct"/>
            <w:shd w:val="clear" w:color="auto" w:fill="auto"/>
            <w:noWrap/>
            <w:vAlign w:val="center"/>
            <w:hideMark/>
          </w:tcPr>
          <w:p w:rsidR="00124A50" w:rsidRPr="00400559" w:rsidRDefault="00124A50" w:rsidP="00124A50">
            <w:pPr>
              <w:spacing w:before="0" w:after="0"/>
              <w:rPr>
                <w:rFonts w:ascii="Arial Narrow" w:hAnsi="Arial Narrow" w:cs="Arial"/>
                <w:sz w:val="20"/>
              </w:rPr>
            </w:pPr>
            <w:r w:rsidRPr="00400559">
              <w:rPr>
                <w:rFonts w:ascii="Arial Narrow" w:hAnsi="Arial Narrow" w:cs="Arial"/>
                <w:sz w:val="20"/>
              </w:rPr>
              <w:t xml:space="preserve">Head of Section OPS2- </w:t>
            </w:r>
            <w:proofErr w:type="spellStart"/>
            <w:r w:rsidRPr="00400559">
              <w:rPr>
                <w:rFonts w:ascii="Arial Narrow" w:hAnsi="Arial Narrow" w:cs="Arial"/>
                <w:sz w:val="20"/>
              </w:rPr>
              <w:t>Infrastructure,Water</w:t>
            </w:r>
            <w:proofErr w:type="spellEnd"/>
            <w:r w:rsidRPr="00400559">
              <w:rPr>
                <w:rFonts w:ascii="Arial Narrow" w:hAnsi="Arial Narrow" w:cs="Arial"/>
                <w:sz w:val="20"/>
              </w:rPr>
              <w:t>, Energy, Environment and Agriculture</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EC</w:t>
            </w:r>
          </w:p>
        </w:tc>
        <w:tc>
          <w:tcPr>
            <w:tcW w:w="724"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proofErr w:type="spellStart"/>
            <w:r w:rsidRPr="00400559">
              <w:rPr>
                <w:rFonts w:ascii="Arial Narrow" w:hAnsi="Arial Narrow" w:cs="Arial"/>
                <w:sz w:val="20"/>
                <w:lang w:val="it-IT" w:eastAsia="it-IT"/>
              </w:rPr>
              <w:t>Esmèe</w:t>
            </w:r>
            <w:proofErr w:type="spellEnd"/>
            <w:r w:rsidRPr="00400559">
              <w:rPr>
                <w:rFonts w:ascii="Arial Narrow" w:hAnsi="Arial Narrow" w:cs="Arial"/>
                <w:sz w:val="20"/>
                <w:lang w:val="it-IT" w:eastAsia="it-IT"/>
              </w:rPr>
              <w:t xml:space="preserve"> </w:t>
            </w:r>
          </w:p>
        </w:tc>
        <w:tc>
          <w:tcPr>
            <w:tcW w:w="725" w:type="pct"/>
            <w:gridSpan w:val="2"/>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val="it-IT" w:eastAsia="it-IT"/>
              </w:rPr>
              <w:t xml:space="preserve">De </w:t>
            </w:r>
            <w:proofErr w:type="spellStart"/>
            <w:r w:rsidRPr="00400559">
              <w:rPr>
                <w:rFonts w:ascii="Arial Narrow" w:hAnsi="Arial Narrow" w:cs="Arial"/>
                <w:sz w:val="20"/>
                <w:lang w:val="it-IT" w:eastAsia="it-IT"/>
              </w:rPr>
              <w:t>Jong</w:t>
            </w:r>
            <w:proofErr w:type="spellEnd"/>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Head of office</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Pr>
                <w:rFonts w:ascii="Arial Narrow" w:hAnsi="Arial Narrow" w:cs="Arial"/>
                <w:sz w:val="20"/>
                <w:lang w:val="it-IT" w:eastAsia="it-IT"/>
              </w:rPr>
              <w:t>EUREP</w:t>
            </w:r>
          </w:p>
        </w:tc>
        <w:tc>
          <w:tcPr>
            <w:tcW w:w="724"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Pr>
                <w:rFonts w:ascii="Arial Narrow" w:hAnsi="Arial Narrow" w:cs="Arial"/>
                <w:sz w:val="20"/>
                <w:lang w:val="it-IT" w:eastAsia="it-IT"/>
              </w:rPr>
              <w:t>MARIEM</w:t>
            </w:r>
          </w:p>
        </w:tc>
        <w:tc>
          <w:tcPr>
            <w:tcW w:w="725" w:type="pct"/>
            <w:gridSpan w:val="2"/>
          </w:tcPr>
          <w:p w:rsidR="00124A50" w:rsidRPr="00400559" w:rsidRDefault="00124A50" w:rsidP="00124A50">
            <w:pPr>
              <w:spacing w:before="0" w:after="0"/>
              <w:jc w:val="left"/>
              <w:rPr>
                <w:rFonts w:ascii="Arial Narrow" w:hAnsi="Arial Narrow" w:cs="Arial"/>
                <w:sz w:val="20"/>
                <w:lang w:val="it-IT" w:eastAsia="it-IT"/>
              </w:rPr>
            </w:pPr>
            <w:r>
              <w:rPr>
                <w:rFonts w:ascii="Arial Narrow" w:hAnsi="Arial Narrow" w:cs="Arial"/>
                <w:sz w:val="20"/>
                <w:lang w:val="it-IT" w:eastAsia="it-IT"/>
              </w:rPr>
              <w:t>EL HAROUCHI</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Pr>
                <w:rFonts w:ascii="Arial Narrow" w:hAnsi="Arial Narrow" w:cs="Arial"/>
                <w:sz w:val="20"/>
                <w:lang w:eastAsia="it-IT"/>
              </w:rPr>
              <w:t>Project Manager Direct Financial Support</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proofErr w:type="spellStart"/>
            <w:r w:rsidRPr="00400559">
              <w:rPr>
                <w:rFonts w:ascii="Arial Narrow" w:hAnsi="Arial Narrow" w:cs="Arial"/>
                <w:sz w:val="20"/>
                <w:lang w:val="it-IT" w:eastAsia="it-IT"/>
              </w:rPr>
              <w:t>EuropeAid</w:t>
            </w:r>
            <w:proofErr w:type="spellEnd"/>
          </w:p>
        </w:tc>
        <w:tc>
          <w:tcPr>
            <w:tcW w:w="724"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 xml:space="preserve">Michael </w:t>
            </w:r>
          </w:p>
        </w:tc>
        <w:tc>
          <w:tcPr>
            <w:tcW w:w="725" w:type="pct"/>
            <w:gridSpan w:val="2"/>
          </w:tcPr>
          <w:p w:rsidR="00124A50" w:rsidRPr="00400559" w:rsidRDefault="00124A50" w:rsidP="00124A50">
            <w:pPr>
              <w:spacing w:before="0" w:after="0"/>
              <w:jc w:val="left"/>
              <w:rPr>
                <w:rFonts w:ascii="Arial Narrow" w:hAnsi="Arial Narrow" w:cs="Arial"/>
                <w:sz w:val="20"/>
                <w:lang w:eastAsia="it-IT"/>
              </w:rPr>
            </w:pPr>
            <w:proofErr w:type="spellStart"/>
            <w:r w:rsidRPr="00400559">
              <w:rPr>
                <w:rFonts w:ascii="Arial Narrow" w:hAnsi="Arial Narrow" w:cs="Arial"/>
                <w:sz w:val="20"/>
                <w:lang w:val="it-IT" w:eastAsia="it-IT"/>
              </w:rPr>
              <w:t>Docherty</w:t>
            </w:r>
            <w:proofErr w:type="spellEnd"/>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Team Leader Geographical Coordination Neighborhood South</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EUREP</w:t>
            </w:r>
          </w:p>
        </w:tc>
        <w:tc>
          <w:tcPr>
            <w:tcW w:w="724"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proofErr w:type="spellStart"/>
            <w:r w:rsidRPr="00400559">
              <w:rPr>
                <w:rFonts w:ascii="Arial Narrow" w:hAnsi="Arial Narrow" w:cs="Arial"/>
                <w:sz w:val="20"/>
                <w:lang w:val="it-IT" w:eastAsia="it-IT"/>
              </w:rPr>
              <w:t>Bozkurt</w:t>
            </w:r>
            <w:proofErr w:type="spellEnd"/>
            <w:r w:rsidRPr="00400559">
              <w:rPr>
                <w:rFonts w:ascii="Arial Narrow" w:hAnsi="Arial Narrow" w:cs="Arial"/>
                <w:sz w:val="20"/>
                <w:lang w:val="it-IT" w:eastAsia="it-IT"/>
              </w:rPr>
              <w:t xml:space="preserve"> </w:t>
            </w:r>
          </w:p>
        </w:tc>
        <w:tc>
          <w:tcPr>
            <w:tcW w:w="725" w:type="pct"/>
            <w:gridSpan w:val="2"/>
          </w:tcPr>
          <w:p w:rsidR="00124A50" w:rsidRPr="00400559" w:rsidRDefault="00124A50" w:rsidP="00124A50">
            <w:pPr>
              <w:spacing w:before="0" w:after="0"/>
              <w:jc w:val="left"/>
              <w:rPr>
                <w:rFonts w:ascii="Arial Narrow" w:hAnsi="Arial Narrow" w:cs="Arial"/>
                <w:sz w:val="20"/>
                <w:lang w:eastAsia="it-IT"/>
              </w:rPr>
            </w:pPr>
            <w:proofErr w:type="spellStart"/>
            <w:r w:rsidRPr="00400559">
              <w:rPr>
                <w:rFonts w:ascii="Arial Narrow" w:hAnsi="Arial Narrow" w:cs="Arial"/>
                <w:sz w:val="20"/>
                <w:lang w:val="it-IT" w:eastAsia="it-IT"/>
              </w:rPr>
              <w:t>Eralp</w:t>
            </w:r>
            <w:proofErr w:type="spellEnd"/>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Head of Finance, Contracts and Audit Section</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rPr>
                <w:rFonts w:ascii="Arial Narrow" w:hAnsi="Arial Narrow"/>
                <w:sz w:val="20"/>
              </w:rPr>
            </w:pPr>
            <w:r w:rsidRPr="00400559">
              <w:rPr>
                <w:rFonts w:ascii="Arial Narrow" w:hAnsi="Arial Narrow" w:cs="Arial"/>
                <w:sz w:val="20"/>
                <w:lang w:val="it-IT" w:eastAsia="it-IT"/>
              </w:rPr>
              <w:t>EUREP</w:t>
            </w:r>
          </w:p>
        </w:tc>
        <w:tc>
          <w:tcPr>
            <w:tcW w:w="724" w:type="pct"/>
            <w:shd w:val="clear" w:color="auto" w:fill="auto"/>
            <w:noWrap/>
            <w:vAlign w:val="center"/>
            <w:hideMark/>
          </w:tcPr>
          <w:p w:rsidR="00124A50" w:rsidRPr="00400559" w:rsidRDefault="00124A50" w:rsidP="00124A50">
            <w:pPr>
              <w:spacing w:before="0" w:after="0"/>
              <w:rPr>
                <w:rFonts w:ascii="Arial Narrow" w:hAnsi="Arial Narrow" w:cs="Arial"/>
                <w:sz w:val="20"/>
              </w:rPr>
            </w:pPr>
            <w:r w:rsidRPr="00400559">
              <w:rPr>
                <w:rFonts w:ascii="Arial Narrow" w:hAnsi="Arial Narrow" w:cs="Arial"/>
                <w:sz w:val="20"/>
              </w:rPr>
              <w:t>Guillaume</w:t>
            </w:r>
          </w:p>
        </w:tc>
        <w:tc>
          <w:tcPr>
            <w:tcW w:w="725" w:type="pct"/>
            <w:gridSpan w:val="2"/>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rPr>
              <w:t>Fine</w:t>
            </w:r>
          </w:p>
        </w:tc>
        <w:tc>
          <w:tcPr>
            <w:tcW w:w="2716" w:type="pct"/>
            <w:shd w:val="clear" w:color="auto" w:fill="auto"/>
            <w:noWrap/>
            <w:vAlign w:val="center"/>
            <w:hideMark/>
          </w:tcPr>
          <w:p w:rsidR="00124A50" w:rsidRPr="00400559" w:rsidRDefault="00124A50" w:rsidP="00124A50">
            <w:pPr>
              <w:spacing w:before="0" w:after="0"/>
              <w:rPr>
                <w:rFonts w:ascii="Arial Narrow" w:hAnsi="Arial Narrow" w:cs="Arial"/>
                <w:sz w:val="20"/>
              </w:rPr>
            </w:pPr>
            <w:r w:rsidRPr="00400559">
              <w:rPr>
                <w:rFonts w:ascii="Arial Narrow" w:hAnsi="Arial Narrow" w:cs="Arial"/>
                <w:sz w:val="20"/>
              </w:rPr>
              <w:t xml:space="preserve">Head of Section OPS2- </w:t>
            </w:r>
            <w:proofErr w:type="spellStart"/>
            <w:r w:rsidRPr="00400559">
              <w:rPr>
                <w:rFonts w:ascii="Arial Narrow" w:hAnsi="Arial Narrow" w:cs="Arial"/>
                <w:sz w:val="20"/>
              </w:rPr>
              <w:t>Infrastructure,Water</w:t>
            </w:r>
            <w:proofErr w:type="spellEnd"/>
            <w:r w:rsidRPr="00400559">
              <w:rPr>
                <w:rFonts w:ascii="Arial Narrow" w:hAnsi="Arial Narrow" w:cs="Arial"/>
                <w:sz w:val="20"/>
              </w:rPr>
              <w:t>, Energy, Environment, Agriculture and UNRWA</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EUREP</w:t>
            </w:r>
          </w:p>
        </w:tc>
        <w:tc>
          <w:tcPr>
            <w:tcW w:w="724"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 xml:space="preserve">JOHN </w:t>
            </w:r>
          </w:p>
        </w:tc>
        <w:tc>
          <w:tcPr>
            <w:tcW w:w="725" w:type="pct"/>
            <w:gridSpan w:val="2"/>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GATT-RUTTER</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proofErr w:type="spellStart"/>
            <w:r w:rsidRPr="00400559">
              <w:rPr>
                <w:rFonts w:ascii="Arial Narrow" w:hAnsi="Arial Narrow" w:cs="Arial"/>
                <w:sz w:val="20"/>
                <w:lang w:val="it-IT" w:eastAsia="it-IT"/>
              </w:rPr>
              <w:t>HoM</w:t>
            </w:r>
            <w:proofErr w:type="spellEnd"/>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EUREP</w:t>
            </w:r>
          </w:p>
        </w:tc>
        <w:tc>
          <w:tcPr>
            <w:tcW w:w="724"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 xml:space="preserve">DAVID </w:t>
            </w:r>
          </w:p>
        </w:tc>
        <w:tc>
          <w:tcPr>
            <w:tcW w:w="725" w:type="pct"/>
            <w:gridSpan w:val="2"/>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GEER</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proofErr w:type="spellStart"/>
            <w:r w:rsidRPr="00400559">
              <w:rPr>
                <w:rFonts w:ascii="Arial Narrow" w:hAnsi="Arial Narrow" w:cs="Arial"/>
                <w:sz w:val="20"/>
                <w:lang w:val="it-IT" w:eastAsia="it-IT"/>
              </w:rPr>
              <w:t>Deputy</w:t>
            </w:r>
            <w:proofErr w:type="spellEnd"/>
            <w:r w:rsidRPr="00400559">
              <w:rPr>
                <w:rFonts w:ascii="Arial Narrow" w:hAnsi="Arial Narrow" w:cs="Arial"/>
                <w:sz w:val="20"/>
                <w:lang w:val="it-IT" w:eastAsia="it-IT"/>
              </w:rPr>
              <w:t xml:space="preserve"> EUD</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EUREP</w:t>
            </w:r>
          </w:p>
        </w:tc>
        <w:tc>
          <w:tcPr>
            <w:tcW w:w="724"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JUDITH</w:t>
            </w:r>
          </w:p>
        </w:tc>
        <w:tc>
          <w:tcPr>
            <w:tcW w:w="725" w:type="pct"/>
            <w:gridSpan w:val="2"/>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JOHANNES</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rPr>
            </w:pPr>
            <w:r w:rsidRPr="00400559">
              <w:rPr>
                <w:rFonts w:ascii="Arial Narrow" w:hAnsi="Arial Narrow" w:cs="Arial"/>
                <w:sz w:val="20"/>
              </w:rPr>
              <w:t>Education, Health and Cultural Officer</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EUREP</w:t>
            </w:r>
          </w:p>
        </w:tc>
        <w:tc>
          <w:tcPr>
            <w:tcW w:w="724"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GERT</w:t>
            </w:r>
          </w:p>
        </w:tc>
        <w:tc>
          <w:tcPr>
            <w:tcW w:w="725" w:type="pct"/>
            <w:gridSpan w:val="2"/>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KEMPMAN</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rPr>
            </w:pPr>
            <w:r>
              <w:rPr>
                <w:rFonts w:ascii="Arial Narrow" w:hAnsi="Arial Narrow" w:cs="Arial"/>
                <w:sz w:val="20"/>
              </w:rPr>
              <w:t>H</w:t>
            </w:r>
            <w:r w:rsidRPr="00400559">
              <w:rPr>
                <w:rFonts w:ascii="Arial Narrow" w:hAnsi="Arial Narrow" w:cs="Arial"/>
                <w:sz w:val="20"/>
              </w:rPr>
              <w:t>ead of mission</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EEAS</w:t>
            </w:r>
          </w:p>
        </w:tc>
        <w:tc>
          <w:tcPr>
            <w:tcW w:w="724"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 xml:space="preserve">Christian </w:t>
            </w:r>
          </w:p>
        </w:tc>
        <w:tc>
          <w:tcPr>
            <w:tcW w:w="725" w:type="pct"/>
            <w:gridSpan w:val="2"/>
          </w:tcPr>
          <w:p w:rsidR="00124A50" w:rsidRPr="00400559" w:rsidRDefault="00124A50" w:rsidP="00124A50">
            <w:pPr>
              <w:spacing w:before="0" w:after="0"/>
              <w:jc w:val="left"/>
              <w:rPr>
                <w:rFonts w:ascii="Arial Narrow" w:hAnsi="Arial Narrow" w:cs="Arial"/>
                <w:sz w:val="20"/>
                <w:lang w:eastAsia="it-IT"/>
              </w:rPr>
            </w:pPr>
            <w:proofErr w:type="spellStart"/>
            <w:r w:rsidRPr="00400559">
              <w:rPr>
                <w:rFonts w:ascii="Arial Narrow" w:hAnsi="Arial Narrow" w:cs="Arial"/>
                <w:sz w:val="20"/>
                <w:lang w:val="it-IT" w:eastAsia="it-IT"/>
              </w:rPr>
              <w:t>Leffler</w:t>
            </w:r>
            <w:proofErr w:type="spellEnd"/>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Managing Director Americas</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EUREP</w:t>
            </w:r>
          </w:p>
        </w:tc>
        <w:tc>
          <w:tcPr>
            <w:tcW w:w="724"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 xml:space="preserve">Michael </w:t>
            </w:r>
          </w:p>
        </w:tc>
        <w:tc>
          <w:tcPr>
            <w:tcW w:w="725" w:type="pct"/>
            <w:gridSpan w:val="2"/>
          </w:tcPr>
          <w:p w:rsidR="00124A50" w:rsidRPr="00400559" w:rsidRDefault="00124A50" w:rsidP="00124A50">
            <w:pPr>
              <w:spacing w:before="0" w:after="0"/>
              <w:jc w:val="left"/>
              <w:rPr>
                <w:rFonts w:ascii="Arial Narrow" w:hAnsi="Arial Narrow" w:cs="Arial"/>
                <w:sz w:val="20"/>
                <w:lang w:eastAsia="it-IT"/>
              </w:rPr>
            </w:pPr>
            <w:proofErr w:type="spellStart"/>
            <w:r w:rsidRPr="00400559">
              <w:rPr>
                <w:rFonts w:ascii="Arial Narrow" w:hAnsi="Arial Narrow" w:cs="Arial"/>
                <w:sz w:val="20"/>
                <w:lang w:val="it-IT" w:eastAsia="it-IT"/>
              </w:rPr>
              <w:t>Mansur</w:t>
            </w:r>
            <w:proofErr w:type="spellEnd"/>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Task manager</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EUREP</w:t>
            </w:r>
          </w:p>
        </w:tc>
        <w:tc>
          <w:tcPr>
            <w:tcW w:w="724"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 xml:space="preserve">Bernard </w:t>
            </w:r>
          </w:p>
        </w:tc>
        <w:tc>
          <w:tcPr>
            <w:tcW w:w="725" w:type="pct"/>
            <w:gridSpan w:val="2"/>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val="it-IT" w:eastAsia="it-IT"/>
              </w:rPr>
              <w:t>Philippe</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Political Officer</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EUREP</w:t>
            </w:r>
          </w:p>
        </w:tc>
        <w:tc>
          <w:tcPr>
            <w:tcW w:w="724"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 xml:space="preserve">SERGIO </w:t>
            </w:r>
          </w:p>
        </w:tc>
        <w:tc>
          <w:tcPr>
            <w:tcW w:w="725" w:type="pct"/>
            <w:gridSpan w:val="2"/>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PICCOLO</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 xml:space="preserve">Head </w:t>
            </w:r>
            <w:proofErr w:type="spellStart"/>
            <w:r w:rsidRPr="00400559">
              <w:rPr>
                <w:rFonts w:ascii="Arial Narrow" w:hAnsi="Arial Narrow" w:cs="Arial"/>
                <w:sz w:val="20"/>
                <w:lang w:val="it-IT" w:eastAsia="it-IT"/>
              </w:rPr>
              <w:t>of</w:t>
            </w:r>
            <w:proofErr w:type="spellEnd"/>
            <w:r w:rsidRPr="00400559">
              <w:rPr>
                <w:rFonts w:ascii="Arial Narrow" w:hAnsi="Arial Narrow" w:cs="Arial"/>
                <w:sz w:val="20"/>
                <w:lang w:val="it-IT" w:eastAsia="it-IT"/>
              </w:rPr>
              <w:t xml:space="preserve"> </w:t>
            </w:r>
            <w:proofErr w:type="spellStart"/>
            <w:r w:rsidRPr="00400559">
              <w:rPr>
                <w:rFonts w:ascii="Arial Narrow" w:hAnsi="Arial Narrow" w:cs="Arial"/>
                <w:sz w:val="20"/>
                <w:lang w:val="it-IT" w:eastAsia="it-IT"/>
              </w:rPr>
              <w:t>Cooperation</w:t>
            </w:r>
            <w:proofErr w:type="spellEnd"/>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EUREP</w:t>
            </w:r>
          </w:p>
        </w:tc>
        <w:tc>
          <w:tcPr>
            <w:tcW w:w="724"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CAROLE</w:t>
            </w:r>
          </w:p>
        </w:tc>
        <w:tc>
          <w:tcPr>
            <w:tcW w:w="725" w:type="pct"/>
            <w:gridSpan w:val="2"/>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RIGAUD</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rPr>
            </w:pPr>
            <w:r w:rsidRPr="00400559">
              <w:rPr>
                <w:rFonts w:ascii="Arial Narrow" w:hAnsi="Arial Narrow" w:cs="Arial"/>
                <w:bCs/>
                <w:sz w:val="20"/>
              </w:rPr>
              <w:t>Economic and financial cooperation</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rPr>
                <w:rFonts w:ascii="Arial Narrow" w:hAnsi="Arial Narrow"/>
                <w:sz w:val="20"/>
              </w:rPr>
            </w:pPr>
            <w:r w:rsidRPr="00400559">
              <w:rPr>
                <w:rFonts w:ascii="Arial Narrow" w:hAnsi="Arial Narrow" w:cs="Arial"/>
                <w:sz w:val="20"/>
                <w:lang w:val="it-IT" w:eastAsia="it-IT"/>
              </w:rPr>
              <w:t>EUREP</w:t>
            </w:r>
          </w:p>
        </w:tc>
        <w:tc>
          <w:tcPr>
            <w:tcW w:w="724" w:type="pct"/>
            <w:shd w:val="clear" w:color="auto" w:fill="auto"/>
            <w:noWrap/>
            <w:vAlign w:val="center"/>
            <w:hideMark/>
          </w:tcPr>
          <w:p w:rsidR="00124A50" w:rsidRPr="00400559" w:rsidRDefault="00124A50" w:rsidP="00124A50">
            <w:pPr>
              <w:spacing w:before="0" w:after="0"/>
              <w:rPr>
                <w:rFonts w:ascii="Arial Narrow" w:hAnsi="Arial Narrow" w:cs="Arial"/>
                <w:sz w:val="20"/>
              </w:rPr>
            </w:pPr>
            <w:r w:rsidRPr="00400559">
              <w:rPr>
                <w:rFonts w:ascii="Arial Narrow" w:hAnsi="Arial Narrow" w:cs="Arial"/>
                <w:sz w:val="20"/>
              </w:rPr>
              <w:t xml:space="preserve">Abdel </w:t>
            </w:r>
            <w:proofErr w:type="spellStart"/>
            <w:r w:rsidRPr="00400559">
              <w:rPr>
                <w:rFonts w:ascii="Arial Narrow" w:hAnsi="Arial Narrow" w:cs="Arial"/>
                <w:sz w:val="20"/>
              </w:rPr>
              <w:t>Karim</w:t>
            </w:r>
            <w:proofErr w:type="spellEnd"/>
            <w:r w:rsidRPr="00400559">
              <w:rPr>
                <w:rFonts w:ascii="Arial Narrow" w:hAnsi="Arial Narrow" w:cs="Arial"/>
                <w:sz w:val="20"/>
              </w:rPr>
              <w:t xml:space="preserve"> </w:t>
            </w:r>
          </w:p>
        </w:tc>
        <w:tc>
          <w:tcPr>
            <w:tcW w:w="725" w:type="pct"/>
            <w:gridSpan w:val="2"/>
          </w:tcPr>
          <w:p w:rsidR="00124A50" w:rsidRPr="00400559" w:rsidRDefault="00124A50" w:rsidP="00124A50">
            <w:pPr>
              <w:spacing w:before="0" w:after="0"/>
              <w:jc w:val="left"/>
              <w:rPr>
                <w:rFonts w:ascii="Arial Narrow" w:hAnsi="Arial Narrow" w:cs="Arial"/>
                <w:sz w:val="20"/>
                <w:lang w:val="it-IT" w:eastAsia="it-IT"/>
              </w:rPr>
            </w:pPr>
            <w:proofErr w:type="spellStart"/>
            <w:r w:rsidRPr="00400559">
              <w:rPr>
                <w:rFonts w:ascii="Arial Narrow" w:hAnsi="Arial Narrow" w:cs="Arial"/>
                <w:sz w:val="20"/>
              </w:rPr>
              <w:t>Yakobi</w:t>
            </w:r>
            <w:proofErr w:type="spellEnd"/>
          </w:p>
        </w:tc>
        <w:tc>
          <w:tcPr>
            <w:tcW w:w="2716" w:type="pct"/>
            <w:shd w:val="clear" w:color="auto" w:fill="auto"/>
            <w:noWrap/>
            <w:vAlign w:val="center"/>
            <w:hideMark/>
          </w:tcPr>
          <w:p w:rsidR="00124A50" w:rsidRPr="00400559" w:rsidRDefault="00124A50" w:rsidP="00124A50">
            <w:pPr>
              <w:spacing w:before="0" w:after="0"/>
              <w:rPr>
                <w:rFonts w:ascii="Arial Narrow" w:hAnsi="Arial Narrow" w:cs="Arial"/>
                <w:sz w:val="20"/>
              </w:rPr>
            </w:pPr>
            <w:proofErr w:type="spellStart"/>
            <w:r w:rsidRPr="00400559">
              <w:rPr>
                <w:rFonts w:ascii="Arial Narrow" w:hAnsi="Arial Narrow" w:cs="Arial"/>
                <w:sz w:val="20"/>
              </w:rPr>
              <w:t>Programme</w:t>
            </w:r>
            <w:proofErr w:type="spellEnd"/>
            <w:r w:rsidRPr="00400559">
              <w:rPr>
                <w:rFonts w:ascii="Arial Narrow" w:hAnsi="Arial Narrow" w:cs="Arial"/>
                <w:sz w:val="20"/>
              </w:rPr>
              <w:t xml:space="preserve"> Manager OPS2 - Water and Sanitation</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EUREP</w:t>
            </w:r>
          </w:p>
        </w:tc>
        <w:tc>
          <w:tcPr>
            <w:tcW w:w="724"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ANTONIA</w:t>
            </w:r>
          </w:p>
        </w:tc>
        <w:tc>
          <w:tcPr>
            <w:tcW w:w="725" w:type="pct"/>
            <w:gridSpan w:val="2"/>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ZEFEIRI</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rPr>
            </w:pPr>
            <w:r w:rsidRPr="00400559">
              <w:rPr>
                <w:rFonts w:ascii="Arial Narrow" w:hAnsi="Arial Narrow" w:cs="Arial"/>
                <w:bCs/>
                <w:sz w:val="20"/>
              </w:rPr>
              <w:t>press and information manager</w:t>
            </w:r>
          </w:p>
        </w:tc>
      </w:tr>
      <w:tr w:rsidR="00124A50" w:rsidRPr="00400559" w:rsidTr="00740262">
        <w:trPr>
          <w:trHeight w:val="360"/>
        </w:trPr>
        <w:tc>
          <w:tcPr>
            <w:tcW w:w="5000" w:type="pct"/>
            <w:gridSpan w:val="5"/>
            <w:shd w:val="clear" w:color="auto" w:fill="DBE5F1" w:themeFill="accent1" w:themeFillTint="33"/>
          </w:tcPr>
          <w:p w:rsidR="00124A50" w:rsidRPr="00400559" w:rsidRDefault="00124A50" w:rsidP="00124A50">
            <w:pPr>
              <w:spacing w:before="0" w:after="0"/>
              <w:jc w:val="center"/>
              <w:rPr>
                <w:rFonts w:ascii="Arial Narrow" w:hAnsi="Arial Narrow" w:cs="Arial"/>
                <w:sz w:val="20"/>
                <w:lang w:val="it-IT" w:eastAsia="it-IT"/>
              </w:rPr>
            </w:pPr>
            <w:proofErr w:type="spellStart"/>
            <w:r w:rsidRPr="00400559">
              <w:rPr>
                <w:rFonts w:ascii="Arial Narrow" w:hAnsi="Arial Narrow" w:cs="Arial"/>
                <w:b/>
                <w:sz w:val="20"/>
                <w:lang w:val="it-IT" w:eastAsia="it-IT"/>
              </w:rPr>
              <w:t>Donors</w:t>
            </w:r>
            <w:proofErr w:type="spellEnd"/>
            <w:r w:rsidRPr="00400559">
              <w:rPr>
                <w:rFonts w:ascii="Arial Narrow" w:hAnsi="Arial Narrow" w:cs="Arial"/>
                <w:b/>
                <w:sz w:val="20"/>
                <w:lang w:val="it-IT" w:eastAsia="it-IT"/>
              </w:rPr>
              <w:t xml:space="preserve"> </w:t>
            </w:r>
            <w:proofErr w:type="spellStart"/>
            <w:r w:rsidRPr="00400559">
              <w:rPr>
                <w:rFonts w:ascii="Arial Narrow" w:hAnsi="Arial Narrow" w:cs="Arial"/>
                <w:b/>
                <w:sz w:val="20"/>
                <w:lang w:val="it-IT" w:eastAsia="it-IT"/>
              </w:rPr>
              <w:t>Member</w:t>
            </w:r>
            <w:proofErr w:type="spellEnd"/>
            <w:r w:rsidRPr="00400559">
              <w:rPr>
                <w:rFonts w:ascii="Arial Narrow" w:hAnsi="Arial Narrow" w:cs="Arial"/>
                <w:b/>
                <w:sz w:val="20"/>
                <w:lang w:val="it-IT" w:eastAsia="it-IT"/>
              </w:rPr>
              <w:t xml:space="preserve"> </w:t>
            </w:r>
            <w:proofErr w:type="spellStart"/>
            <w:r w:rsidRPr="00400559">
              <w:rPr>
                <w:rFonts w:ascii="Arial Narrow" w:hAnsi="Arial Narrow" w:cs="Arial"/>
                <w:b/>
                <w:sz w:val="20"/>
                <w:lang w:val="it-IT" w:eastAsia="it-IT"/>
              </w:rPr>
              <w:t>States</w:t>
            </w:r>
            <w:proofErr w:type="spellEnd"/>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Pr>
                <w:rFonts w:ascii="Arial Narrow" w:hAnsi="Arial Narrow" w:cs="Arial"/>
                <w:sz w:val="20"/>
                <w:lang w:val="it-IT" w:eastAsia="it-IT"/>
              </w:rPr>
              <w:t>Cooperazione Italiana alla sviluppo (Italy)</w:t>
            </w:r>
          </w:p>
        </w:tc>
        <w:tc>
          <w:tcPr>
            <w:tcW w:w="724" w:type="pct"/>
            <w:shd w:val="clear" w:color="auto" w:fill="auto"/>
            <w:noWrap/>
            <w:hideMark/>
          </w:tcPr>
          <w:p w:rsidR="00124A50" w:rsidRPr="00400559" w:rsidRDefault="00124A50" w:rsidP="00124A50">
            <w:pPr>
              <w:spacing w:before="0" w:after="0"/>
              <w:jc w:val="left"/>
              <w:rPr>
                <w:rFonts w:ascii="Arial Narrow" w:hAnsi="Arial Narrow" w:cs="Arial"/>
                <w:caps/>
                <w:sz w:val="20"/>
                <w:lang w:val="it-IT" w:eastAsia="it-IT"/>
              </w:rPr>
            </w:pPr>
            <w:r w:rsidRPr="00400559">
              <w:rPr>
                <w:rFonts w:ascii="Arial Narrow" w:hAnsi="Arial Narrow" w:cs="Arial"/>
                <w:caps/>
                <w:sz w:val="20"/>
                <w:lang w:val="it-IT" w:eastAsia="it-IT"/>
              </w:rPr>
              <w:t xml:space="preserve">EMANUELA </w:t>
            </w:r>
          </w:p>
        </w:tc>
        <w:tc>
          <w:tcPr>
            <w:tcW w:w="725" w:type="pct"/>
            <w:gridSpan w:val="2"/>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caps/>
                <w:sz w:val="20"/>
                <w:lang w:val="it-IT" w:eastAsia="it-IT"/>
              </w:rPr>
              <w:t>BENINI</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proofErr w:type="spellStart"/>
            <w:r w:rsidRPr="00400559">
              <w:rPr>
                <w:rFonts w:ascii="Arial Narrow" w:hAnsi="Arial Narrow" w:cs="Arial"/>
                <w:sz w:val="20"/>
                <w:lang w:val="it-IT" w:eastAsia="it-IT"/>
              </w:rPr>
              <w:t>Deputy</w:t>
            </w:r>
            <w:proofErr w:type="spellEnd"/>
            <w:r w:rsidRPr="00400559">
              <w:rPr>
                <w:rFonts w:ascii="Arial Narrow" w:hAnsi="Arial Narrow" w:cs="Arial"/>
                <w:sz w:val="20"/>
                <w:lang w:val="it-IT" w:eastAsia="it-IT"/>
              </w:rPr>
              <w:t xml:space="preserve"> </w:t>
            </w:r>
            <w:proofErr w:type="spellStart"/>
            <w:r w:rsidRPr="00400559">
              <w:rPr>
                <w:rFonts w:ascii="Arial Narrow" w:hAnsi="Arial Narrow" w:cs="Arial"/>
                <w:sz w:val="20"/>
                <w:lang w:val="it-IT" w:eastAsia="it-IT"/>
              </w:rPr>
              <w:t>Director</w:t>
            </w:r>
            <w:proofErr w:type="spellEnd"/>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sz w:val="20"/>
              </w:rPr>
            </w:pPr>
            <w:r w:rsidRPr="00400559">
              <w:rPr>
                <w:rFonts w:ascii="Arial Narrow" w:hAnsi="Arial Narrow" w:cs="Arial"/>
                <w:sz w:val="20"/>
                <w:lang w:eastAsia="it-IT"/>
              </w:rPr>
              <w:t>French Consulate General in Jerusalem</w:t>
            </w:r>
          </w:p>
        </w:tc>
        <w:tc>
          <w:tcPr>
            <w:tcW w:w="724"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val="it-IT" w:eastAsia="it-IT"/>
              </w:rPr>
              <w:t xml:space="preserve">SEBASTIEN </w:t>
            </w:r>
          </w:p>
        </w:tc>
        <w:tc>
          <w:tcPr>
            <w:tcW w:w="725" w:type="pct"/>
            <w:gridSpan w:val="2"/>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val="it-IT" w:eastAsia="it-IT"/>
              </w:rPr>
              <w:t>BIDAU</w:t>
            </w:r>
            <w:r>
              <w:rPr>
                <w:rFonts w:ascii="Arial Narrow" w:hAnsi="Arial Narrow" w:cs="Arial"/>
                <w:sz w:val="20"/>
                <w:lang w:val="it-IT" w:eastAsia="it-IT"/>
              </w:rPr>
              <w:t>D</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 xml:space="preserve">Consul </w:t>
            </w:r>
            <w:proofErr w:type="spellStart"/>
            <w:r w:rsidRPr="00400559">
              <w:rPr>
                <w:rFonts w:ascii="Arial Narrow" w:hAnsi="Arial Narrow" w:cs="Arial"/>
                <w:sz w:val="20"/>
                <w:lang w:eastAsia="it-IT"/>
              </w:rPr>
              <w:t>adjoint</w:t>
            </w:r>
            <w:proofErr w:type="spellEnd"/>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proofErr w:type="spellStart"/>
            <w:r w:rsidRPr="00400559">
              <w:rPr>
                <w:rFonts w:ascii="Arial Narrow" w:hAnsi="Arial Narrow" w:cs="Arial"/>
                <w:sz w:val="20"/>
                <w:lang w:val="it-IT" w:eastAsia="it-IT"/>
              </w:rPr>
              <w:t>Germany</w:t>
            </w:r>
            <w:proofErr w:type="spellEnd"/>
            <w:r w:rsidRPr="00400559">
              <w:rPr>
                <w:rFonts w:ascii="Arial Narrow" w:hAnsi="Arial Narrow" w:cs="Arial"/>
                <w:sz w:val="20"/>
                <w:lang w:val="it-IT" w:eastAsia="it-IT"/>
              </w:rPr>
              <w:t xml:space="preserve"> GIZ</w:t>
            </w:r>
          </w:p>
        </w:tc>
        <w:tc>
          <w:tcPr>
            <w:tcW w:w="724" w:type="pct"/>
            <w:shd w:val="clear" w:color="auto" w:fill="auto"/>
            <w:noWrap/>
            <w:hideMark/>
          </w:tcPr>
          <w:p w:rsidR="00124A50" w:rsidRPr="00400559" w:rsidRDefault="00124A50" w:rsidP="00124A50">
            <w:pPr>
              <w:spacing w:before="0" w:after="0"/>
              <w:jc w:val="left"/>
              <w:rPr>
                <w:rFonts w:ascii="Arial Narrow" w:hAnsi="Arial Narrow" w:cs="Arial"/>
                <w:caps/>
                <w:sz w:val="20"/>
                <w:lang w:val="it-IT" w:eastAsia="it-IT"/>
              </w:rPr>
            </w:pPr>
            <w:r w:rsidRPr="00400559">
              <w:rPr>
                <w:rFonts w:ascii="Arial Narrow" w:hAnsi="Arial Narrow" w:cs="Arial"/>
                <w:caps/>
                <w:sz w:val="20"/>
                <w:lang w:val="it-IT" w:eastAsia="it-IT"/>
              </w:rPr>
              <w:t xml:space="preserve">Volker </w:t>
            </w:r>
          </w:p>
        </w:tc>
        <w:tc>
          <w:tcPr>
            <w:tcW w:w="725" w:type="pct"/>
            <w:gridSpan w:val="2"/>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caps/>
                <w:sz w:val="20"/>
                <w:lang w:val="it-IT" w:eastAsia="it-IT"/>
              </w:rPr>
              <w:t>Bode</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proofErr w:type="spellStart"/>
            <w:r w:rsidRPr="00400559">
              <w:rPr>
                <w:rFonts w:ascii="Arial Narrow" w:hAnsi="Arial Narrow" w:cs="Arial"/>
                <w:sz w:val="20"/>
                <w:lang w:val="it-IT" w:eastAsia="it-IT"/>
              </w:rPr>
              <w:t>Deputy</w:t>
            </w:r>
            <w:proofErr w:type="spellEnd"/>
            <w:r w:rsidRPr="00400559">
              <w:rPr>
                <w:rFonts w:ascii="Arial Narrow" w:hAnsi="Arial Narrow" w:cs="Arial"/>
                <w:sz w:val="20"/>
                <w:lang w:val="it-IT" w:eastAsia="it-IT"/>
              </w:rPr>
              <w:t xml:space="preserve"> </w:t>
            </w:r>
            <w:proofErr w:type="spellStart"/>
            <w:r w:rsidRPr="00400559">
              <w:rPr>
                <w:rFonts w:ascii="Arial Narrow" w:hAnsi="Arial Narrow" w:cs="Arial"/>
                <w:sz w:val="20"/>
                <w:lang w:val="it-IT" w:eastAsia="it-IT"/>
              </w:rPr>
              <w:t>Country</w:t>
            </w:r>
            <w:proofErr w:type="spellEnd"/>
            <w:r w:rsidRPr="00400559">
              <w:rPr>
                <w:rFonts w:ascii="Arial Narrow" w:hAnsi="Arial Narrow" w:cs="Arial"/>
                <w:sz w:val="20"/>
                <w:lang w:val="it-IT" w:eastAsia="it-IT"/>
              </w:rPr>
              <w:t xml:space="preserve"> </w:t>
            </w:r>
            <w:proofErr w:type="spellStart"/>
            <w:r w:rsidRPr="00400559">
              <w:rPr>
                <w:rFonts w:ascii="Arial Narrow" w:hAnsi="Arial Narrow" w:cs="Arial"/>
                <w:sz w:val="20"/>
                <w:lang w:val="it-IT" w:eastAsia="it-IT"/>
              </w:rPr>
              <w:t>Director</w:t>
            </w:r>
            <w:proofErr w:type="spellEnd"/>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proofErr w:type="spellStart"/>
            <w:r w:rsidRPr="00400559">
              <w:rPr>
                <w:rFonts w:ascii="Arial Narrow" w:hAnsi="Arial Narrow" w:cs="Arial"/>
                <w:sz w:val="20"/>
                <w:lang w:val="it-IT" w:eastAsia="it-IT"/>
              </w:rPr>
              <w:t>Germany</w:t>
            </w:r>
            <w:proofErr w:type="spellEnd"/>
            <w:r w:rsidRPr="00400559">
              <w:rPr>
                <w:rFonts w:ascii="Arial Narrow" w:hAnsi="Arial Narrow" w:cs="Arial"/>
                <w:sz w:val="20"/>
                <w:lang w:val="it-IT" w:eastAsia="it-IT"/>
              </w:rPr>
              <w:t xml:space="preserve"> GIZ</w:t>
            </w:r>
          </w:p>
        </w:tc>
        <w:tc>
          <w:tcPr>
            <w:tcW w:w="724" w:type="pct"/>
            <w:shd w:val="clear" w:color="auto" w:fill="auto"/>
            <w:noWrap/>
            <w:hideMark/>
          </w:tcPr>
          <w:p w:rsidR="00124A50" w:rsidRPr="00400559" w:rsidRDefault="00124A50" w:rsidP="00124A50">
            <w:pPr>
              <w:spacing w:before="0" w:after="0"/>
              <w:jc w:val="left"/>
              <w:rPr>
                <w:rFonts w:ascii="Arial Narrow" w:hAnsi="Arial Narrow" w:cs="Arial"/>
                <w:caps/>
                <w:sz w:val="20"/>
                <w:lang w:val="it-IT" w:eastAsia="it-IT"/>
              </w:rPr>
            </w:pPr>
            <w:r w:rsidRPr="00400559">
              <w:rPr>
                <w:rFonts w:ascii="Arial Narrow" w:hAnsi="Arial Narrow" w:cs="Arial"/>
                <w:caps/>
                <w:sz w:val="20"/>
                <w:lang w:val="it-IT" w:eastAsia="it-IT"/>
              </w:rPr>
              <w:t>Barbara</w:t>
            </w:r>
          </w:p>
        </w:tc>
        <w:tc>
          <w:tcPr>
            <w:tcW w:w="725" w:type="pct"/>
            <w:gridSpan w:val="2"/>
          </w:tcPr>
          <w:p w:rsidR="00124A50" w:rsidRPr="00400559" w:rsidRDefault="00124A50" w:rsidP="00124A50">
            <w:pPr>
              <w:spacing w:before="0" w:after="0"/>
              <w:jc w:val="left"/>
              <w:rPr>
                <w:rFonts w:ascii="Arial Narrow" w:hAnsi="Arial Narrow" w:cs="Arial"/>
                <w:caps/>
                <w:sz w:val="20"/>
                <w:lang w:val="it-IT" w:eastAsia="it-IT"/>
              </w:rPr>
            </w:pPr>
            <w:r w:rsidRPr="00400559">
              <w:rPr>
                <w:rFonts w:ascii="Arial Narrow" w:hAnsi="Arial Narrow" w:cs="Arial"/>
                <w:caps/>
                <w:sz w:val="20"/>
                <w:lang w:val="it-IT" w:eastAsia="it-IT"/>
              </w:rPr>
              <w:t>Wolf</w:t>
            </w:r>
          </w:p>
        </w:tc>
        <w:tc>
          <w:tcPr>
            <w:tcW w:w="2716" w:type="pct"/>
            <w:shd w:val="clear" w:color="auto" w:fill="auto"/>
            <w:noWrap/>
            <w:hideMark/>
          </w:tcPr>
          <w:p w:rsidR="00124A50" w:rsidRPr="00376ECE" w:rsidRDefault="00124A50" w:rsidP="00124A50">
            <w:pPr>
              <w:spacing w:before="0" w:after="0"/>
              <w:rPr>
                <w:rFonts w:ascii="Arial Narrow" w:hAnsi="Arial Narrow" w:cs="Arial"/>
                <w:sz w:val="20"/>
                <w:lang w:eastAsia="it-IT"/>
              </w:rPr>
            </w:pPr>
            <w:r w:rsidRPr="00376ECE">
              <w:rPr>
                <w:rFonts w:ascii="Arial Narrow" w:hAnsi="Arial Narrow" w:cs="Arial"/>
                <w:sz w:val="20"/>
                <w:lang w:eastAsia="it-IT"/>
              </w:rPr>
              <w:t>Head of German Representative Office</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proofErr w:type="spellStart"/>
            <w:r w:rsidRPr="00400559">
              <w:rPr>
                <w:rFonts w:ascii="Arial Narrow" w:hAnsi="Arial Narrow" w:cs="Arial"/>
                <w:sz w:val="20"/>
                <w:lang w:val="it-IT" w:eastAsia="it-IT"/>
              </w:rPr>
              <w:t>Germany</w:t>
            </w:r>
            <w:proofErr w:type="spellEnd"/>
            <w:r w:rsidRPr="00400559">
              <w:rPr>
                <w:rFonts w:ascii="Arial Narrow" w:hAnsi="Arial Narrow" w:cs="Arial"/>
                <w:sz w:val="20"/>
                <w:lang w:val="it-IT" w:eastAsia="it-IT"/>
              </w:rPr>
              <w:t xml:space="preserve"> GIZ</w:t>
            </w:r>
          </w:p>
        </w:tc>
        <w:tc>
          <w:tcPr>
            <w:tcW w:w="724" w:type="pct"/>
            <w:shd w:val="clear" w:color="auto" w:fill="auto"/>
            <w:noWrap/>
            <w:hideMark/>
          </w:tcPr>
          <w:p w:rsidR="00124A50" w:rsidRPr="00400559" w:rsidRDefault="00124A50" w:rsidP="00124A50">
            <w:pPr>
              <w:spacing w:before="0" w:after="0"/>
              <w:jc w:val="left"/>
              <w:rPr>
                <w:rFonts w:ascii="Arial Narrow" w:hAnsi="Arial Narrow" w:cs="Arial"/>
                <w:caps/>
                <w:sz w:val="20"/>
                <w:lang w:val="it-IT" w:eastAsia="it-IT"/>
              </w:rPr>
            </w:pPr>
            <w:r w:rsidRPr="00400559">
              <w:rPr>
                <w:rFonts w:ascii="Arial Narrow" w:hAnsi="Arial Narrow" w:cs="Arial"/>
                <w:caps/>
                <w:sz w:val="20"/>
                <w:lang w:val="it-IT" w:eastAsia="it-IT"/>
              </w:rPr>
              <w:t>Elke</w:t>
            </w:r>
          </w:p>
        </w:tc>
        <w:tc>
          <w:tcPr>
            <w:tcW w:w="725" w:type="pct"/>
            <w:gridSpan w:val="2"/>
          </w:tcPr>
          <w:p w:rsidR="00124A50" w:rsidRPr="00400559" w:rsidRDefault="00124A50" w:rsidP="00124A50">
            <w:pPr>
              <w:spacing w:before="0" w:after="0"/>
              <w:jc w:val="left"/>
              <w:rPr>
                <w:rFonts w:ascii="Arial Narrow" w:hAnsi="Arial Narrow" w:cs="Arial"/>
                <w:caps/>
                <w:sz w:val="20"/>
                <w:lang w:val="it-IT" w:eastAsia="it-IT"/>
              </w:rPr>
            </w:pPr>
            <w:r w:rsidRPr="00400559">
              <w:rPr>
                <w:rFonts w:ascii="Arial Narrow" w:hAnsi="Arial Narrow" w:cs="Arial"/>
                <w:caps/>
                <w:sz w:val="20"/>
                <w:lang w:val="it-IT" w:eastAsia="it-IT"/>
              </w:rPr>
              <w:t>Bullesbach</w:t>
            </w:r>
          </w:p>
        </w:tc>
        <w:tc>
          <w:tcPr>
            <w:tcW w:w="2716" w:type="pct"/>
            <w:shd w:val="clear" w:color="auto" w:fill="auto"/>
            <w:noWrap/>
            <w:hideMark/>
          </w:tcPr>
          <w:p w:rsidR="00124A50" w:rsidRPr="00400559" w:rsidRDefault="00124A50" w:rsidP="00124A50">
            <w:pPr>
              <w:spacing w:before="0" w:after="0"/>
              <w:rPr>
                <w:rFonts w:ascii="Arial Narrow" w:hAnsi="Arial Narrow" w:cs="Arial"/>
                <w:sz w:val="20"/>
                <w:lang w:val="it-IT" w:eastAsia="it-IT"/>
              </w:rPr>
            </w:pPr>
            <w:r w:rsidRPr="00400559">
              <w:rPr>
                <w:rFonts w:ascii="Arial Narrow" w:hAnsi="Arial Narrow" w:cs="Arial"/>
                <w:sz w:val="20"/>
                <w:lang w:val="it-IT" w:eastAsia="it-IT"/>
              </w:rPr>
              <w:t xml:space="preserve">First </w:t>
            </w:r>
            <w:proofErr w:type="spellStart"/>
            <w:r w:rsidRPr="00400559">
              <w:rPr>
                <w:rFonts w:ascii="Arial Narrow" w:hAnsi="Arial Narrow" w:cs="Arial"/>
                <w:sz w:val="20"/>
                <w:lang w:val="it-IT" w:eastAsia="it-IT"/>
              </w:rPr>
              <w:t>secretary</w:t>
            </w:r>
            <w:proofErr w:type="spellEnd"/>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sz w:val="20"/>
              </w:rPr>
            </w:pPr>
            <w:r w:rsidRPr="00400559">
              <w:rPr>
                <w:rFonts w:ascii="Arial Narrow" w:hAnsi="Arial Narrow" w:cs="Arial"/>
                <w:sz w:val="20"/>
                <w:lang w:eastAsia="it-IT"/>
              </w:rPr>
              <w:t>French Consulate General in Jerusalem</w:t>
            </w:r>
          </w:p>
        </w:tc>
        <w:tc>
          <w:tcPr>
            <w:tcW w:w="724"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 xml:space="preserve">JULIEN </w:t>
            </w:r>
          </w:p>
        </w:tc>
        <w:tc>
          <w:tcPr>
            <w:tcW w:w="725" w:type="pct"/>
            <w:gridSpan w:val="2"/>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BUISSART</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Economic and commercial counselor</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rPr>
            </w:pPr>
            <w:r w:rsidRPr="00400559">
              <w:rPr>
                <w:rFonts w:ascii="Arial Narrow" w:hAnsi="Arial Narrow" w:cs="Arial"/>
                <w:sz w:val="20"/>
                <w:lang w:eastAsia="it-IT"/>
              </w:rPr>
              <w:t>France AFD</w:t>
            </w:r>
          </w:p>
        </w:tc>
        <w:tc>
          <w:tcPr>
            <w:tcW w:w="724" w:type="pct"/>
            <w:shd w:val="clear" w:color="auto" w:fill="auto"/>
            <w:noWrap/>
            <w:hideMark/>
          </w:tcPr>
          <w:p w:rsidR="00124A50" w:rsidRPr="00400559" w:rsidRDefault="00124A50" w:rsidP="00124A50">
            <w:pPr>
              <w:spacing w:before="0" w:after="0"/>
              <w:rPr>
                <w:rFonts w:ascii="Arial Narrow" w:hAnsi="Arial Narrow" w:cs="Arial"/>
                <w:sz w:val="20"/>
              </w:rPr>
            </w:pPr>
            <w:r w:rsidRPr="00400559">
              <w:rPr>
                <w:rFonts w:ascii="Arial Narrow" w:hAnsi="Arial Narrow" w:cs="Arial"/>
                <w:sz w:val="20"/>
                <w:lang w:eastAsia="it-IT"/>
              </w:rPr>
              <w:t xml:space="preserve">HERVE </w:t>
            </w:r>
          </w:p>
        </w:tc>
        <w:tc>
          <w:tcPr>
            <w:tcW w:w="725" w:type="pct"/>
            <w:gridSpan w:val="2"/>
          </w:tcPr>
          <w:p w:rsidR="00124A50" w:rsidRPr="00400559" w:rsidRDefault="00124A50" w:rsidP="00124A50">
            <w:pPr>
              <w:spacing w:before="0" w:after="0"/>
              <w:rPr>
                <w:rFonts w:ascii="Arial Narrow" w:hAnsi="Arial Narrow" w:cs="Arial"/>
                <w:sz w:val="20"/>
                <w:lang w:eastAsia="it-IT"/>
              </w:rPr>
            </w:pPr>
            <w:r w:rsidRPr="00400559">
              <w:rPr>
                <w:rFonts w:ascii="Arial Narrow" w:hAnsi="Arial Narrow" w:cs="Arial"/>
                <w:sz w:val="20"/>
                <w:lang w:eastAsia="it-IT"/>
              </w:rPr>
              <w:t>CONAN</w:t>
            </w:r>
          </w:p>
        </w:tc>
        <w:tc>
          <w:tcPr>
            <w:tcW w:w="2716" w:type="pct"/>
            <w:shd w:val="clear" w:color="auto" w:fill="auto"/>
            <w:noWrap/>
            <w:hideMark/>
          </w:tcPr>
          <w:p w:rsidR="00124A50" w:rsidRPr="00400559" w:rsidRDefault="00124A50" w:rsidP="00124A50">
            <w:pPr>
              <w:spacing w:before="0" w:after="0"/>
              <w:rPr>
                <w:rFonts w:ascii="Arial Narrow" w:hAnsi="Arial Narrow" w:cs="Arial"/>
                <w:sz w:val="20"/>
              </w:rPr>
            </w:pPr>
            <w:r w:rsidRPr="00400559">
              <w:rPr>
                <w:rFonts w:ascii="Arial Narrow" w:hAnsi="Arial Narrow" w:cs="Arial"/>
                <w:sz w:val="20"/>
                <w:lang w:eastAsia="it-IT"/>
              </w:rPr>
              <w:t>DIRECTEUR</w:t>
            </w:r>
          </w:p>
        </w:tc>
      </w:tr>
      <w:tr w:rsidR="00124A50" w:rsidRPr="00400559" w:rsidTr="00740262">
        <w:trPr>
          <w:trHeight w:val="360"/>
        </w:trPr>
        <w:tc>
          <w:tcPr>
            <w:tcW w:w="835" w:type="pct"/>
            <w:shd w:val="clear" w:color="auto" w:fill="auto"/>
            <w:noWrap/>
            <w:vAlign w:val="center"/>
            <w:hideMark/>
          </w:tcPr>
          <w:p w:rsidR="00124A50" w:rsidRPr="00400559" w:rsidRDefault="00124A50" w:rsidP="00124A50">
            <w:pPr>
              <w:spacing w:before="0" w:after="0"/>
              <w:jc w:val="left"/>
              <w:rPr>
                <w:rFonts w:ascii="Arial Narrow" w:hAnsi="Arial Narrow" w:cs="Arial"/>
                <w:bCs/>
                <w:sz w:val="20"/>
              </w:rPr>
            </w:pPr>
            <w:r w:rsidRPr="00400559">
              <w:rPr>
                <w:rFonts w:ascii="Arial Narrow" w:hAnsi="Arial Narrow" w:cs="Arial"/>
                <w:bCs/>
                <w:sz w:val="20"/>
              </w:rPr>
              <w:t>Belgian Cooperation (CTB)</w:t>
            </w:r>
          </w:p>
        </w:tc>
        <w:tc>
          <w:tcPr>
            <w:tcW w:w="724" w:type="pct"/>
            <w:shd w:val="clear" w:color="auto" w:fill="auto"/>
            <w:noWrap/>
            <w:vAlign w:val="center"/>
            <w:hideMark/>
          </w:tcPr>
          <w:p w:rsidR="00124A50" w:rsidRPr="00400559" w:rsidRDefault="00124A50" w:rsidP="00124A50">
            <w:pPr>
              <w:spacing w:before="0" w:after="0"/>
              <w:rPr>
                <w:rFonts w:ascii="Arial Narrow" w:hAnsi="Arial Narrow" w:cs="Arial"/>
                <w:sz w:val="20"/>
              </w:rPr>
            </w:pPr>
            <w:r w:rsidRPr="00400559">
              <w:rPr>
                <w:rFonts w:ascii="Arial Narrow" w:hAnsi="Arial Narrow" w:cs="Arial"/>
                <w:sz w:val="20"/>
              </w:rPr>
              <w:t xml:space="preserve">Willy </w:t>
            </w:r>
          </w:p>
        </w:tc>
        <w:tc>
          <w:tcPr>
            <w:tcW w:w="725" w:type="pct"/>
            <w:gridSpan w:val="2"/>
            <w:vAlign w:val="center"/>
          </w:tcPr>
          <w:p w:rsidR="00124A50" w:rsidRPr="00400559" w:rsidRDefault="00124A50" w:rsidP="00124A50">
            <w:pPr>
              <w:spacing w:before="0" w:after="0"/>
              <w:rPr>
                <w:rFonts w:ascii="Arial Narrow" w:hAnsi="Arial Narrow" w:cs="Arial"/>
                <w:sz w:val="20"/>
              </w:rPr>
            </w:pPr>
            <w:proofErr w:type="spellStart"/>
            <w:r w:rsidRPr="00400559">
              <w:rPr>
                <w:rFonts w:ascii="Arial Narrow" w:hAnsi="Arial Narrow" w:cs="Arial"/>
                <w:sz w:val="20"/>
              </w:rPr>
              <w:t>Demeyer</w:t>
            </w:r>
            <w:proofErr w:type="spellEnd"/>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rPr>
              <w:t>Resident Representative</w:t>
            </w:r>
          </w:p>
        </w:tc>
      </w:tr>
      <w:tr w:rsidR="00124A50" w:rsidRPr="00400559" w:rsidTr="00740262">
        <w:trPr>
          <w:trHeight w:val="360"/>
        </w:trPr>
        <w:tc>
          <w:tcPr>
            <w:tcW w:w="835" w:type="pct"/>
            <w:shd w:val="clear" w:color="auto" w:fill="auto"/>
            <w:noWrap/>
            <w:vAlign w:val="center"/>
            <w:hideMark/>
          </w:tcPr>
          <w:p w:rsidR="00124A50" w:rsidRPr="00400559" w:rsidRDefault="00124A50" w:rsidP="00124A50">
            <w:pPr>
              <w:spacing w:before="0" w:after="0"/>
              <w:jc w:val="left"/>
              <w:rPr>
                <w:rFonts w:ascii="Arial Narrow" w:hAnsi="Arial Narrow" w:cs="Arial"/>
                <w:bCs/>
                <w:sz w:val="20"/>
              </w:rPr>
            </w:pPr>
            <w:proofErr w:type="spellStart"/>
            <w:r w:rsidRPr="00400559">
              <w:rPr>
                <w:rFonts w:ascii="Arial Narrow" w:hAnsi="Arial Narrow" w:cs="Arial"/>
                <w:bCs/>
                <w:sz w:val="20"/>
              </w:rPr>
              <w:lastRenderedPageBreak/>
              <w:t>KfW</w:t>
            </w:r>
            <w:proofErr w:type="spellEnd"/>
          </w:p>
        </w:tc>
        <w:tc>
          <w:tcPr>
            <w:tcW w:w="724" w:type="pct"/>
            <w:shd w:val="clear" w:color="auto" w:fill="auto"/>
            <w:noWrap/>
            <w:vAlign w:val="center"/>
            <w:hideMark/>
          </w:tcPr>
          <w:p w:rsidR="00124A50" w:rsidRPr="00400559" w:rsidRDefault="00124A50" w:rsidP="00124A50">
            <w:pPr>
              <w:spacing w:before="0" w:after="0"/>
              <w:rPr>
                <w:rFonts w:ascii="Arial Narrow" w:hAnsi="Arial Narrow" w:cs="Arial"/>
                <w:sz w:val="20"/>
              </w:rPr>
            </w:pPr>
            <w:r w:rsidRPr="00400559">
              <w:rPr>
                <w:rFonts w:ascii="Arial Narrow" w:hAnsi="Arial Narrow" w:cs="Arial"/>
                <w:sz w:val="20"/>
              </w:rPr>
              <w:t xml:space="preserve">Thomas </w:t>
            </w:r>
          </w:p>
        </w:tc>
        <w:tc>
          <w:tcPr>
            <w:tcW w:w="725" w:type="pct"/>
            <w:gridSpan w:val="2"/>
            <w:vAlign w:val="center"/>
          </w:tcPr>
          <w:p w:rsidR="00124A50" w:rsidRPr="00400559" w:rsidRDefault="00124A50" w:rsidP="00124A50">
            <w:pPr>
              <w:spacing w:before="0" w:after="0"/>
              <w:rPr>
                <w:rFonts w:ascii="Arial Narrow" w:hAnsi="Arial Narrow" w:cs="Arial"/>
                <w:sz w:val="20"/>
              </w:rPr>
            </w:pPr>
            <w:proofErr w:type="spellStart"/>
            <w:r w:rsidRPr="00400559">
              <w:rPr>
                <w:rFonts w:ascii="Arial Narrow" w:hAnsi="Arial Narrow" w:cs="Arial"/>
                <w:sz w:val="20"/>
              </w:rPr>
              <w:t>Eisenbach</w:t>
            </w:r>
            <w:proofErr w:type="spellEnd"/>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rPr>
            </w:pPr>
            <w:r w:rsidRPr="00400559">
              <w:rPr>
                <w:rFonts w:ascii="Arial Narrow" w:hAnsi="Arial Narrow" w:cs="Arial"/>
                <w:sz w:val="20"/>
              </w:rPr>
              <w:t xml:space="preserve">Director </w:t>
            </w:r>
            <w:r>
              <w:rPr>
                <w:rFonts w:ascii="Arial Narrow" w:hAnsi="Arial Narrow" w:cs="Arial"/>
                <w:sz w:val="20"/>
              </w:rPr>
              <w:t>–</w:t>
            </w:r>
            <w:r w:rsidRPr="00400559">
              <w:rPr>
                <w:rFonts w:ascii="Arial Narrow" w:hAnsi="Arial Narrow" w:cs="Arial"/>
                <w:sz w:val="20"/>
              </w:rPr>
              <w:t xml:space="preserve"> </w:t>
            </w:r>
            <w:proofErr w:type="spellStart"/>
            <w:r w:rsidRPr="00400559">
              <w:rPr>
                <w:rFonts w:ascii="Arial Narrow" w:hAnsi="Arial Narrow" w:cs="Arial"/>
                <w:sz w:val="20"/>
              </w:rPr>
              <w:t>KfW</w:t>
            </w:r>
            <w:proofErr w:type="spellEnd"/>
            <w:r w:rsidRPr="00400559">
              <w:rPr>
                <w:rFonts w:ascii="Arial Narrow" w:hAnsi="Arial Narrow" w:cs="Arial"/>
                <w:sz w:val="20"/>
              </w:rPr>
              <w:t xml:space="preserve"> Development Bank</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sz w:val="20"/>
              </w:rPr>
            </w:pPr>
            <w:r w:rsidRPr="00400559">
              <w:rPr>
                <w:rFonts w:ascii="Arial Narrow" w:hAnsi="Arial Narrow" w:cs="Arial"/>
                <w:sz w:val="20"/>
                <w:lang w:eastAsia="it-IT"/>
              </w:rPr>
              <w:t>French Consulate General in Jerusalem</w:t>
            </w:r>
          </w:p>
        </w:tc>
        <w:tc>
          <w:tcPr>
            <w:tcW w:w="724"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 xml:space="preserve">AUGUSTIN </w:t>
            </w:r>
          </w:p>
        </w:tc>
        <w:tc>
          <w:tcPr>
            <w:tcW w:w="725" w:type="pct"/>
            <w:gridSpan w:val="2"/>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FAVEREAU</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Head of cooperation</w:t>
            </w:r>
          </w:p>
        </w:tc>
      </w:tr>
      <w:tr w:rsidR="00124A50" w:rsidRPr="00400559" w:rsidTr="00740262">
        <w:trPr>
          <w:trHeight w:val="360"/>
        </w:trPr>
        <w:tc>
          <w:tcPr>
            <w:tcW w:w="835" w:type="pct"/>
            <w:shd w:val="clear" w:color="auto" w:fill="auto"/>
            <w:noWrap/>
            <w:vAlign w:val="center"/>
            <w:hideMark/>
          </w:tcPr>
          <w:p w:rsidR="00124A50" w:rsidRPr="00400559" w:rsidRDefault="00124A50" w:rsidP="00124A50">
            <w:pPr>
              <w:spacing w:before="0" w:after="0"/>
              <w:rPr>
                <w:rFonts w:ascii="Arial Narrow" w:hAnsi="Arial Narrow" w:cs="Arial"/>
                <w:sz w:val="20"/>
              </w:rPr>
            </w:pPr>
            <w:r w:rsidRPr="00400559">
              <w:rPr>
                <w:rFonts w:ascii="Arial Narrow" w:hAnsi="Arial Narrow" w:cs="Arial"/>
                <w:sz w:val="20"/>
              </w:rPr>
              <w:t>Belgian Consulate</w:t>
            </w:r>
          </w:p>
        </w:tc>
        <w:tc>
          <w:tcPr>
            <w:tcW w:w="724" w:type="pct"/>
            <w:shd w:val="clear" w:color="auto" w:fill="auto"/>
            <w:noWrap/>
            <w:vAlign w:val="center"/>
            <w:hideMark/>
          </w:tcPr>
          <w:p w:rsidR="00124A50" w:rsidRPr="00400559" w:rsidRDefault="00124A50" w:rsidP="00124A50">
            <w:pPr>
              <w:spacing w:before="0" w:after="0"/>
              <w:rPr>
                <w:rFonts w:ascii="Arial Narrow" w:hAnsi="Arial Narrow" w:cs="Arial"/>
                <w:sz w:val="20"/>
              </w:rPr>
            </w:pPr>
            <w:r w:rsidRPr="00400559">
              <w:rPr>
                <w:rFonts w:ascii="Arial Narrow" w:hAnsi="Arial Narrow" w:cs="Arial"/>
                <w:sz w:val="20"/>
              </w:rPr>
              <w:t xml:space="preserve">Alfred </w:t>
            </w:r>
          </w:p>
        </w:tc>
        <w:tc>
          <w:tcPr>
            <w:tcW w:w="725" w:type="pct"/>
            <w:gridSpan w:val="2"/>
            <w:vAlign w:val="center"/>
          </w:tcPr>
          <w:p w:rsidR="00124A50" w:rsidRPr="00400559" w:rsidRDefault="00124A50" w:rsidP="00124A50">
            <w:pPr>
              <w:spacing w:before="0" w:after="0"/>
              <w:rPr>
                <w:rFonts w:ascii="Arial Narrow" w:hAnsi="Arial Narrow" w:cs="Arial"/>
                <w:sz w:val="20"/>
              </w:rPr>
            </w:pPr>
            <w:proofErr w:type="spellStart"/>
            <w:r w:rsidRPr="00400559">
              <w:rPr>
                <w:rFonts w:ascii="Arial Narrow" w:hAnsi="Arial Narrow" w:cs="Arial"/>
                <w:sz w:val="20"/>
              </w:rPr>
              <w:t>Fickers</w:t>
            </w:r>
            <w:proofErr w:type="spellEnd"/>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rPr>
              <w:t xml:space="preserve">Consul </w:t>
            </w:r>
            <w:r>
              <w:rPr>
                <w:rFonts w:ascii="Arial Narrow" w:hAnsi="Arial Narrow" w:cs="Arial"/>
                <w:sz w:val="20"/>
              </w:rPr>
              <w:t>–</w:t>
            </w:r>
            <w:r w:rsidRPr="00400559">
              <w:rPr>
                <w:rFonts w:ascii="Arial Narrow" w:hAnsi="Arial Narrow" w:cs="Arial"/>
                <w:sz w:val="20"/>
              </w:rPr>
              <w:t xml:space="preserve"> Cooperation</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UK/DFID</w:t>
            </w:r>
          </w:p>
        </w:tc>
        <w:tc>
          <w:tcPr>
            <w:tcW w:w="724" w:type="pct"/>
            <w:shd w:val="clear" w:color="auto" w:fill="auto"/>
            <w:noWrap/>
            <w:hideMark/>
          </w:tcPr>
          <w:p w:rsidR="00124A50" w:rsidRPr="00400559" w:rsidRDefault="00124A50" w:rsidP="00124A50">
            <w:pPr>
              <w:spacing w:before="0" w:after="0"/>
              <w:jc w:val="left"/>
              <w:rPr>
                <w:rFonts w:ascii="Arial Narrow" w:hAnsi="Arial Narrow" w:cs="Arial"/>
                <w:caps/>
                <w:sz w:val="20"/>
                <w:lang w:val="it-IT" w:eastAsia="it-IT"/>
              </w:rPr>
            </w:pPr>
            <w:r w:rsidRPr="00400559">
              <w:rPr>
                <w:rFonts w:ascii="Arial Narrow" w:hAnsi="Arial Narrow" w:cs="Arial"/>
                <w:caps/>
                <w:sz w:val="20"/>
                <w:lang w:val="it-IT" w:eastAsia="it-IT"/>
              </w:rPr>
              <w:t xml:space="preserve">JONATHAN </w:t>
            </w:r>
          </w:p>
        </w:tc>
        <w:tc>
          <w:tcPr>
            <w:tcW w:w="725" w:type="pct"/>
            <w:gridSpan w:val="2"/>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caps/>
                <w:sz w:val="20"/>
                <w:lang w:val="it-IT" w:eastAsia="it-IT"/>
              </w:rPr>
              <w:t>HARGREAVES</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 xml:space="preserve">Head, DFID </w:t>
            </w:r>
            <w:proofErr w:type="spellStart"/>
            <w:r w:rsidRPr="00400559">
              <w:rPr>
                <w:rFonts w:ascii="Arial Narrow" w:hAnsi="Arial Narrow" w:cs="Arial"/>
                <w:sz w:val="20"/>
                <w:lang w:val="it-IT" w:eastAsia="it-IT"/>
              </w:rPr>
              <w:t>Jerusalem</w:t>
            </w:r>
            <w:proofErr w:type="spellEnd"/>
            <w:r w:rsidRPr="00400559">
              <w:rPr>
                <w:rFonts w:ascii="Arial Narrow" w:hAnsi="Arial Narrow" w:cs="Arial"/>
                <w:sz w:val="20"/>
                <w:lang w:val="it-IT" w:eastAsia="it-IT"/>
              </w:rPr>
              <w:t xml:space="preserve"> </w:t>
            </w:r>
            <w:proofErr w:type="spellStart"/>
            <w:r w:rsidRPr="00400559">
              <w:rPr>
                <w:rFonts w:ascii="Arial Narrow" w:hAnsi="Arial Narrow" w:cs="Arial"/>
                <w:sz w:val="20"/>
                <w:lang w:val="it-IT" w:eastAsia="it-IT"/>
              </w:rPr>
              <w:t>Palestinian</w:t>
            </w:r>
            <w:proofErr w:type="spellEnd"/>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rPr>
                <w:rFonts w:ascii="Arial Narrow" w:hAnsi="Arial Narrow"/>
                <w:sz w:val="20"/>
              </w:rPr>
            </w:pPr>
            <w:r w:rsidRPr="00400559">
              <w:rPr>
                <w:rFonts w:ascii="Arial Narrow" w:hAnsi="Arial Narrow" w:cs="Arial"/>
                <w:sz w:val="20"/>
                <w:lang w:eastAsia="it-IT"/>
              </w:rPr>
              <w:t>France AFD</w:t>
            </w:r>
          </w:p>
        </w:tc>
        <w:tc>
          <w:tcPr>
            <w:tcW w:w="724" w:type="pct"/>
            <w:shd w:val="clear" w:color="auto" w:fill="auto"/>
            <w:noWrap/>
            <w:vAlign w:val="center"/>
            <w:hideMark/>
          </w:tcPr>
          <w:p w:rsidR="00124A50" w:rsidRPr="00400559" w:rsidRDefault="00124A50" w:rsidP="00124A50">
            <w:pPr>
              <w:spacing w:before="0" w:after="0"/>
              <w:rPr>
                <w:rFonts w:ascii="Arial Narrow" w:hAnsi="Arial Narrow" w:cs="Arial"/>
                <w:sz w:val="20"/>
              </w:rPr>
            </w:pPr>
            <w:r w:rsidRPr="00400559">
              <w:rPr>
                <w:rFonts w:ascii="Arial Narrow" w:hAnsi="Arial Narrow" w:cs="Arial"/>
                <w:sz w:val="20"/>
              </w:rPr>
              <w:t xml:space="preserve">Bruno </w:t>
            </w:r>
          </w:p>
        </w:tc>
        <w:tc>
          <w:tcPr>
            <w:tcW w:w="725" w:type="pct"/>
            <w:gridSpan w:val="2"/>
          </w:tcPr>
          <w:p w:rsidR="00124A50" w:rsidRPr="00400559" w:rsidRDefault="00124A50" w:rsidP="00124A50">
            <w:pPr>
              <w:spacing w:before="0" w:after="0"/>
              <w:rPr>
                <w:rFonts w:ascii="Arial Narrow" w:hAnsi="Arial Narrow" w:cs="Arial"/>
                <w:sz w:val="20"/>
                <w:lang w:eastAsia="it-IT"/>
              </w:rPr>
            </w:pPr>
            <w:proofErr w:type="spellStart"/>
            <w:r w:rsidRPr="00400559">
              <w:rPr>
                <w:rFonts w:ascii="Arial Narrow" w:hAnsi="Arial Narrow" w:cs="Arial"/>
                <w:sz w:val="20"/>
              </w:rPr>
              <w:t>Juvet</w:t>
            </w:r>
            <w:proofErr w:type="spellEnd"/>
          </w:p>
        </w:tc>
        <w:tc>
          <w:tcPr>
            <w:tcW w:w="2716" w:type="pct"/>
            <w:shd w:val="clear" w:color="auto" w:fill="auto"/>
            <w:noWrap/>
            <w:vAlign w:val="center"/>
            <w:hideMark/>
          </w:tcPr>
          <w:p w:rsidR="00124A50" w:rsidRPr="00400559" w:rsidRDefault="00124A50" w:rsidP="00124A50">
            <w:pPr>
              <w:spacing w:before="0" w:after="0"/>
              <w:rPr>
                <w:rFonts w:ascii="Arial Narrow" w:hAnsi="Arial Narrow" w:cs="Arial"/>
                <w:sz w:val="20"/>
              </w:rPr>
            </w:pPr>
            <w:r w:rsidRPr="00400559">
              <w:rPr>
                <w:rFonts w:ascii="Arial Narrow" w:hAnsi="Arial Narrow" w:cs="Arial"/>
                <w:sz w:val="20"/>
              </w:rPr>
              <w:t xml:space="preserve">Head of Cooperation </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rPr>
                <w:rFonts w:ascii="Arial Narrow" w:hAnsi="Arial Narrow"/>
                <w:sz w:val="20"/>
              </w:rPr>
            </w:pPr>
            <w:r w:rsidRPr="00400559">
              <w:rPr>
                <w:rFonts w:ascii="Arial Narrow" w:hAnsi="Arial Narrow" w:cs="Arial"/>
                <w:sz w:val="20"/>
                <w:lang w:eastAsia="it-IT"/>
              </w:rPr>
              <w:t>France AFD</w:t>
            </w:r>
          </w:p>
        </w:tc>
        <w:tc>
          <w:tcPr>
            <w:tcW w:w="724" w:type="pct"/>
            <w:shd w:val="clear" w:color="auto" w:fill="auto"/>
            <w:noWrap/>
            <w:vAlign w:val="center"/>
            <w:hideMark/>
          </w:tcPr>
          <w:p w:rsidR="00124A50" w:rsidRPr="00400559" w:rsidRDefault="00124A50" w:rsidP="00124A50">
            <w:pPr>
              <w:spacing w:before="0" w:after="0"/>
              <w:rPr>
                <w:rFonts w:ascii="Arial Narrow" w:hAnsi="Arial Narrow" w:cs="Arial"/>
                <w:sz w:val="20"/>
              </w:rPr>
            </w:pPr>
            <w:r w:rsidRPr="00400559">
              <w:rPr>
                <w:rFonts w:ascii="Arial Narrow" w:hAnsi="Arial Narrow" w:cs="Arial"/>
                <w:sz w:val="20"/>
              </w:rPr>
              <w:t>Camille</w:t>
            </w:r>
          </w:p>
        </w:tc>
        <w:tc>
          <w:tcPr>
            <w:tcW w:w="725" w:type="pct"/>
            <w:gridSpan w:val="2"/>
          </w:tcPr>
          <w:p w:rsidR="00124A50" w:rsidRPr="00400559" w:rsidRDefault="00124A50" w:rsidP="00124A50">
            <w:pPr>
              <w:spacing w:before="0" w:after="0"/>
              <w:rPr>
                <w:rFonts w:ascii="Arial Narrow" w:hAnsi="Arial Narrow" w:cs="Arial"/>
                <w:sz w:val="20"/>
                <w:lang w:eastAsia="it-IT"/>
              </w:rPr>
            </w:pPr>
            <w:r w:rsidRPr="00400559">
              <w:rPr>
                <w:rFonts w:ascii="Arial Narrow" w:hAnsi="Arial Narrow" w:cs="Arial"/>
                <w:sz w:val="20"/>
              </w:rPr>
              <w:t>KERDANET</w:t>
            </w:r>
          </w:p>
        </w:tc>
        <w:tc>
          <w:tcPr>
            <w:tcW w:w="2716" w:type="pct"/>
            <w:shd w:val="clear" w:color="auto" w:fill="auto"/>
            <w:noWrap/>
            <w:vAlign w:val="bottom"/>
            <w:hideMark/>
          </w:tcPr>
          <w:p w:rsidR="00124A50" w:rsidRPr="00400559" w:rsidRDefault="00124A50" w:rsidP="00124A50">
            <w:pPr>
              <w:spacing w:before="0" w:after="0"/>
              <w:rPr>
                <w:rFonts w:ascii="Arial Narrow" w:hAnsi="Arial Narrow" w:cs="Arial"/>
                <w:sz w:val="20"/>
              </w:rPr>
            </w:pPr>
            <w:r w:rsidRPr="00400559">
              <w:rPr>
                <w:rFonts w:ascii="Arial Narrow" w:hAnsi="Arial Narrow" w:cs="Arial"/>
                <w:sz w:val="20"/>
              </w:rPr>
              <w:t xml:space="preserve">Project Officer </w:t>
            </w:r>
            <w:r>
              <w:rPr>
                <w:rFonts w:ascii="Arial Narrow" w:hAnsi="Arial Narrow" w:cs="Arial"/>
                <w:sz w:val="20"/>
              </w:rPr>
              <w:t>–</w:t>
            </w:r>
            <w:r w:rsidRPr="00400559">
              <w:rPr>
                <w:rFonts w:ascii="Arial Narrow" w:hAnsi="Arial Narrow" w:cs="Arial"/>
                <w:sz w:val="20"/>
              </w:rPr>
              <w:t xml:space="preserve"> Water and Sanitation Sector AFD Jerusalem Office</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proofErr w:type="spellStart"/>
            <w:r w:rsidRPr="00400559">
              <w:rPr>
                <w:rFonts w:ascii="Arial Narrow" w:hAnsi="Arial Narrow" w:cs="Arial"/>
                <w:sz w:val="20"/>
                <w:lang w:val="it-IT" w:eastAsia="it-IT"/>
              </w:rPr>
              <w:t>Spain</w:t>
            </w:r>
            <w:proofErr w:type="spellEnd"/>
            <w:r w:rsidRPr="00400559">
              <w:rPr>
                <w:rFonts w:ascii="Arial Narrow" w:hAnsi="Arial Narrow" w:cs="Arial"/>
                <w:sz w:val="20"/>
                <w:lang w:val="it-IT" w:eastAsia="it-IT"/>
              </w:rPr>
              <w:t xml:space="preserve"> AECID</w:t>
            </w:r>
          </w:p>
        </w:tc>
        <w:tc>
          <w:tcPr>
            <w:tcW w:w="724" w:type="pct"/>
            <w:shd w:val="clear" w:color="auto" w:fill="auto"/>
            <w:noWrap/>
            <w:hideMark/>
          </w:tcPr>
          <w:p w:rsidR="00124A50" w:rsidRPr="00400559" w:rsidRDefault="00124A50" w:rsidP="00124A50">
            <w:pPr>
              <w:spacing w:before="0" w:after="0"/>
              <w:jc w:val="left"/>
              <w:rPr>
                <w:rFonts w:ascii="Arial Narrow" w:hAnsi="Arial Narrow" w:cs="Arial"/>
                <w:caps/>
                <w:sz w:val="20"/>
                <w:lang w:val="it-IT" w:eastAsia="it-IT"/>
              </w:rPr>
            </w:pPr>
            <w:r w:rsidRPr="00400559">
              <w:rPr>
                <w:rFonts w:ascii="Arial Narrow" w:hAnsi="Arial Narrow" w:cs="Arial"/>
                <w:caps/>
                <w:sz w:val="20"/>
                <w:lang w:val="it-IT" w:eastAsia="it-IT"/>
              </w:rPr>
              <w:t xml:space="preserve">Eva Suarez </w:t>
            </w:r>
          </w:p>
        </w:tc>
        <w:tc>
          <w:tcPr>
            <w:tcW w:w="725" w:type="pct"/>
            <w:gridSpan w:val="2"/>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caps/>
                <w:sz w:val="20"/>
                <w:lang w:val="it-IT" w:eastAsia="it-IT"/>
              </w:rPr>
              <w:t>leonardo</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 xml:space="preserve">Senior </w:t>
            </w:r>
            <w:proofErr w:type="spellStart"/>
            <w:r w:rsidRPr="00400559">
              <w:rPr>
                <w:rFonts w:ascii="Arial Narrow" w:hAnsi="Arial Narrow" w:cs="Arial"/>
                <w:sz w:val="20"/>
                <w:lang w:eastAsia="it-IT"/>
              </w:rPr>
              <w:t>Programme</w:t>
            </w:r>
            <w:proofErr w:type="spellEnd"/>
            <w:r w:rsidRPr="00400559">
              <w:rPr>
                <w:rFonts w:ascii="Arial Narrow" w:hAnsi="Arial Narrow" w:cs="Arial"/>
                <w:sz w:val="20"/>
                <w:lang w:eastAsia="it-IT"/>
              </w:rPr>
              <w:t xml:space="preserve"> Manager Civil Society and Peace building</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rPr>
                <w:rFonts w:ascii="Arial Narrow" w:hAnsi="Arial Narrow"/>
                <w:sz w:val="20"/>
              </w:rPr>
            </w:pPr>
            <w:r w:rsidRPr="00400559">
              <w:rPr>
                <w:rFonts w:ascii="Arial Narrow" w:hAnsi="Arial Narrow" w:cs="Arial"/>
                <w:sz w:val="20"/>
                <w:lang w:eastAsia="it-IT"/>
              </w:rPr>
              <w:t>French Consulate General in Jerusalem</w:t>
            </w:r>
          </w:p>
        </w:tc>
        <w:tc>
          <w:tcPr>
            <w:tcW w:w="724" w:type="pct"/>
            <w:shd w:val="clear" w:color="auto" w:fill="auto"/>
            <w:noWrap/>
            <w:hideMark/>
          </w:tcPr>
          <w:p w:rsidR="00124A50" w:rsidRPr="00400559" w:rsidRDefault="00124A50" w:rsidP="00124A50">
            <w:pPr>
              <w:spacing w:before="0" w:after="0"/>
              <w:rPr>
                <w:rFonts w:ascii="Arial Narrow" w:hAnsi="Arial Narrow" w:cs="Arial"/>
                <w:sz w:val="20"/>
              </w:rPr>
            </w:pPr>
            <w:r w:rsidRPr="00400559">
              <w:rPr>
                <w:rFonts w:ascii="Arial Narrow" w:hAnsi="Arial Narrow" w:cs="Arial"/>
                <w:sz w:val="20"/>
                <w:lang w:eastAsia="it-IT"/>
              </w:rPr>
              <w:t xml:space="preserve">HEVRE </w:t>
            </w:r>
          </w:p>
        </w:tc>
        <w:tc>
          <w:tcPr>
            <w:tcW w:w="725" w:type="pct"/>
            <w:gridSpan w:val="2"/>
          </w:tcPr>
          <w:p w:rsidR="00124A50" w:rsidRPr="00400559" w:rsidRDefault="00124A50" w:rsidP="00124A50">
            <w:pPr>
              <w:spacing w:before="0" w:after="0"/>
              <w:rPr>
                <w:rFonts w:ascii="Arial Narrow" w:hAnsi="Arial Narrow" w:cs="Arial"/>
                <w:sz w:val="20"/>
                <w:lang w:eastAsia="it-IT"/>
              </w:rPr>
            </w:pPr>
            <w:r w:rsidRPr="00400559">
              <w:rPr>
                <w:rFonts w:ascii="Arial Narrow" w:hAnsi="Arial Narrow" w:cs="Arial"/>
                <w:sz w:val="20"/>
                <w:lang w:eastAsia="it-IT"/>
              </w:rPr>
              <w:t>MAGRO</w:t>
            </w:r>
          </w:p>
        </w:tc>
        <w:tc>
          <w:tcPr>
            <w:tcW w:w="2716" w:type="pct"/>
            <w:shd w:val="clear" w:color="auto" w:fill="auto"/>
            <w:noWrap/>
            <w:hideMark/>
          </w:tcPr>
          <w:p w:rsidR="00124A50" w:rsidRPr="00400559" w:rsidRDefault="00124A50" w:rsidP="00124A50">
            <w:pPr>
              <w:spacing w:before="0" w:after="0"/>
              <w:rPr>
                <w:rFonts w:ascii="Arial Narrow" w:hAnsi="Arial Narrow" w:cs="Arial"/>
                <w:sz w:val="20"/>
              </w:rPr>
            </w:pPr>
            <w:r w:rsidRPr="00400559">
              <w:rPr>
                <w:rFonts w:ascii="Arial Narrow" w:hAnsi="Arial Narrow" w:cs="Arial"/>
                <w:sz w:val="20"/>
                <w:lang w:eastAsia="it-IT"/>
              </w:rPr>
              <w:t>Consul general de France à Jerusalem</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proofErr w:type="spellStart"/>
            <w:r w:rsidRPr="00400559">
              <w:rPr>
                <w:rFonts w:ascii="Arial Narrow" w:hAnsi="Arial Narrow" w:cs="Arial"/>
                <w:sz w:val="20"/>
                <w:lang w:val="it-IT" w:eastAsia="it-IT"/>
              </w:rPr>
              <w:t>Slovak</w:t>
            </w:r>
            <w:proofErr w:type="spellEnd"/>
            <w:r w:rsidRPr="00400559">
              <w:rPr>
                <w:rFonts w:ascii="Arial Narrow" w:hAnsi="Arial Narrow" w:cs="Arial"/>
                <w:sz w:val="20"/>
                <w:lang w:val="it-IT" w:eastAsia="it-IT"/>
              </w:rPr>
              <w:t xml:space="preserve"> </w:t>
            </w:r>
            <w:proofErr w:type="spellStart"/>
            <w:r w:rsidRPr="00400559">
              <w:rPr>
                <w:rFonts w:ascii="Arial Narrow" w:hAnsi="Arial Narrow" w:cs="Arial"/>
                <w:sz w:val="20"/>
                <w:lang w:val="it-IT" w:eastAsia="it-IT"/>
              </w:rPr>
              <w:t>Republic-</w:t>
            </w:r>
            <w:proofErr w:type="spellEnd"/>
            <w:r w:rsidRPr="00400559">
              <w:rPr>
                <w:rFonts w:ascii="Arial Narrow" w:hAnsi="Arial Narrow" w:cs="Arial"/>
                <w:sz w:val="20"/>
                <w:lang w:val="it-IT" w:eastAsia="it-IT"/>
              </w:rPr>
              <w:t xml:space="preserve"> National </w:t>
            </w:r>
            <w:proofErr w:type="spellStart"/>
            <w:r w:rsidRPr="00400559">
              <w:rPr>
                <w:rFonts w:ascii="Arial Narrow" w:hAnsi="Arial Narrow" w:cs="Arial"/>
                <w:sz w:val="20"/>
                <w:lang w:val="it-IT" w:eastAsia="it-IT"/>
              </w:rPr>
              <w:t>Council</w:t>
            </w:r>
            <w:proofErr w:type="spellEnd"/>
          </w:p>
        </w:tc>
        <w:tc>
          <w:tcPr>
            <w:tcW w:w="724" w:type="pct"/>
            <w:shd w:val="clear" w:color="auto" w:fill="auto"/>
            <w:noWrap/>
            <w:hideMark/>
          </w:tcPr>
          <w:p w:rsidR="00124A50" w:rsidRPr="00400559" w:rsidRDefault="00124A50" w:rsidP="00124A50">
            <w:pPr>
              <w:spacing w:before="0" w:after="0"/>
              <w:jc w:val="left"/>
              <w:rPr>
                <w:rFonts w:ascii="Arial Narrow" w:hAnsi="Arial Narrow" w:cs="Arial"/>
                <w:caps/>
                <w:sz w:val="20"/>
                <w:lang w:val="it-IT" w:eastAsia="it-IT"/>
              </w:rPr>
            </w:pPr>
            <w:r w:rsidRPr="00400559">
              <w:rPr>
                <w:rFonts w:ascii="Arial Narrow" w:hAnsi="Arial Narrow" w:cs="Arial"/>
                <w:caps/>
                <w:sz w:val="20"/>
                <w:lang w:val="it-IT" w:eastAsia="it-IT"/>
              </w:rPr>
              <w:t xml:space="preserve">IVAN </w:t>
            </w:r>
          </w:p>
        </w:tc>
        <w:tc>
          <w:tcPr>
            <w:tcW w:w="725" w:type="pct"/>
            <w:gridSpan w:val="2"/>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caps/>
                <w:sz w:val="20"/>
                <w:lang w:val="it-IT" w:eastAsia="it-IT"/>
              </w:rPr>
              <w:t>MIKLOS</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proofErr w:type="spellStart"/>
            <w:r w:rsidRPr="00400559">
              <w:rPr>
                <w:rFonts w:ascii="Arial Narrow" w:hAnsi="Arial Narrow" w:cs="Arial"/>
                <w:sz w:val="20"/>
                <w:lang w:val="it-IT" w:eastAsia="it-IT"/>
              </w:rPr>
              <w:t>Member</w:t>
            </w:r>
            <w:proofErr w:type="spellEnd"/>
            <w:r w:rsidRPr="00400559">
              <w:rPr>
                <w:rFonts w:ascii="Arial Narrow" w:hAnsi="Arial Narrow" w:cs="Arial"/>
                <w:sz w:val="20"/>
                <w:lang w:val="it-IT" w:eastAsia="it-IT"/>
              </w:rPr>
              <w:t xml:space="preserve"> </w:t>
            </w:r>
            <w:proofErr w:type="spellStart"/>
            <w:r w:rsidRPr="00400559">
              <w:rPr>
                <w:rFonts w:ascii="Arial Narrow" w:hAnsi="Arial Narrow" w:cs="Arial"/>
                <w:sz w:val="20"/>
                <w:lang w:val="it-IT" w:eastAsia="it-IT"/>
              </w:rPr>
              <w:t>of</w:t>
            </w:r>
            <w:proofErr w:type="spellEnd"/>
            <w:r w:rsidRPr="00400559">
              <w:rPr>
                <w:rFonts w:ascii="Arial Narrow" w:hAnsi="Arial Narrow" w:cs="Arial"/>
                <w:sz w:val="20"/>
                <w:lang w:val="it-IT" w:eastAsia="it-IT"/>
              </w:rPr>
              <w:t xml:space="preserve"> </w:t>
            </w:r>
            <w:proofErr w:type="spellStart"/>
            <w:r w:rsidRPr="00400559">
              <w:rPr>
                <w:rFonts w:ascii="Arial Narrow" w:hAnsi="Arial Narrow" w:cs="Arial"/>
                <w:sz w:val="20"/>
                <w:lang w:val="it-IT" w:eastAsia="it-IT"/>
              </w:rPr>
              <w:t>Parliament</w:t>
            </w:r>
            <w:proofErr w:type="spellEnd"/>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ITALY/COOPERAZIONE ITALIANA ALLO SVILUPPO</w:t>
            </w:r>
          </w:p>
        </w:tc>
        <w:tc>
          <w:tcPr>
            <w:tcW w:w="724" w:type="pct"/>
            <w:shd w:val="clear" w:color="auto" w:fill="auto"/>
            <w:noWrap/>
            <w:hideMark/>
          </w:tcPr>
          <w:p w:rsidR="00124A50" w:rsidRPr="00400559" w:rsidRDefault="00124A50" w:rsidP="00124A50">
            <w:pPr>
              <w:spacing w:before="0" w:after="0"/>
              <w:jc w:val="left"/>
              <w:rPr>
                <w:rFonts w:ascii="Arial Narrow" w:hAnsi="Arial Narrow" w:cs="Arial"/>
                <w:caps/>
                <w:sz w:val="20"/>
                <w:lang w:eastAsia="it-IT"/>
              </w:rPr>
            </w:pPr>
            <w:r w:rsidRPr="00400559">
              <w:rPr>
                <w:rFonts w:ascii="Arial Narrow" w:hAnsi="Arial Narrow" w:cs="Arial"/>
                <w:sz w:val="20"/>
              </w:rPr>
              <w:t>Vincenzo</w:t>
            </w:r>
          </w:p>
        </w:tc>
        <w:tc>
          <w:tcPr>
            <w:tcW w:w="725" w:type="pct"/>
            <w:gridSpan w:val="2"/>
          </w:tcPr>
          <w:p w:rsidR="00124A50" w:rsidRPr="00400559" w:rsidRDefault="00124A50" w:rsidP="00124A50">
            <w:pPr>
              <w:spacing w:before="0" w:after="0"/>
              <w:jc w:val="left"/>
              <w:rPr>
                <w:rFonts w:ascii="Arial Narrow" w:hAnsi="Arial Narrow" w:cs="Arial"/>
                <w:sz w:val="20"/>
                <w:lang w:eastAsia="it-IT"/>
              </w:rPr>
            </w:pPr>
            <w:proofErr w:type="spellStart"/>
            <w:r w:rsidRPr="00400559">
              <w:rPr>
                <w:rFonts w:ascii="Arial Narrow" w:hAnsi="Arial Narrow" w:cs="Arial"/>
                <w:sz w:val="20"/>
              </w:rPr>
              <w:t>Rocalbuto</w:t>
            </w:r>
            <w:proofErr w:type="spellEnd"/>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rPr>
              <w:t>Head</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proofErr w:type="spellStart"/>
            <w:r w:rsidRPr="00400559">
              <w:rPr>
                <w:rFonts w:ascii="Arial Narrow" w:hAnsi="Arial Narrow" w:cs="Arial"/>
                <w:sz w:val="20"/>
                <w:lang w:val="it-IT" w:eastAsia="it-IT"/>
              </w:rPr>
              <w:t>Germany</w:t>
            </w:r>
            <w:proofErr w:type="spellEnd"/>
            <w:r w:rsidRPr="00400559">
              <w:rPr>
                <w:rFonts w:ascii="Arial Narrow" w:hAnsi="Arial Narrow" w:cs="Arial"/>
                <w:sz w:val="20"/>
                <w:lang w:val="it-IT" w:eastAsia="it-IT"/>
              </w:rPr>
              <w:t xml:space="preserve"> GIZ</w:t>
            </w:r>
          </w:p>
        </w:tc>
        <w:tc>
          <w:tcPr>
            <w:tcW w:w="724" w:type="pct"/>
            <w:shd w:val="clear" w:color="auto" w:fill="auto"/>
            <w:noWrap/>
            <w:hideMark/>
          </w:tcPr>
          <w:p w:rsidR="00124A50" w:rsidRPr="00400559" w:rsidRDefault="00124A50" w:rsidP="00124A50">
            <w:pPr>
              <w:spacing w:before="0" w:after="0"/>
              <w:jc w:val="left"/>
              <w:rPr>
                <w:rFonts w:ascii="Arial Narrow" w:hAnsi="Arial Narrow" w:cs="Arial"/>
                <w:caps/>
                <w:sz w:val="20"/>
                <w:lang w:val="it-IT" w:eastAsia="it-IT"/>
              </w:rPr>
            </w:pPr>
            <w:r w:rsidRPr="00400559">
              <w:rPr>
                <w:rFonts w:ascii="Arial Narrow" w:hAnsi="Arial Narrow" w:cs="Arial"/>
                <w:caps/>
                <w:sz w:val="20"/>
                <w:lang w:val="it-IT" w:eastAsia="it-IT"/>
              </w:rPr>
              <w:t xml:space="preserve">Rudolf </w:t>
            </w:r>
          </w:p>
        </w:tc>
        <w:tc>
          <w:tcPr>
            <w:tcW w:w="725" w:type="pct"/>
            <w:gridSpan w:val="2"/>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caps/>
                <w:sz w:val="20"/>
                <w:lang w:val="it-IT" w:eastAsia="it-IT"/>
              </w:rPr>
              <w:t>Rogg</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proofErr w:type="spellStart"/>
            <w:r w:rsidRPr="00400559">
              <w:rPr>
                <w:rFonts w:ascii="Arial Narrow" w:hAnsi="Arial Narrow" w:cs="Arial"/>
                <w:sz w:val="20"/>
                <w:lang w:val="it-IT" w:eastAsia="it-IT"/>
              </w:rPr>
              <w:t>Country</w:t>
            </w:r>
            <w:proofErr w:type="spellEnd"/>
            <w:r w:rsidRPr="00400559">
              <w:rPr>
                <w:rFonts w:ascii="Arial Narrow" w:hAnsi="Arial Narrow" w:cs="Arial"/>
                <w:sz w:val="20"/>
                <w:lang w:val="it-IT" w:eastAsia="it-IT"/>
              </w:rPr>
              <w:t xml:space="preserve"> </w:t>
            </w:r>
            <w:proofErr w:type="spellStart"/>
            <w:r w:rsidRPr="00400559">
              <w:rPr>
                <w:rFonts w:ascii="Arial Narrow" w:hAnsi="Arial Narrow" w:cs="Arial"/>
                <w:sz w:val="20"/>
                <w:lang w:val="it-IT" w:eastAsia="it-IT"/>
              </w:rPr>
              <w:t>director</w:t>
            </w:r>
            <w:proofErr w:type="spellEnd"/>
          </w:p>
        </w:tc>
      </w:tr>
      <w:tr w:rsidR="00124A50" w:rsidRPr="00400559" w:rsidTr="00740262">
        <w:trPr>
          <w:trHeight w:val="360"/>
        </w:trPr>
        <w:tc>
          <w:tcPr>
            <w:tcW w:w="835" w:type="pct"/>
            <w:shd w:val="clear" w:color="auto" w:fill="auto"/>
            <w:noWrap/>
            <w:vAlign w:val="center"/>
            <w:hideMark/>
          </w:tcPr>
          <w:p w:rsidR="00124A50" w:rsidRPr="00400559" w:rsidRDefault="00124A50" w:rsidP="00124A50">
            <w:pPr>
              <w:spacing w:before="0" w:after="0"/>
              <w:rPr>
                <w:rFonts w:ascii="Arial Narrow" w:hAnsi="Arial Narrow" w:cs="Arial"/>
                <w:bCs/>
                <w:sz w:val="20"/>
              </w:rPr>
            </w:pPr>
            <w:r w:rsidRPr="00400559">
              <w:rPr>
                <w:rFonts w:ascii="Arial Narrow" w:hAnsi="Arial Narrow" w:cs="Arial"/>
                <w:bCs/>
                <w:sz w:val="20"/>
              </w:rPr>
              <w:t>German Cooperation (GIZ)</w:t>
            </w:r>
          </w:p>
        </w:tc>
        <w:tc>
          <w:tcPr>
            <w:tcW w:w="724" w:type="pct"/>
            <w:shd w:val="clear" w:color="auto" w:fill="auto"/>
            <w:noWrap/>
            <w:vAlign w:val="center"/>
            <w:hideMark/>
          </w:tcPr>
          <w:p w:rsidR="00124A50" w:rsidRPr="00400559" w:rsidRDefault="00124A50" w:rsidP="00124A50">
            <w:pPr>
              <w:spacing w:before="0" w:after="0"/>
              <w:rPr>
                <w:rFonts w:ascii="Arial Narrow" w:hAnsi="Arial Narrow" w:cs="Arial"/>
                <w:sz w:val="20"/>
              </w:rPr>
            </w:pPr>
            <w:r w:rsidRPr="00400559">
              <w:rPr>
                <w:rFonts w:ascii="Arial Narrow" w:hAnsi="Arial Narrow" w:cs="Arial"/>
                <w:sz w:val="20"/>
              </w:rPr>
              <w:t xml:space="preserve">Dirk </w:t>
            </w:r>
          </w:p>
        </w:tc>
        <w:tc>
          <w:tcPr>
            <w:tcW w:w="725" w:type="pct"/>
            <w:gridSpan w:val="2"/>
            <w:vAlign w:val="center"/>
          </w:tcPr>
          <w:p w:rsidR="00124A50" w:rsidRPr="00400559" w:rsidRDefault="00124A50" w:rsidP="00124A50">
            <w:pPr>
              <w:spacing w:before="0" w:after="0"/>
              <w:rPr>
                <w:rFonts w:ascii="Arial Narrow" w:hAnsi="Arial Narrow" w:cs="Arial"/>
                <w:sz w:val="20"/>
              </w:rPr>
            </w:pPr>
            <w:r w:rsidRPr="00400559">
              <w:rPr>
                <w:rFonts w:ascii="Arial Narrow" w:hAnsi="Arial Narrow" w:cs="Arial"/>
                <w:sz w:val="20"/>
              </w:rPr>
              <w:t>Schaefer</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rPr>
              <w:t xml:space="preserve">Head of </w:t>
            </w:r>
            <w:proofErr w:type="spellStart"/>
            <w:r w:rsidRPr="00400559">
              <w:rPr>
                <w:rFonts w:ascii="Arial Narrow" w:hAnsi="Arial Narrow" w:cs="Arial"/>
                <w:sz w:val="20"/>
              </w:rPr>
              <w:t>Programme</w:t>
            </w:r>
            <w:proofErr w:type="spellEnd"/>
            <w:r w:rsidRPr="00400559">
              <w:rPr>
                <w:rFonts w:ascii="Arial Narrow" w:hAnsi="Arial Narrow" w:cs="Arial"/>
                <w:sz w:val="20"/>
              </w:rPr>
              <w:t xml:space="preserve"> </w:t>
            </w:r>
            <w:r>
              <w:rPr>
                <w:rFonts w:ascii="Arial Narrow" w:hAnsi="Arial Narrow" w:cs="Arial"/>
                <w:sz w:val="20"/>
              </w:rPr>
              <w:t>–</w:t>
            </w:r>
            <w:r w:rsidRPr="00400559">
              <w:rPr>
                <w:rFonts w:ascii="Arial Narrow" w:hAnsi="Arial Narrow" w:cs="Arial"/>
                <w:sz w:val="20"/>
              </w:rPr>
              <w:t xml:space="preserve"> Water and Solid Waste Management </w:t>
            </w:r>
            <w:proofErr w:type="spellStart"/>
            <w:r w:rsidRPr="00400559">
              <w:rPr>
                <w:rFonts w:ascii="Arial Narrow" w:hAnsi="Arial Narrow" w:cs="Arial"/>
                <w:sz w:val="20"/>
              </w:rPr>
              <w:t>Programme</w:t>
            </w:r>
            <w:proofErr w:type="spellEnd"/>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proofErr w:type="spellStart"/>
            <w:r w:rsidRPr="00400559">
              <w:rPr>
                <w:rFonts w:ascii="Arial Narrow" w:hAnsi="Arial Narrow" w:cs="Arial"/>
                <w:sz w:val="20"/>
                <w:lang w:val="it-IT" w:eastAsia="it-IT"/>
              </w:rPr>
              <w:t>Sweden</w:t>
            </w:r>
            <w:proofErr w:type="spellEnd"/>
            <w:r w:rsidRPr="00400559">
              <w:rPr>
                <w:rFonts w:ascii="Arial Narrow" w:hAnsi="Arial Narrow" w:cs="Arial"/>
                <w:sz w:val="20"/>
                <w:lang w:val="it-IT" w:eastAsia="it-IT"/>
              </w:rPr>
              <w:t>/</w:t>
            </w:r>
            <w:proofErr w:type="spellStart"/>
            <w:r w:rsidRPr="00400559">
              <w:rPr>
                <w:rFonts w:ascii="Arial Narrow" w:hAnsi="Arial Narrow" w:cs="Arial"/>
                <w:sz w:val="20"/>
                <w:lang w:val="it-IT" w:eastAsia="it-IT"/>
              </w:rPr>
              <w:t>Consulate</w:t>
            </w:r>
            <w:proofErr w:type="spellEnd"/>
            <w:r w:rsidRPr="00400559">
              <w:rPr>
                <w:rFonts w:ascii="Arial Narrow" w:hAnsi="Arial Narrow" w:cs="Arial"/>
                <w:sz w:val="20"/>
                <w:lang w:val="it-IT" w:eastAsia="it-IT"/>
              </w:rPr>
              <w:t xml:space="preserve"> </w:t>
            </w:r>
            <w:proofErr w:type="spellStart"/>
            <w:r w:rsidRPr="00400559">
              <w:rPr>
                <w:rFonts w:ascii="Arial Narrow" w:hAnsi="Arial Narrow" w:cs="Arial"/>
                <w:sz w:val="20"/>
                <w:lang w:val="it-IT" w:eastAsia="it-IT"/>
              </w:rPr>
              <w:t>general</w:t>
            </w:r>
            <w:proofErr w:type="spellEnd"/>
          </w:p>
        </w:tc>
        <w:tc>
          <w:tcPr>
            <w:tcW w:w="724" w:type="pct"/>
            <w:shd w:val="clear" w:color="auto" w:fill="auto"/>
            <w:noWrap/>
            <w:hideMark/>
          </w:tcPr>
          <w:p w:rsidR="00124A50" w:rsidRPr="00400559" w:rsidRDefault="00124A50" w:rsidP="00124A50">
            <w:pPr>
              <w:spacing w:before="0" w:after="0"/>
              <w:jc w:val="left"/>
              <w:rPr>
                <w:rFonts w:ascii="Arial Narrow" w:hAnsi="Arial Narrow" w:cs="Arial"/>
                <w:caps/>
                <w:sz w:val="20"/>
                <w:lang w:val="it-IT" w:eastAsia="it-IT"/>
              </w:rPr>
            </w:pPr>
            <w:r w:rsidRPr="00400559">
              <w:rPr>
                <w:rFonts w:ascii="Arial Narrow" w:hAnsi="Arial Narrow" w:cs="Arial"/>
                <w:caps/>
                <w:sz w:val="20"/>
                <w:lang w:val="it-IT" w:eastAsia="it-IT"/>
              </w:rPr>
              <w:t xml:space="preserve">JOHANNA </w:t>
            </w:r>
          </w:p>
        </w:tc>
        <w:tc>
          <w:tcPr>
            <w:tcW w:w="725" w:type="pct"/>
            <w:gridSpan w:val="2"/>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caps/>
                <w:sz w:val="20"/>
                <w:lang w:val="it-IT" w:eastAsia="it-IT"/>
              </w:rPr>
              <w:t>Strömquist</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 xml:space="preserve">Head </w:t>
            </w:r>
            <w:proofErr w:type="spellStart"/>
            <w:r w:rsidRPr="00400559">
              <w:rPr>
                <w:rFonts w:ascii="Arial Narrow" w:hAnsi="Arial Narrow" w:cs="Arial"/>
                <w:sz w:val="20"/>
                <w:lang w:val="it-IT" w:eastAsia="it-IT"/>
              </w:rPr>
              <w:t>of</w:t>
            </w:r>
            <w:proofErr w:type="spellEnd"/>
            <w:r w:rsidRPr="00400559">
              <w:rPr>
                <w:rFonts w:ascii="Arial Narrow" w:hAnsi="Arial Narrow" w:cs="Arial"/>
                <w:sz w:val="20"/>
                <w:lang w:val="it-IT" w:eastAsia="it-IT"/>
              </w:rPr>
              <w:t xml:space="preserve"> </w:t>
            </w:r>
            <w:proofErr w:type="spellStart"/>
            <w:r w:rsidRPr="00400559">
              <w:rPr>
                <w:rFonts w:ascii="Arial Narrow" w:hAnsi="Arial Narrow" w:cs="Arial"/>
                <w:sz w:val="20"/>
                <w:lang w:val="it-IT" w:eastAsia="it-IT"/>
              </w:rPr>
              <w:t>Political</w:t>
            </w:r>
            <w:proofErr w:type="spellEnd"/>
            <w:r w:rsidRPr="00400559">
              <w:rPr>
                <w:rFonts w:ascii="Arial Narrow" w:hAnsi="Arial Narrow" w:cs="Arial"/>
                <w:sz w:val="20"/>
                <w:lang w:val="it-IT" w:eastAsia="it-IT"/>
              </w:rPr>
              <w:t xml:space="preserve"> </w:t>
            </w:r>
            <w:proofErr w:type="spellStart"/>
            <w:r w:rsidRPr="00400559">
              <w:rPr>
                <w:rFonts w:ascii="Arial Narrow" w:hAnsi="Arial Narrow" w:cs="Arial"/>
                <w:sz w:val="20"/>
                <w:lang w:val="it-IT" w:eastAsia="it-IT"/>
              </w:rPr>
              <w:t>section</w:t>
            </w:r>
            <w:proofErr w:type="spellEnd"/>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proofErr w:type="spellStart"/>
            <w:r w:rsidRPr="00400559">
              <w:rPr>
                <w:rFonts w:ascii="Arial Narrow" w:hAnsi="Arial Narrow" w:cs="Arial"/>
                <w:sz w:val="20"/>
                <w:lang w:val="it-IT" w:eastAsia="it-IT"/>
              </w:rPr>
              <w:t>Spain</w:t>
            </w:r>
            <w:proofErr w:type="spellEnd"/>
            <w:r w:rsidRPr="00400559">
              <w:rPr>
                <w:rFonts w:ascii="Arial Narrow" w:hAnsi="Arial Narrow" w:cs="Arial"/>
                <w:sz w:val="20"/>
                <w:lang w:val="it-IT" w:eastAsia="it-IT"/>
              </w:rPr>
              <w:t xml:space="preserve"> AECID</w:t>
            </w:r>
          </w:p>
        </w:tc>
        <w:tc>
          <w:tcPr>
            <w:tcW w:w="724" w:type="pct"/>
            <w:shd w:val="clear" w:color="auto" w:fill="auto"/>
            <w:noWrap/>
            <w:hideMark/>
          </w:tcPr>
          <w:p w:rsidR="00124A50" w:rsidRPr="00400559" w:rsidRDefault="00124A50" w:rsidP="00124A50">
            <w:pPr>
              <w:spacing w:before="0" w:after="0"/>
              <w:jc w:val="left"/>
              <w:rPr>
                <w:rFonts w:ascii="Arial Narrow" w:hAnsi="Arial Narrow" w:cs="Arial"/>
                <w:caps/>
                <w:sz w:val="20"/>
                <w:lang w:val="it-IT" w:eastAsia="it-IT"/>
              </w:rPr>
            </w:pPr>
            <w:r w:rsidRPr="00400559">
              <w:rPr>
                <w:rFonts w:ascii="Arial Narrow" w:hAnsi="Arial Narrow" w:cs="Arial"/>
                <w:caps/>
                <w:sz w:val="20"/>
                <w:lang w:val="it-IT" w:eastAsia="it-IT"/>
              </w:rPr>
              <w:t xml:space="preserve">Jesus </w:t>
            </w:r>
          </w:p>
        </w:tc>
        <w:tc>
          <w:tcPr>
            <w:tcW w:w="725" w:type="pct"/>
            <w:gridSpan w:val="2"/>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caps/>
                <w:sz w:val="20"/>
                <w:lang w:val="it-IT" w:eastAsia="it-IT"/>
              </w:rPr>
              <w:t>Tome</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 xml:space="preserve">Senior </w:t>
            </w:r>
            <w:proofErr w:type="spellStart"/>
            <w:r w:rsidRPr="00400559">
              <w:rPr>
                <w:rFonts w:ascii="Arial Narrow" w:hAnsi="Arial Narrow" w:cs="Arial"/>
                <w:sz w:val="20"/>
                <w:lang w:eastAsia="it-IT"/>
              </w:rPr>
              <w:t>Programme</w:t>
            </w:r>
            <w:proofErr w:type="spellEnd"/>
            <w:r w:rsidRPr="00400559">
              <w:rPr>
                <w:rFonts w:ascii="Arial Narrow" w:hAnsi="Arial Narrow" w:cs="Arial"/>
                <w:sz w:val="20"/>
                <w:lang w:eastAsia="it-IT"/>
              </w:rPr>
              <w:t xml:space="preserve"> Manager </w:t>
            </w:r>
            <w:r>
              <w:rPr>
                <w:rFonts w:ascii="Arial Narrow" w:hAnsi="Arial Narrow" w:cs="Arial"/>
                <w:sz w:val="20"/>
                <w:lang w:eastAsia="it-IT"/>
              </w:rPr>
              <w:pgNum/>
            </w:r>
            <w:proofErr w:type="spellStart"/>
            <w:r>
              <w:rPr>
                <w:rFonts w:ascii="Arial Narrow" w:hAnsi="Arial Narrow" w:cs="Arial"/>
                <w:sz w:val="20"/>
                <w:lang w:eastAsia="it-IT"/>
              </w:rPr>
              <w:t>griculture</w:t>
            </w:r>
            <w:proofErr w:type="spellEnd"/>
            <w:r w:rsidRPr="00400559">
              <w:rPr>
                <w:rFonts w:ascii="Arial Narrow" w:hAnsi="Arial Narrow" w:cs="Arial"/>
                <w:sz w:val="20"/>
                <w:lang w:eastAsia="it-IT"/>
              </w:rPr>
              <w:t xml:space="preserve"> and economic development</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proofErr w:type="spellStart"/>
            <w:r w:rsidRPr="00400559">
              <w:rPr>
                <w:rFonts w:ascii="Arial Narrow" w:hAnsi="Arial Narrow" w:cs="Arial"/>
                <w:sz w:val="20"/>
                <w:lang w:val="it-IT" w:eastAsia="it-IT"/>
              </w:rPr>
              <w:t>Sweden</w:t>
            </w:r>
            <w:proofErr w:type="spellEnd"/>
            <w:r w:rsidRPr="00400559">
              <w:rPr>
                <w:rFonts w:ascii="Arial Narrow" w:hAnsi="Arial Narrow" w:cs="Arial"/>
                <w:sz w:val="20"/>
                <w:lang w:val="it-IT" w:eastAsia="it-IT"/>
              </w:rPr>
              <w:t>/</w:t>
            </w:r>
            <w:proofErr w:type="spellStart"/>
            <w:r w:rsidRPr="00400559">
              <w:rPr>
                <w:rFonts w:ascii="Arial Narrow" w:hAnsi="Arial Narrow" w:cs="Arial"/>
                <w:sz w:val="20"/>
                <w:lang w:val="it-IT" w:eastAsia="it-IT"/>
              </w:rPr>
              <w:t>Consulate</w:t>
            </w:r>
            <w:proofErr w:type="spellEnd"/>
            <w:r w:rsidRPr="00400559">
              <w:rPr>
                <w:rFonts w:ascii="Arial Narrow" w:hAnsi="Arial Narrow" w:cs="Arial"/>
                <w:sz w:val="20"/>
                <w:lang w:val="it-IT" w:eastAsia="it-IT"/>
              </w:rPr>
              <w:t xml:space="preserve"> </w:t>
            </w:r>
            <w:proofErr w:type="spellStart"/>
            <w:r w:rsidRPr="00400559">
              <w:rPr>
                <w:rFonts w:ascii="Arial Narrow" w:hAnsi="Arial Narrow" w:cs="Arial"/>
                <w:sz w:val="20"/>
                <w:lang w:val="it-IT" w:eastAsia="it-IT"/>
              </w:rPr>
              <w:t>general</w:t>
            </w:r>
            <w:proofErr w:type="spellEnd"/>
          </w:p>
        </w:tc>
        <w:tc>
          <w:tcPr>
            <w:tcW w:w="724" w:type="pct"/>
            <w:shd w:val="clear" w:color="auto" w:fill="auto"/>
            <w:noWrap/>
            <w:hideMark/>
          </w:tcPr>
          <w:p w:rsidR="00124A50" w:rsidRPr="00400559" w:rsidRDefault="00124A50" w:rsidP="00124A50">
            <w:pPr>
              <w:spacing w:before="0" w:after="0"/>
              <w:jc w:val="left"/>
              <w:rPr>
                <w:rFonts w:ascii="Arial Narrow" w:hAnsi="Arial Narrow" w:cs="Arial"/>
                <w:caps/>
                <w:sz w:val="20"/>
                <w:lang w:val="it-IT" w:eastAsia="it-IT"/>
              </w:rPr>
            </w:pPr>
            <w:r w:rsidRPr="00400559">
              <w:rPr>
                <w:rFonts w:ascii="Arial Narrow" w:hAnsi="Arial Narrow" w:cs="Arial"/>
                <w:caps/>
                <w:sz w:val="20"/>
                <w:lang w:val="it-IT" w:eastAsia="it-IT"/>
              </w:rPr>
              <w:t xml:space="preserve">Frederik </w:t>
            </w:r>
          </w:p>
        </w:tc>
        <w:tc>
          <w:tcPr>
            <w:tcW w:w="725" w:type="pct"/>
            <w:gridSpan w:val="2"/>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caps/>
                <w:sz w:val="20"/>
                <w:lang w:val="it-IT" w:eastAsia="it-IT"/>
              </w:rPr>
              <w:t>westerholm</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proofErr w:type="spellStart"/>
            <w:r w:rsidRPr="00400559">
              <w:rPr>
                <w:rFonts w:ascii="Arial Narrow" w:hAnsi="Arial Narrow" w:cs="Arial"/>
                <w:sz w:val="20"/>
                <w:lang w:val="it-IT" w:eastAsia="it-IT"/>
              </w:rPr>
              <w:t>Consul</w:t>
            </w:r>
            <w:proofErr w:type="spellEnd"/>
          </w:p>
        </w:tc>
      </w:tr>
      <w:tr w:rsidR="00124A50" w:rsidRPr="00400559" w:rsidTr="00740262">
        <w:trPr>
          <w:trHeight w:val="360"/>
        </w:trPr>
        <w:tc>
          <w:tcPr>
            <w:tcW w:w="5000" w:type="pct"/>
            <w:gridSpan w:val="5"/>
            <w:shd w:val="clear" w:color="auto" w:fill="DBE5F1" w:themeFill="accent1" w:themeFillTint="33"/>
          </w:tcPr>
          <w:p w:rsidR="00124A50" w:rsidRPr="00400559" w:rsidRDefault="00124A50" w:rsidP="00124A50">
            <w:pPr>
              <w:spacing w:before="0" w:after="0"/>
              <w:jc w:val="center"/>
              <w:rPr>
                <w:rFonts w:ascii="Arial Narrow" w:hAnsi="Arial Narrow" w:cs="Arial"/>
                <w:sz w:val="20"/>
                <w:lang w:val="it-IT" w:eastAsia="it-IT"/>
              </w:rPr>
            </w:pPr>
            <w:proofErr w:type="spellStart"/>
            <w:r w:rsidRPr="00400559">
              <w:rPr>
                <w:rFonts w:ascii="Arial Narrow" w:hAnsi="Arial Narrow" w:cs="Arial"/>
                <w:b/>
                <w:sz w:val="20"/>
                <w:lang w:val="it-IT" w:eastAsia="it-IT"/>
              </w:rPr>
              <w:t>Other</w:t>
            </w:r>
            <w:proofErr w:type="spellEnd"/>
            <w:r w:rsidRPr="00400559">
              <w:rPr>
                <w:rFonts w:ascii="Arial Narrow" w:hAnsi="Arial Narrow" w:cs="Arial"/>
                <w:b/>
                <w:sz w:val="20"/>
                <w:lang w:val="it-IT" w:eastAsia="it-IT"/>
              </w:rPr>
              <w:t xml:space="preserve"> </w:t>
            </w:r>
            <w:proofErr w:type="spellStart"/>
            <w:r w:rsidRPr="00400559">
              <w:rPr>
                <w:rFonts w:ascii="Arial Narrow" w:hAnsi="Arial Narrow" w:cs="Arial"/>
                <w:b/>
                <w:sz w:val="20"/>
                <w:lang w:val="it-IT" w:eastAsia="it-IT"/>
              </w:rPr>
              <w:t>Donors</w:t>
            </w:r>
            <w:proofErr w:type="spellEnd"/>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rPr>
                <w:rFonts w:ascii="Arial Narrow" w:hAnsi="Arial Narrow"/>
                <w:sz w:val="20"/>
              </w:rPr>
            </w:pPr>
            <w:r w:rsidRPr="00400559">
              <w:rPr>
                <w:rFonts w:ascii="Arial Narrow" w:hAnsi="Arial Narrow" w:cs="Arial"/>
                <w:sz w:val="20"/>
                <w:lang w:eastAsia="it-IT"/>
              </w:rPr>
              <w:t>Switzerland/Cooperation office in Gaza</w:t>
            </w:r>
          </w:p>
        </w:tc>
        <w:tc>
          <w:tcPr>
            <w:tcW w:w="733" w:type="pct"/>
            <w:gridSpan w:val="2"/>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 xml:space="preserve">SEGOLENE </w:t>
            </w:r>
          </w:p>
        </w:tc>
        <w:tc>
          <w:tcPr>
            <w:tcW w:w="716" w:type="pct"/>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ADAM</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rPr>
                <w:rFonts w:ascii="Arial Narrow" w:hAnsi="Arial Narrow" w:cs="Arial"/>
                <w:sz w:val="20"/>
                <w:lang w:eastAsia="it-IT"/>
              </w:rPr>
            </w:pPr>
            <w:r w:rsidRPr="00400559">
              <w:rPr>
                <w:rFonts w:ascii="Arial Narrow" w:hAnsi="Arial Narrow" w:cs="Arial"/>
                <w:sz w:val="20"/>
                <w:lang w:eastAsia="it-IT"/>
              </w:rPr>
              <w:t>USA/ Department of state</w:t>
            </w:r>
          </w:p>
        </w:tc>
        <w:tc>
          <w:tcPr>
            <w:tcW w:w="733" w:type="pct"/>
            <w:gridSpan w:val="2"/>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 xml:space="preserve">STEVEN </w:t>
            </w:r>
          </w:p>
        </w:tc>
        <w:tc>
          <w:tcPr>
            <w:tcW w:w="716" w:type="pct"/>
          </w:tcPr>
          <w:p w:rsidR="00124A50" w:rsidRPr="00400559" w:rsidRDefault="00124A50" w:rsidP="00124A50">
            <w:pPr>
              <w:spacing w:before="0" w:after="0"/>
              <w:jc w:val="left"/>
              <w:rPr>
                <w:rFonts w:ascii="Arial Narrow" w:hAnsi="Arial Narrow" w:cs="Arial"/>
                <w:sz w:val="20"/>
                <w:lang w:eastAsia="it-IT"/>
              </w:rPr>
            </w:pPr>
            <w:r>
              <w:rPr>
                <w:rFonts w:ascii="Arial Narrow" w:hAnsi="Arial Narrow" w:cs="Arial"/>
                <w:sz w:val="20"/>
                <w:lang w:eastAsia="it-IT"/>
              </w:rPr>
              <w:t>BI</w:t>
            </w:r>
            <w:r w:rsidRPr="00400559">
              <w:rPr>
                <w:rFonts w:ascii="Arial Narrow" w:hAnsi="Arial Narrow" w:cs="Arial"/>
                <w:sz w:val="20"/>
                <w:lang w:eastAsia="it-IT"/>
              </w:rPr>
              <w:t>T</w:t>
            </w:r>
            <w:r>
              <w:rPr>
                <w:rFonts w:ascii="Arial Narrow" w:hAnsi="Arial Narrow" w:cs="Arial"/>
                <w:sz w:val="20"/>
                <w:lang w:eastAsia="it-IT"/>
              </w:rPr>
              <w:t>N</w:t>
            </w:r>
            <w:r w:rsidRPr="00400559">
              <w:rPr>
                <w:rFonts w:ascii="Arial Narrow" w:hAnsi="Arial Narrow" w:cs="Arial"/>
                <w:sz w:val="20"/>
                <w:lang w:eastAsia="it-IT"/>
              </w:rPr>
              <w:t>ER</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Deputy economic chief</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rPr>
                <w:rFonts w:ascii="Arial Narrow" w:hAnsi="Arial Narrow" w:cs="Arial"/>
                <w:sz w:val="20"/>
                <w:lang w:eastAsia="it-IT"/>
              </w:rPr>
            </w:pPr>
            <w:r w:rsidRPr="00400559">
              <w:rPr>
                <w:rFonts w:ascii="Arial Narrow" w:hAnsi="Arial Narrow" w:cs="Arial"/>
                <w:sz w:val="20"/>
                <w:lang w:eastAsia="it-IT"/>
              </w:rPr>
              <w:t>USA/ Department of state</w:t>
            </w:r>
          </w:p>
        </w:tc>
        <w:tc>
          <w:tcPr>
            <w:tcW w:w="733" w:type="pct"/>
            <w:gridSpan w:val="2"/>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Pr>
                <w:rFonts w:ascii="Arial Narrow" w:hAnsi="Arial Narrow" w:cs="Arial"/>
                <w:sz w:val="20"/>
                <w:lang w:eastAsia="it-IT"/>
              </w:rPr>
              <w:t>JEFFREY</w:t>
            </w:r>
          </w:p>
        </w:tc>
        <w:tc>
          <w:tcPr>
            <w:tcW w:w="716" w:type="pct"/>
          </w:tcPr>
          <w:p w:rsidR="00124A50" w:rsidRDefault="00124A50" w:rsidP="00124A50">
            <w:pPr>
              <w:spacing w:before="0" w:after="0"/>
              <w:jc w:val="left"/>
              <w:rPr>
                <w:rFonts w:ascii="Arial Narrow" w:hAnsi="Arial Narrow" w:cs="Arial"/>
                <w:sz w:val="20"/>
                <w:lang w:eastAsia="it-IT"/>
              </w:rPr>
            </w:pPr>
            <w:r>
              <w:rPr>
                <w:rFonts w:ascii="Arial Narrow" w:hAnsi="Arial Narrow" w:cs="Arial"/>
                <w:sz w:val="20"/>
                <w:lang w:eastAsia="it-IT"/>
              </w:rPr>
              <w:t>ZAISER</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Pr>
                <w:rFonts w:ascii="Arial Narrow" w:hAnsi="Arial Narrow" w:cs="Arial"/>
                <w:sz w:val="20"/>
                <w:lang w:eastAsia="it-IT"/>
              </w:rPr>
              <w:t>Chief Economic section</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rPr>
                <w:rFonts w:ascii="Arial Narrow" w:hAnsi="Arial Narrow"/>
                <w:sz w:val="20"/>
              </w:rPr>
            </w:pPr>
            <w:r w:rsidRPr="00400559">
              <w:rPr>
                <w:rFonts w:ascii="Arial Narrow" w:hAnsi="Arial Narrow" w:cs="Arial"/>
                <w:sz w:val="20"/>
                <w:lang w:eastAsia="it-IT"/>
              </w:rPr>
              <w:t>Switzerland</w:t>
            </w:r>
          </w:p>
        </w:tc>
        <w:tc>
          <w:tcPr>
            <w:tcW w:w="733" w:type="pct"/>
            <w:gridSpan w:val="2"/>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 xml:space="preserve">VERONIQUE </w:t>
            </w:r>
          </w:p>
        </w:tc>
        <w:tc>
          <w:tcPr>
            <w:tcW w:w="716" w:type="pct"/>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HULMANN</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Director of cooperation</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USA/MIDDLE EAST POLICY COUNCIL</w:t>
            </w:r>
          </w:p>
        </w:tc>
        <w:tc>
          <w:tcPr>
            <w:tcW w:w="733" w:type="pct"/>
            <w:gridSpan w:val="2"/>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 xml:space="preserve">THOMAS R. </w:t>
            </w:r>
          </w:p>
        </w:tc>
        <w:tc>
          <w:tcPr>
            <w:tcW w:w="716" w:type="pct"/>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MATTAIR</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Executive director</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USA/AMERICAN TASK FORCE PALESTINE</w:t>
            </w:r>
          </w:p>
        </w:tc>
        <w:tc>
          <w:tcPr>
            <w:tcW w:w="733" w:type="pct"/>
            <w:gridSpan w:val="2"/>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GAITH AL-</w:t>
            </w:r>
          </w:p>
        </w:tc>
        <w:tc>
          <w:tcPr>
            <w:tcW w:w="716" w:type="pct"/>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OMARI</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Executive director</w:t>
            </w:r>
          </w:p>
        </w:tc>
      </w:tr>
      <w:tr w:rsidR="00124A50" w:rsidRPr="00400559" w:rsidTr="00740262">
        <w:trPr>
          <w:trHeight w:val="360"/>
        </w:trPr>
        <w:tc>
          <w:tcPr>
            <w:tcW w:w="5000" w:type="pct"/>
            <w:gridSpan w:val="5"/>
            <w:shd w:val="clear" w:color="auto" w:fill="DBE5F1" w:themeFill="accent1" w:themeFillTint="33"/>
          </w:tcPr>
          <w:p w:rsidR="00124A50" w:rsidRPr="00400559" w:rsidRDefault="00124A50" w:rsidP="00124A50">
            <w:pPr>
              <w:spacing w:before="0" w:after="0"/>
              <w:jc w:val="center"/>
              <w:rPr>
                <w:rFonts w:ascii="Arial Narrow" w:hAnsi="Arial Narrow" w:cs="Arial"/>
                <w:sz w:val="20"/>
                <w:lang w:eastAsia="it-IT"/>
              </w:rPr>
            </w:pPr>
            <w:r w:rsidRPr="00400559">
              <w:rPr>
                <w:rFonts w:ascii="Arial Narrow" w:hAnsi="Arial Narrow" w:cs="Arial"/>
                <w:b/>
                <w:sz w:val="20"/>
                <w:lang w:eastAsia="it-IT"/>
              </w:rPr>
              <w:t>Palestinian Authority</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MIN OF NAT. ECONOMY</w:t>
            </w:r>
          </w:p>
        </w:tc>
        <w:tc>
          <w:tcPr>
            <w:tcW w:w="733" w:type="pct"/>
            <w:gridSpan w:val="2"/>
            <w:shd w:val="clear" w:color="auto" w:fill="auto"/>
            <w:noWrap/>
            <w:hideMark/>
          </w:tcPr>
          <w:p w:rsidR="00124A50" w:rsidRPr="00400559" w:rsidRDefault="00124A50" w:rsidP="00124A50">
            <w:pPr>
              <w:spacing w:before="0" w:after="0"/>
              <w:jc w:val="left"/>
              <w:rPr>
                <w:rFonts w:ascii="Arial Narrow" w:hAnsi="Arial Narrow" w:cs="Arial"/>
                <w:sz w:val="20"/>
                <w:lang w:val="es-ES" w:eastAsia="it-IT"/>
              </w:rPr>
            </w:pPr>
            <w:r w:rsidRPr="00400559">
              <w:rPr>
                <w:rFonts w:ascii="Arial Narrow" w:hAnsi="Arial Narrow" w:cs="Arial"/>
                <w:sz w:val="20"/>
                <w:lang w:val="es-ES" w:eastAsia="it-IT"/>
              </w:rPr>
              <w:t xml:space="preserve">HASAN </w:t>
            </w:r>
          </w:p>
        </w:tc>
        <w:tc>
          <w:tcPr>
            <w:tcW w:w="716" w:type="pct"/>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val="es-ES" w:eastAsia="it-IT"/>
              </w:rPr>
              <w:t>ABDEL</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MINISTERS’ ADVISOR</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Pr>
                <w:rFonts w:ascii="Arial Narrow" w:hAnsi="Arial Narrow" w:cs="Arial"/>
                <w:sz w:val="20"/>
                <w:lang w:eastAsia="it-IT"/>
              </w:rPr>
              <w:t>MIN OF SOCIAL AFFAIRS</w:t>
            </w:r>
          </w:p>
        </w:tc>
        <w:tc>
          <w:tcPr>
            <w:tcW w:w="733" w:type="pct"/>
            <w:gridSpan w:val="2"/>
            <w:shd w:val="clear" w:color="auto" w:fill="auto"/>
            <w:noWrap/>
            <w:hideMark/>
          </w:tcPr>
          <w:p w:rsidR="00124A50" w:rsidRPr="00400559" w:rsidRDefault="00124A50" w:rsidP="00124A50">
            <w:pPr>
              <w:spacing w:before="0" w:after="0"/>
              <w:jc w:val="left"/>
              <w:rPr>
                <w:rFonts w:ascii="Arial Narrow" w:hAnsi="Arial Narrow" w:cs="Arial"/>
                <w:sz w:val="20"/>
                <w:lang w:val="es-ES" w:eastAsia="it-IT"/>
              </w:rPr>
            </w:pPr>
            <w:r>
              <w:rPr>
                <w:rFonts w:ascii="Arial Narrow" w:hAnsi="Arial Narrow" w:cs="Arial"/>
                <w:sz w:val="20"/>
                <w:lang w:val="es-ES" w:eastAsia="it-IT"/>
              </w:rPr>
              <w:t>DAUOD</w:t>
            </w:r>
          </w:p>
        </w:tc>
        <w:tc>
          <w:tcPr>
            <w:tcW w:w="716" w:type="pct"/>
          </w:tcPr>
          <w:p w:rsidR="00124A50" w:rsidRPr="00400559" w:rsidRDefault="00124A50" w:rsidP="00124A50">
            <w:pPr>
              <w:spacing w:before="0" w:after="0"/>
              <w:jc w:val="left"/>
              <w:rPr>
                <w:rFonts w:ascii="Arial Narrow" w:hAnsi="Arial Narrow" w:cs="Arial"/>
                <w:sz w:val="20"/>
                <w:lang w:val="es-ES" w:eastAsia="it-IT"/>
              </w:rPr>
            </w:pPr>
            <w:r>
              <w:rPr>
                <w:rFonts w:ascii="Arial Narrow" w:hAnsi="Arial Narrow" w:cs="Arial"/>
                <w:sz w:val="20"/>
                <w:lang w:val="es-ES" w:eastAsia="it-IT"/>
              </w:rPr>
              <w:t>AL-DEEK</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Pr>
                <w:rFonts w:ascii="Arial Narrow" w:hAnsi="Arial Narrow" w:cs="Arial"/>
                <w:sz w:val="20"/>
                <w:lang w:eastAsia="it-IT"/>
              </w:rPr>
              <w:t>ASSISTANT DEPUTY MINISTER</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MIN OF AGR.</w:t>
            </w:r>
          </w:p>
        </w:tc>
        <w:tc>
          <w:tcPr>
            <w:tcW w:w="733" w:type="pct"/>
            <w:gridSpan w:val="2"/>
            <w:shd w:val="clear" w:color="auto" w:fill="auto"/>
            <w:noWrap/>
            <w:hideMark/>
          </w:tcPr>
          <w:p w:rsidR="00124A50" w:rsidRPr="00400559" w:rsidRDefault="00124A50" w:rsidP="00124A50">
            <w:pPr>
              <w:spacing w:before="0" w:after="0"/>
              <w:jc w:val="left"/>
              <w:rPr>
                <w:rFonts w:ascii="Arial Narrow" w:hAnsi="Arial Narrow" w:cs="Arial"/>
                <w:sz w:val="20"/>
                <w:lang w:val="es-ES" w:eastAsia="it-IT"/>
              </w:rPr>
            </w:pPr>
            <w:r w:rsidRPr="00400559">
              <w:rPr>
                <w:rFonts w:ascii="Arial Narrow" w:hAnsi="Arial Narrow" w:cs="Arial"/>
                <w:sz w:val="20"/>
                <w:lang w:val="es-ES" w:eastAsia="it-IT"/>
              </w:rPr>
              <w:t xml:space="preserve">WALEED </w:t>
            </w:r>
          </w:p>
        </w:tc>
        <w:tc>
          <w:tcPr>
            <w:tcW w:w="716" w:type="pct"/>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es-ES" w:eastAsia="it-IT"/>
              </w:rPr>
              <w:t>ASSAF</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MINISTER OF AGRICULTURE</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AL-HAQ</w:t>
            </w:r>
          </w:p>
        </w:tc>
        <w:tc>
          <w:tcPr>
            <w:tcW w:w="733" w:type="pct"/>
            <w:gridSpan w:val="2"/>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 xml:space="preserve">SHAWAN </w:t>
            </w:r>
          </w:p>
        </w:tc>
        <w:tc>
          <w:tcPr>
            <w:tcW w:w="716" w:type="pct"/>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JABARIN</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Director of Al-</w:t>
            </w:r>
            <w:proofErr w:type="spellStart"/>
            <w:r w:rsidRPr="00400559">
              <w:rPr>
                <w:rFonts w:ascii="Arial Narrow" w:hAnsi="Arial Narrow" w:cs="Arial"/>
                <w:sz w:val="20"/>
                <w:lang w:eastAsia="it-IT"/>
              </w:rPr>
              <w:t>Haq</w:t>
            </w:r>
            <w:proofErr w:type="spellEnd"/>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JUDICIAL</w:t>
            </w:r>
          </w:p>
        </w:tc>
        <w:tc>
          <w:tcPr>
            <w:tcW w:w="733" w:type="pct"/>
            <w:gridSpan w:val="2"/>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 xml:space="preserve">THURAYA </w:t>
            </w:r>
          </w:p>
        </w:tc>
        <w:tc>
          <w:tcPr>
            <w:tcW w:w="716" w:type="pct"/>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JUDI AL WAZIR</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 xml:space="preserve">head </w:t>
            </w:r>
            <w:proofErr w:type="spellStart"/>
            <w:r w:rsidRPr="00400559">
              <w:rPr>
                <w:rFonts w:ascii="Arial Narrow" w:hAnsi="Arial Narrow" w:cs="Arial"/>
                <w:sz w:val="20"/>
                <w:lang w:val="it-IT" w:eastAsia="it-IT"/>
              </w:rPr>
              <w:t>of</w:t>
            </w:r>
            <w:proofErr w:type="spellEnd"/>
            <w:r w:rsidRPr="00400559">
              <w:rPr>
                <w:rFonts w:ascii="Arial Narrow" w:hAnsi="Arial Narrow" w:cs="Arial"/>
                <w:sz w:val="20"/>
                <w:lang w:val="it-IT" w:eastAsia="it-IT"/>
              </w:rPr>
              <w:t xml:space="preserve"> PPMU</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MIN OF AGR.</w:t>
            </w:r>
          </w:p>
        </w:tc>
        <w:tc>
          <w:tcPr>
            <w:tcW w:w="733" w:type="pct"/>
            <w:gridSpan w:val="2"/>
            <w:shd w:val="clear" w:color="auto" w:fill="auto"/>
            <w:noWrap/>
            <w:hideMark/>
          </w:tcPr>
          <w:p w:rsidR="00124A50" w:rsidRPr="00400559" w:rsidRDefault="00124A50" w:rsidP="00124A50">
            <w:pPr>
              <w:spacing w:before="0" w:after="0"/>
              <w:jc w:val="left"/>
              <w:rPr>
                <w:rFonts w:ascii="Arial Narrow" w:hAnsi="Arial Narrow" w:cs="Arial"/>
                <w:sz w:val="20"/>
                <w:lang w:val="es-ES" w:eastAsia="it-IT"/>
              </w:rPr>
            </w:pPr>
            <w:r w:rsidRPr="00400559">
              <w:rPr>
                <w:rFonts w:ascii="Arial Narrow" w:hAnsi="Arial Narrow" w:cs="Arial"/>
                <w:sz w:val="20"/>
                <w:lang w:val="es-ES" w:eastAsia="it-IT"/>
              </w:rPr>
              <w:t xml:space="preserve">ABDULLAH Q. </w:t>
            </w:r>
          </w:p>
        </w:tc>
        <w:tc>
          <w:tcPr>
            <w:tcW w:w="716" w:type="pct"/>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val="es-ES" w:eastAsia="it-IT"/>
              </w:rPr>
              <w:t>LAHLOUH</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DEP MINISTER</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PALESTINE INVESTMENT FUND</w:t>
            </w:r>
          </w:p>
        </w:tc>
        <w:tc>
          <w:tcPr>
            <w:tcW w:w="733" w:type="pct"/>
            <w:gridSpan w:val="2"/>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 xml:space="preserve">MOHAMMAD </w:t>
            </w:r>
          </w:p>
        </w:tc>
        <w:tc>
          <w:tcPr>
            <w:tcW w:w="716" w:type="pct"/>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MUSTAFA</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Chairman and CEO</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lastRenderedPageBreak/>
              <w:t>STATE OF PALESTINE</w:t>
            </w:r>
          </w:p>
        </w:tc>
        <w:tc>
          <w:tcPr>
            <w:tcW w:w="733" w:type="pct"/>
            <w:gridSpan w:val="2"/>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 xml:space="preserve">MOHAMMAD </w:t>
            </w:r>
          </w:p>
        </w:tc>
        <w:tc>
          <w:tcPr>
            <w:tcW w:w="716" w:type="pct"/>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MUSTAFA</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Deputy Prime minister for economic Affairs</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rPr>
                <w:rFonts w:ascii="Arial Narrow" w:hAnsi="Arial Narrow" w:cs="Arial"/>
                <w:sz w:val="20"/>
                <w:lang w:val="fr-FR"/>
              </w:rPr>
            </w:pPr>
            <w:r w:rsidRPr="00400559">
              <w:rPr>
                <w:rFonts w:ascii="Arial Narrow" w:hAnsi="Arial Narrow" w:cs="Arial"/>
                <w:sz w:val="20"/>
                <w:lang w:val="fr-FR"/>
              </w:rPr>
              <w:t>CEC</w:t>
            </w:r>
          </w:p>
          <w:p w:rsidR="00124A50" w:rsidRPr="00400559" w:rsidRDefault="00124A50" w:rsidP="00124A50">
            <w:pPr>
              <w:spacing w:before="0" w:after="0"/>
              <w:jc w:val="left"/>
              <w:rPr>
                <w:rFonts w:ascii="Arial Narrow" w:hAnsi="Arial Narrow" w:cs="Arial"/>
                <w:sz w:val="20"/>
                <w:lang w:val="fr-FR" w:eastAsia="it-IT"/>
              </w:rPr>
            </w:pPr>
          </w:p>
        </w:tc>
        <w:tc>
          <w:tcPr>
            <w:tcW w:w="733" w:type="pct"/>
            <w:gridSpan w:val="2"/>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fr-FR"/>
              </w:rPr>
              <w:t>Carole</w:t>
            </w:r>
          </w:p>
        </w:tc>
        <w:tc>
          <w:tcPr>
            <w:tcW w:w="716" w:type="pct"/>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fr-FR"/>
              </w:rPr>
              <w:t>Rigaud,</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fr-FR"/>
              </w:rPr>
              <w:t xml:space="preserve">SSF, </w:t>
            </w:r>
            <w:proofErr w:type="spellStart"/>
            <w:r w:rsidRPr="00400559">
              <w:rPr>
                <w:rFonts w:ascii="Arial Narrow" w:hAnsi="Arial Narrow" w:cs="Arial"/>
                <w:sz w:val="20"/>
                <w:lang w:val="fr-FR"/>
              </w:rPr>
              <w:t>political</w:t>
            </w:r>
            <w:proofErr w:type="spellEnd"/>
            <w:r w:rsidRPr="00400559">
              <w:rPr>
                <w:rFonts w:ascii="Arial Narrow" w:hAnsi="Arial Narrow" w:cs="Arial"/>
                <w:sz w:val="20"/>
                <w:lang w:val="fr-FR"/>
              </w:rPr>
              <w:t xml:space="preserve"> </w:t>
            </w:r>
            <w:proofErr w:type="spellStart"/>
            <w:r w:rsidRPr="00400559">
              <w:rPr>
                <w:rFonts w:ascii="Arial Narrow" w:hAnsi="Arial Narrow" w:cs="Arial"/>
                <w:sz w:val="20"/>
                <w:lang w:val="fr-FR"/>
              </w:rPr>
              <w:t>dialogueù</w:t>
            </w:r>
            <w:proofErr w:type="spellEnd"/>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PALESTINIAN ECONOMIC COUNCIL FOR DEV</w:t>
            </w:r>
          </w:p>
        </w:tc>
        <w:tc>
          <w:tcPr>
            <w:tcW w:w="733" w:type="pct"/>
            <w:gridSpan w:val="2"/>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 xml:space="preserve">MOHAMMED </w:t>
            </w:r>
          </w:p>
        </w:tc>
        <w:tc>
          <w:tcPr>
            <w:tcW w:w="716" w:type="pct"/>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SHATAYYEH</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Minister</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MIN OF NAT ECO</w:t>
            </w:r>
          </w:p>
        </w:tc>
        <w:tc>
          <w:tcPr>
            <w:tcW w:w="733" w:type="pct"/>
            <w:gridSpan w:val="2"/>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 xml:space="preserve">MANAL F. </w:t>
            </w:r>
          </w:p>
        </w:tc>
        <w:tc>
          <w:tcPr>
            <w:tcW w:w="716" w:type="pct"/>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SHKOKANI</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Chemical Engineer</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MIN OF NAT ECO</w:t>
            </w:r>
          </w:p>
        </w:tc>
        <w:tc>
          <w:tcPr>
            <w:tcW w:w="733" w:type="pct"/>
            <w:gridSpan w:val="2"/>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 xml:space="preserve">ZIAD </w:t>
            </w:r>
          </w:p>
        </w:tc>
        <w:tc>
          <w:tcPr>
            <w:tcW w:w="716" w:type="pct"/>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TOAME</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Director general- Industry, Trade, Consumer Services</w:t>
            </w:r>
          </w:p>
        </w:tc>
      </w:tr>
      <w:tr w:rsidR="00124A50" w:rsidRPr="00400559" w:rsidTr="00740262">
        <w:trPr>
          <w:trHeight w:val="360"/>
        </w:trPr>
        <w:tc>
          <w:tcPr>
            <w:tcW w:w="5000" w:type="pct"/>
            <w:gridSpan w:val="5"/>
            <w:shd w:val="clear" w:color="auto" w:fill="DBE5F1" w:themeFill="accent1" w:themeFillTint="33"/>
          </w:tcPr>
          <w:p w:rsidR="00124A50" w:rsidRPr="00400559" w:rsidRDefault="00124A50" w:rsidP="00124A50">
            <w:pPr>
              <w:spacing w:before="0" w:after="0"/>
              <w:jc w:val="center"/>
              <w:rPr>
                <w:rFonts w:ascii="Arial Narrow" w:hAnsi="Arial Narrow" w:cs="Arial"/>
                <w:b/>
                <w:sz w:val="20"/>
                <w:lang w:eastAsia="it-IT"/>
              </w:rPr>
            </w:pPr>
            <w:r w:rsidRPr="00400559">
              <w:rPr>
                <w:rFonts w:ascii="Arial Narrow" w:hAnsi="Arial Narrow" w:cs="Arial"/>
                <w:b/>
                <w:sz w:val="20"/>
                <w:lang w:eastAsia="it-IT"/>
              </w:rPr>
              <w:t xml:space="preserve">Palestinian Civil Society </w:t>
            </w:r>
            <w:r w:rsidRPr="00400559">
              <w:rPr>
                <w:rFonts w:ascii="Arial Narrow" w:hAnsi="Arial Narrow" w:cs="Arial"/>
                <w:b/>
                <w:i/>
                <w:sz w:val="20"/>
                <w:lang w:eastAsia="it-IT"/>
              </w:rPr>
              <w:t>(see also below tables of list of NGOs)</w:t>
            </w:r>
            <w:r w:rsidRPr="00400559">
              <w:rPr>
                <w:rFonts w:ascii="Arial Narrow" w:hAnsi="Arial Narrow" w:cs="Arial"/>
                <w:b/>
                <w:sz w:val="20"/>
                <w:lang w:eastAsia="it-IT"/>
              </w:rPr>
              <w:t xml:space="preserve"> </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MAS-PALESTINE ECONOMIC POLICY RESEARCH INSTITUTE</w:t>
            </w:r>
          </w:p>
        </w:tc>
        <w:tc>
          <w:tcPr>
            <w:tcW w:w="733" w:type="pct"/>
            <w:gridSpan w:val="2"/>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 xml:space="preserve">SAMIR </w:t>
            </w:r>
          </w:p>
        </w:tc>
        <w:tc>
          <w:tcPr>
            <w:tcW w:w="716" w:type="pct"/>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ABDULLAH</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Director General</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Pr>
                <w:rFonts w:ascii="Arial Narrow" w:hAnsi="Arial Narrow" w:cs="Arial"/>
                <w:sz w:val="20"/>
                <w:lang w:eastAsia="it-IT"/>
              </w:rPr>
              <w:t>ANERA</w:t>
            </w:r>
          </w:p>
        </w:tc>
        <w:tc>
          <w:tcPr>
            <w:tcW w:w="733" w:type="pct"/>
            <w:gridSpan w:val="2"/>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Pr>
                <w:rFonts w:ascii="Arial Narrow" w:hAnsi="Arial Narrow" w:cs="Arial"/>
                <w:sz w:val="20"/>
                <w:lang w:eastAsia="it-IT"/>
              </w:rPr>
              <w:t>PAUL</w:t>
            </w:r>
          </w:p>
        </w:tc>
        <w:tc>
          <w:tcPr>
            <w:tcW w:w="716" w:type="pct"/>
          </w:tcPr>
          <w:p w:rsidR="00124A50" w:rsidRPr="00400559" w:rsidRDefault="00124A50" w:rsidP="00124A50">
            <w:pPr>
              <w:spacing w:before="0" w:after="0"/>
              <w:jc w:val="left"/>
              <w:rPr>
                <w:rFonts w:ascii="Arial Narrow" w:hAnsi="Arial Narrow" w:cs="Arial"/>
                <w:sz w:val="20"/>
                <w:lang w:eastAsia="it-IT"/>
              </w:rPr>
            </w:pPr>
            <w:r>
              <w:rPr>
                <w:rFonts w:ascii="Arial Narrow" w:hAnsi="Arial Narrow" w:cs="Arial"/>
                <w:sz w:val="20"/>
                <w:lang w:eastAsia="it-IT"/>
              </w:rPr>
              <w:t>BUTLER</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Pr>
                <w:rFonts w:ascii="Arial Narrow" w:hAnsi="Arial Narrow" w:cs="Arial"/>
                <w:sz w:val="20"/>
                <w:lang w:eastAsia="it-IT"/>
              </w:rPr>
              <w:t>Country director, WB &amp; Gaza strip</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PALESTINIAN MEDICAL RELIEF SOCIETY</w:t>
            </w:r>
          </w:p>
        </w:tc>
        <w:tc>
          <w:tcPr>
            <w:tcW w:w="733" w:type="pct"/>
            <w:gridSpan w:val="2"/>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 xml:space="preserve">MUSTAFA </w:t>
            </w:r>
          </w:p>
        </w:tc>
        <w:tc>
          <w:tcPr>
            <w:tcW w:w="716" w:type="pct"/>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BARGHOUTHI</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proofErr w:type="spellStart"/>
            <w:r w:rsidRPr="00400559">
              <w:rPr>
                <w:rFonts w:ascii="Arial Narrow" w:hAnsi="Arial Narrow" w:cs="Arial"/>
                <w:sz w:val="20"/>
                <w:lang w:eastAsia="it-IT"/>
              </w:rPr>
              <w:t>MD.M.Sc</w:t>
            </w:r>
            <w:proofErr w:type="spellEnd"/>
            <w:r w:rsidRPr="00400559">
              <w:rPr>
                <w:rFonts w:ascii="Arial Narrow" w:hAnsi="Arial Narrow" w:cs="Arial"/>
                <w:sz w:val="20"/>
                <w:lang w:eastAsia="it-IT"/>
              </w:rPr>
              <w:t>. President</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BHC LLC</w:t>
            </w:r>
          </w:p>
        </w:tc>
        <w:tc>
          <w:tcPr>
            <w:tcW w:w="733" w:type="pct"/>
            <w:gridSpan w:val="2"/>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 xml:space="preserve">AHMED </w:t>
            </w:r>
          </w:p>
        </w:tc>
        <w:tc>
          <w:tcPr>
            <w:tcW w:w="716" w:type="pct"/>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DAWOOD</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Iraq attorney and managing partner</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rPr>
                <w:rFonts w:ascii="Arial Narrow" w:hAnsi="Arial Narrow"/>
                <w:sz w:val="20"/>
              </w:rPr>
            </w:pPr>
            <w:r w:rsidRPr="00400559">
              <w:rPr>
                <w:rFonts w:ascii="Arial Narrow" w:hAnsi="Arial Narrow" w:cs="Arial"/>
                <w:sz w:val="20"/>
                <w:lang w:val="it-IT" w:eastAsia="it-IT"/>
              </w:rPr>
              <w:t>OQR</w:t>
            </w:r>
          </w:p>
        </w:tc>
        <w:tc>
          <w:tcPr>
            <w:tcW w:w="733" w:type="pct"/>
            <w:gridSpan w:val="2"/>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 xml:space="preserve">HENDRIK </w:t>
            </w:r>
          </w:p>
        </w:tc>
        <w:tc>
          <w:tcPr>
            <w:tcW w:w="716" w:type="pct"/>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DENKER</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proofErr w:type="spellStart"/>
            <w:r w:rsidRPr="00400559">
              <w:rPr>
                <w:rFonts w:ascii="Arial Narrow" w:hAnsi="Arial Narrow" w:cs="Arial"/>
                <w:sz w:val="20"/>
                <w:lang w:val="it-IT" w:eastAsia="it-IT"/>
              </w:rPr>
              <w:t>Infrastructure</w:t>
            </w:r>
            <w:proofErr w:type="spellEnd"/>
            <w:r w:rsidRPr="00400559">
              <w:rPr>
                <w:rFonts w:ascii="Arial Narrow" w:hAnsi="Arial Narrow" w:cs="Arial"/>
                <w:sz w:val="20"/>
                <w:lang w:val="it-IT" w:eastAsia="it-IT"/>
              </w:rPr>
              <w:t xml:space="preserve"> </w:t>
            </w:r>
            <w:proofErr w:type="spellStart"/>
            <w:r w:rsidRPr="00400559">
              <w:rPr>
                <w:rFonts w:ascii="Arial Narrow" w:hAnsi="Arial Narrow" w:cs="Arial"/>
                <w:sz w:val="20"/>
                <w:lang w:val="it-IT" w:eastAsia="it-IT"/>
              </w:rPr>
              <w:t>adviser</w:t>
            </w:r>
            <w:proofErr w:type="spellEnd"/>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FUTURE FOR PALESTINE</w:t>
            </w:r>
          </w:p>
        </w:tc>
        <w:tc>
          <w:tcPr>
            <w:tcW w:w="733" w:type="pct"/>
            <w:gridSpan w:val="2"/>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 xml:space="preserve">SALAM </w:t>
            </w:r>
          </w:p>
        </w:tc>
        <w:tc>
          <w:tcPr>
            <w:tcW w:w="716" w:type="pct"/>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FAYYAD</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Chairman</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PADICO HOLDING</w:t>
            </w:r>
          </w:p>
        </w:tc>
        <w:tc>
          <w:tcPr>
            <w:tcW w:w="733" w:type="pct"/>
            <w:gridSpan w:val="2"/>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 xml:space="preserve">SAMIR O. </w:t>
            </w:r>
          </w:p>
        </w:tc>
        <w:tc>
          <w:tcPr>
            <w:tcW w:w="716" w:type="pct"/>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HULILEH</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Chief executive officer</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HUSSEINI &amp; HUSSEINI</w:t>
            </w:r>
          </w:p>
        </w:tc>
        <w:tc>
          <w:tcPr>
            <w:tcW w:w="733" w:type="pct"/>
            <w:gridSpan w:val="2"/>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 xml:space="preserve">HIBA I. </w:t>
            </w:r>
          </w:p>
        </w:tc>
        <w:tc>
          <w:tcPr>
            <w:tcW w:w="716" w:type="pct"/>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HUSSEINI</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Attorney and counselors at law</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rPr>
              <w:t>PADICO</w:t>
            </w:r>
          </w:p>
        </w:tc>
        <w:tc>
          <w:tcPr>
            <w:tcW w:w="733" w:type="pct"/>
            <w:gridSpan w:val="2"/>
            <w:shd w:val="clear" w:color="auto" w:fill="auto"/>
            <w:noWrap/>
            <w:hideMark/>
          </w:tcPr>
          <w:p w:rsidR="00124A50" w:rsidRPr="00400559" w:rsidRDefault="00124A50" w:rsidP="00124A50">
            <w:pPr>
              <w:spacing w:before="0" w:after="0"/>
              <w:jc w:val="left"/>
              <w:rPr>
                <w:rFonts w:ascii="Arial Narrow" w:hAnsi="Arial Narrow" w:cs="Arial"/>
                <w:sz w:val="20"/>
                <w:lang w:eastAsia="it-IT"/>
              </w:rPr>
            </w:pPr>
            <w:proofErr w:type="spellStart"/>
            <w:r w:rsidRPr="00400559">
              <w:rPr>
                <w:rFonts w:ascii="Arial Narrow" w:hAnsi="Arial Narrow" w:cs="Arial"/>
                <w:sz w:val="20"/>
              </w:rPr>
              <w:t>Munib</w:t>
            </w:r>
            <w:proofErr w:type="spellEnd"/>
            <w:r w:rsidRPr="00400559">
              <w:rPr>
                <w:rFonts w:ascii="Arial Narrow" w:hAnsi="Arial Narrow" w:cs="Arial"/>
                <w:sz w:val="20"/>
              </w:rPr>
              <w:t xml:space="preserve"> </w:t>
            </w:r>
          </w:p>
        </w:tc>
        <w:tc>
          <w:tcPr>
            <w:tcW w:w="716" w:type="pct"/>
          </w:tcPr>
          <w:p w:rsidR="00124A50" w:rsidRPr="00400559" w:rsidRDefault="00124A50" w:rsidP="00124A50">
            <w:pPr>
              <w:spacing w:before="0" w:after="0"/>
              <w:jc w:val="left"/>
              <w:rPr>
                <w:rFonts w:ascii="Arial Narrow" w:hAnsi="Arial Narrow" w:cs="Arial"/>
                <w:sz w:val="20"/>
                <w:lang w:eastAsia="it-IT"/>
              </w:rPr>
            </w:pPr>
            <w:proofErr w:type="spellStart"/>
            <w:r w:rsidRPr="00400559">
              <w:rPr>
                <w:rFonts w:ascii="Arial Narrow" w:hAnsi="Arial Narrow" w:cs="Arial"/>
                <w:sz w:val="20"/>
              </w:rPr>
              <w:t>Masri</w:t>
            </w:r>
            <w:proofErr w:type="spellEnd"/>
            <w:r w:rsidRPr="00400559">
              <w:rPr>
                <w:rFonts w:ascii="Arial Narrow" w:hAnsi="Arial Narrow" w:cs="Arial"/>
                <w:sz w:val="20"/>
              </w:rPr>
              <w:t>,</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rPr>
              <w:t>Chairman,</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rPr>
                <w:rFonts w:ascii="Arial Narrow" w:hAnsi="Arial Narrow"/>
                <w:sz w:val="20"/>
              </w:rPr>
            </w:pPr>
            <w:r w:rsidRPr="00400559">
              <w:rPr>
                <w:rFonts w:ascii="Arial Narrow" w:hAnsi="Arial Narrow" w:cs="Arial"/>
                <w:sz w:val="20"/>
                <w:lang w:eastAsia="it-IT"/>
              </w:rPr>
              <w:t>OQR</w:t>
            </w:r>
          </w:p>
        </w:tc>
        <w:tc>
          <w:tcPr>
            <w:tcW w:w="733" w:type="pct"/>
            <w:gridSpan w:val="2"/>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eastAsia="it-IT"/>
              </w:rPr>
              <w:t xml:space="preserve">FERAS </w:t>
            </w:r>
          </w:p>
        </w:tc>
        <w:tc>
          <w:tcPr>
            <w:tcW w:w="716" w:type="pct"/>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eastAsia="it-IT"/>
              </w:rPr>
              <w:t>MILHEL</w:t>
            </w:r>
            <w:r w:rsidRPr="00400559">
              <w:rPr>
                <w:rFonts w:ascii="Arial Narrow" w:hAnsi="Arial Narrow" w:cs="Arial"/>
                <w:sz w:val="20"/>
                <w:lang w:val="it-IT" w:eastAsia="it-IT"/>
              </w:rPr>
              <w:t>M</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proofErr w:type="spellStart"/>
            <w:r w:rsidRPr="00400559">
              <w:rPr>
                <w:rFonts w:ascii="Arial Narrow" w:hAnsi="Arial Narrow" w:cs="Arial"/>
                <w:sz w:val="20"/>
                <w:lang w:val="it-IT" w:eastAsia="it-IT"/>
              </w:rPr>
              <w:t>Rule</w:t>
            </w:r>
            <w:proofErr w:type="spellEnd"/>
            <w:r w:rsidRPr="00400559">
              <w:rPr>
                <w:rFonts w:ascii="Arial Narrow" w:hAnsi="Arial Narrow" w:cs="Arial"/>
                <w:sz w:val="20"/>
                <w:lang w:val="it-IT" w:eastAsia="it-IT"/>
              </w:rPr>
              <w:t xml:space="preserve"> </w:t>
            </w:r>
            <w:proofErr w:type="spellStart"/>
            <w:r w:rsidRPr="00400559">
              <w:rPr>
                <w:rFonts w:ascii="Arial Narrow" w:hAnsi="Arial Narrow" w:cs="Arial"/>
                <w:sz w:val="20"/>
                <w:lang w:val="it-IT" w:eastAsia="it-IT"/>
              </w:rPr>
              <w:t>of</w:t>
            </w:r>
            <w:proofErr w:type="spellEnd"/>
            <w:r w:rsidRPr="00400559">
              <w:rPr>
                <w:rFonts w:ascii="Arial Narrow" w:hAnsi="Arial Narrow" w:cs="Arial"/>
                <w:sz w:val="20"/>
                <w:lang w:val="it-IT" w:eastAsia="it-IT"/>
              </w:rPr>
              <w:t xml:space="preserve"> </w:t>
            </w:r>
            <w:proofErr w:type="spellStart"/>
            <w:r w:rsidRPr="00400559">
              <w:rPr>
                <w:rFonts w:ascii="Arial Narrow" w:hAnsi="Arial Narrow" w:cs="Arial"/>
                <w:sz w:val="20"/>
                <w:lang w:val="it-IT" w:eastAsia="it-IT"/>
              </w:rPr>
              <w:t>law</w:t>
            </w:r>
            <w:proofErr w:type="spellEnd"/>
            <w:r w:rsidRPr="00400559">
              <w:rPr>
                <w:rFonts w:ascii="Arial Narrow" w:hAnsi="Arial Narrow" w:cs="Arial"/>
                <w:sz w:val="20"/>
                <w:lang w:val="it-IT" w:eastAsia="it-IT"/>
              </w:rPr>
              <w:t xml:space="preserve"> </w:t>
            </w:r>
            <w:proofErr w:type="spellStart"/>
            <w:r w:rsidRPr="00400559">
              <w:rPr>
                <w:rFonts w:ascii="Arial Narrow" w:hAnsi="Arial Narrow" w:cs="Arial"/>
                <w:sz w:val="20"/>
                <w:lang w:val="it-IT" w:eastAsia="it-IT"/>
              </w:rPr>
              <w:t>adviser</w:t>
            </w:r>
            <w:proofErr w:type="spellEnd"/>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rPr>
                <w:rFonts w:ascii="Arial Narrow" w:hAnsi="Arial Narrow"/>
                <w:sz w:val="20"/>
              </w:rPr>
            </w:pPr>
            <w:r w:rsidRPr="00400559">
              <w:rPr>
                <w:rFonts w:ascii="Arial Narrow" w:hAnsi="Arial Narrow" w:cs="Arial"/>
                <w:sz w:val="20"/>
                <w:lang w:val="it-IT" w:eastAsia="it-IT"/>
              </w:rPr>
              <w:t>OQR</w:t>
            </w:r>
          </w:p>
        </w:tc>
        <w:tc>
          <w:tcPr>
            <w:tcW w:w="733" w:type="pct"/>
            <w:gridSpan w:val="2"/>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 xml:space="preserve">NASSIM </w:t>
            </w:r>
          </w:p>
        </w:tc>
        <w:tc>
          <w:tcPr>
            <w:tcW w:w="716" w:type="pct"/>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NOUR</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 xml:space="preserve">Private </w:t>
            </w:r>
            <w:proofErr w:type="spellStart"/>
            <w:r w:rsidRPr="00400559">
              <w:rPr>
                <w:rFonts w:ascii="Arial Narrow" w:hAnsi="Arial Narrow" w:cs="Arial"/>
                <w:sz w:val="20"/>
                <w:lang w:val="it-IT" w:eastAsia="it-IT"/>
              </w:rPr>
              <w:t>sector</w:t>
            </w:r>
            <w:proofErr w:type="spellEnd"/>
            <w:r w:rsidRPr="00400559">
              <w:rPr>
                <w:rFonts w:ascii="Arial Narrow" w:hAnsi="Arial Narrow" w:cs="Arial"/>
                <w:sz w:val="20"/>
                <w:lang w:val="it-IT" w:eastAsia="it-IT"/>
              </w:rPr>
              <w:t xml:space="preserve"> </w:t>
            </w:r>
            <w:proofErr w:type="spellStart"/>
            <w:r w:rsidRPr="00400559">
              <w:rPr>
                <w:rFonts w:ascii="Arial Narrow" w:hAnsi="Arial Narrow" w:cs="Arial"/>
                <w:sz w:val="20"/>
                <w:lang w:val="it-IT" w:eastAsia="it-IT"/>
              </w:rPr>
              <w:t>development</w:t>
            </w:r>
            <w:proofErr w:type="spellEnd"/>
            <w:r w:rsidRPr="00400559">
              <w:rPr>
                <w:rFonts w:ascii="Arial Narrow" w:hAnsi="Arial Narrow" w:cs="Arial"/>
                <w:sz w:val="20"/>
                <w:lang w:val="it-IT" w:eastAsia="it-IT"/>
              </w:rPr>
              <w:t xml:space="preserve"> </w:t>
            </w:r>
            <w:proofErr w:type="spellStart"/>
            <w:r w:rsidRPr="00400559">
              <w:rPr>
                <w:rFonts w:ascii="Arial Narrow" w:hAnsi="Arial Narrow" w:cs="Arial"/>
                <w:sz w:val="20"/>
                <w:lang w:val="it-IT" w:eastAsia="it-IT"/>
              </w:rPr>
              <w:t>adviser</w:t>
            </w:r>
            <w:proofErr w:type="spellEnd"/>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PALESTINIAN NGO NETWORK</w:t>
            </w:r>
          </w:p>
        </w:tc>
        <w:tc>
          <w:tcPr>
            <w:tcW w:w="733" w:type="pct"/>
            <w:gridSpan w:val="2"/>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 xml:space="preserve">DUA’A </w:t>
            </w:r>
          </w:p>
        </w:tc>
        <w:tc>
          <w:tcPr>
            <w:tcW w:w="716" w:type="pct"/>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QURIE</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Executive Director</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ARIJ</w:t>
            </w:r>
          </w:p>
        </w:tc>
        <w:tc>
          <w:tcPr>
            <w:tcW w:w="733" w:type="pct"/>
            <w:gridSpan w:val="2"/>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RAED E. ABED</w:t>
            </w:r>
          </w:p>
        </w:tc>
        <w:tc>
          <w:tcPr>
            <w:tcW w:w="716" w:type="pct"/>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RABBO</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Public Relation Director</w:t>
            </w:r>
          </w:p>
        </w:tc>
      </w:tr>
      <w:tr w:rsidR="00124A50" w:rsidRPr="00400559" w:rsidTr="00740262">
        <w:trPr>
          <w:trHeight w:val="360"/>
        </w:trPr>
        <w:tc>
          <w:tcPr>
            <w:tcW w:w="835" w:type="pct"/>
            <w:shd w:val="clear" w:color="auto" w:fill="auto"/>
            <w:noWrap/>
            <w:vAlign w:val="center"/>
            <w:hideMark/>
          </w:tcPr>
          <w:p w:rsidR="00124A50" w:rsidRPr="00400559" w:rsidRDefault="00124A50" w:rsidP="00124A50">
            <w:pPr>
              <w:spacing w:before="0" w:after="0"/>
              <w:rPr>
                <w:rFonts w:ascii="Arial Narrow" w:hAnsi="Arial Narrow" w:cs="Arial"/>
                <w:bCs/>
                <w:sz w:val="20"/>
              </w:rPr>
            </w:pPr>
            <w:r w:rsidRPr="00400559">
              <w:rPr>
                <w:rFonts w:ascii="Arial Narrow" w:hAnsi="Arial Narrow" w:cs="Arial"/>
                <w:bCs/>
                <w:sz w:val="20"/>
              </w:rPr>
              <w:t>ARIJ</w:t>
            </w:r>
          </w:p>
        </w:tc>
        <w:tc>
          <w:tcPr>
            <w:tcW w:w="733" w:type="pct"/>
            <w:gridSpan w:val="2"/>
            <w:shd w:val="clear" w:color="auto" w:fill="auto"/>
            <w:noWrap/>
            <w:vAlign w:val="center"/>
            <w:hideMark/>
          </w:tcPr>
          <w:p w:rsidR="00124A50" w:rsidRPr="00400559" w:rsidRDefault="00124A50" w:rsidP="00124A50">
            <w:pPr>
              <w:spacing w:before="0" w:after="0"/>
              <w:rPr>
                <w:rFonts w:ascii="Arial Narrow" w:hAnsi="Arial Narrow" w:cs="Arial"/>
                <w:sz w:val="20"/>
              </w:rPr>
            </w:pPr>
            <w:proofErr w:type="spellStart"/>
            <w:r w:rsidRPr="00400559">
              <w:rPr>
                <w:rFonts w:ascii="Arial Narrow" w:hAnsi="Arial Narrow" w:cs="Arial"/>
                <w:sz w:val="20"/>
              </w:rPr>
              <w:t>Jad</w:t>
            </w:r>
            <w:proofErr w:type="spellEnd"/>
            <w:r w:rsidRPr="00400559">
              <w:rPr>
                <w:rFonts w:ascii="Arial Narrow" w:hAnsi="Arial Narrow" w:cs="Arial"/>
                <w:sz w:val="20"/>
              </w:rPr>
              <w:t xml:space="preserve"> </w:t>
            </w:r>
          </w:p>
        </w:tc>
        <w:tc>
          <w:tcPr>
            <w:tcW w:w="716" w:type="pct"/>
            <w:vAlign w:val="center"/>
          </w:tcPr>
          <w:p w:rsidR="00124A50" w:rsidRPr="00400559" w:rsidRDefault="00124A50" w:rsidP="00124A50">
            <w:pPr>
              <w:spacing w:before="0" w:after="0"/>
              <w:rPr>
                <w:rFonts w:ascii="Arial Narrow" w:hAnsi="Arial Narrow" w:cs="Arial"/>
                <w:sz w:val="20"/>
              </w:rPr>
            </w:pPr>
            <w:r w:rsidRPr="00400559">
              <w:rPr>
                <w:rFonts w:ascii="Arial Narrow" w:hAnsi="Arial Narrow" w:cs="Arial"/>
                <w:sz w:val="20"/>
              </w:rPr>
              <w:t>Isaac</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rPr>
              <w:t>Director General</w:t>
            </w:r>
          </w:p>
        </w:tc>
      </w:tr>
      <w:tr w:rsidR="00124A50" w:rsidRPr="00400559" w:rsidTr="00740262">
        <w:trPr>
          <w:trHeight w:val="360"/>
        </w:trPr>
        <w:tc>
          <w:tcPr>
            <w:tcW w:w="835" w:type="pct"/>
            <w:shd w:val="clear" w:color="auto" w:fill="auto"/>
            <w:noWrap/>
            <w:vAlign w:val="center"/>
            <w:hideMark/>
          </w:tcPr>
          <w:p w:rsidR="00124A50" w:rsidRPr="00400559" w:rsidRDefault="00124A50" w:rsidP="00124A50">
            <w:pPr>
              <w:spacing w:before="0" w:after="0"/>
              <w:rPr>
                <w:rFonts w:ascii="Arial Narrow" w:hAnsi="Arial Narrow" w:cs="Arial"/>
                <w:sz w:val="20"/>
              </w:rPr>
            </w:pPr>
            <w:r w:rsidRPr="00400559">
              <w:rPr>
                <w:rFonts w:ascii="Arial Narrow" w:hAnsi="Arial Narrow" w:cs="Arial"/>
                <w:bCs/>
                <w:sz w:val="20"/>
              </w:rPr>
              <w:t>ARIJ</w:t>
            </w:r>
          </w:p>
        </w:tc>
        <w:tc>
          <w:tcPr>
            <w:tcW w:w="733" w:type="pct"/>
            <w:gridSpan w:val="2"/>
            <w:shd w:val="clear" w:color="auto" w:fill="auto"/>
            <w:noWrap/>
            <w:vAlign w:val="center"/>
            <w:hideMark/>
          </w:tcPr>
          <w:p w:rsidR="00124A50" w:rsidRPr="00400559" w:rsidRDefault="00124A50" w:rsidP="00124A50">
            <w:pPr>
              <w:spacing w:before="0" w:after="0"/>
              <w:rPr>
                <w:rFonts w:ascii="Arial Narrow" w:hAnsi="Arial Narrow" w:cs="Arial"/>
                <w:sz w:val="20"/>
              </w:rPr>
            </w:pPr>
            <w:r w:rsidRPr="00400559">
              <w:rPr>
                <w:rFonts w:ascii="Arial Narrow" w:hAnsi="Arial Narrow" w:cs="Arial"/>
                <w:sz w:val="20"/>
              </w:rPr>
              <w:t xml:space="preserve">Jane </w:t>
            </w:r>
          </w:p>
        </w:tc>
        <w:tc>
          <w:tcPr>
            <w:tcW w:w="716" w:type="pct"/>
            <w:vAlign w:val="center"/>
          </w:tcPr>
          <w:p w:rsidR="00124A50" w:rsidRPr="00400559" w:rsidRDefault="00124A50" w:rsidP="00124A50">
            <w:pPr>
              <w:spacing w:before="0" w:after="0"/>
              <w:rPr>
                <w:rFonts w:ascii="Arial Narrow" w:hAnsi="Arial Narrow" w:cs="Arial"/>
                <w:sz w:val="20"/>
              </w:rPr>
            </w:pPr>
            <w:proofErr w:type="spellStart"/>
            <w:r w:rsidRPr="00400559">
              <w:rPr>
                <w:rFonts w:ascii="Arial Narrow" w:hAnsi="Arial Narrow" w:cs="Arial"/>
                <w:sz w:val="20"/>
              </w:rPr>
              <w:t>Hilal</w:t>
            </w:r>
            <w:proofErr w:type="spellEnd"/>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rPr>
              <w:t>Head of Water and Environment Department</w:t>
            </w:r>
          </w:p>
        </w:tc>
      </w:tr>
      <w:tr w:rsidR="00124A50" w:rsidRPr="00400559" w:rsidTr="00740262">
        <w:trPr>
          <w:trHeight w:val="360"/>
        </w:trPr>
        <w:tc>
          <w:tcPr>
            <w:tcW w:w="835" w:type="pct"/>
            <w:shd w:val="clear" w:color="auto" w:fill="auto"/>
            <w:noWrap/>
            <w:vAlign w:val="center"/>
            <w:hideMark/>
          </w:tcPr>
          <w:p w:rsidR="00124A50" w:rsidRPr="00400559" w:rsidRDefault="00124A50" w:rsidP="00124A50">
            <w:pPr>
              <w:spacing w:before="0" w:after="0"/>
              <w:rPr>
                <w:rFonts w:ascii="Arial Narrow" w:hAnsi="Arial Narrow" w:cs="Arial"/>
                <w:bCs/>
                <w:sz w:val="20"/>
              </w:rPr>
            </w:pPr>
            <w:r>
              <w:rPr>
                <w:rFonts w:ascii="Arial Narrow" w:hAnsi="Arial Narrow" w:cs="Arial"/>
                <w:bCs/>
                <w:sz w:val="20"/>
              </w:rPr>
              <w:t>PASSIA</w:t>
            </w:r>
          </w:p>
        </w:tc>
        <w:tc>
          <w:tcPr>
            <w:tcW w:w="733" w:type="pct"/>
            <w:gridSpan w:val="2"/>
            <w:shd w:val="clear" w:color="auto" w:fill="auto"/>
            <w:noWrap/>
            <w:vAlign w:val="center"/>
            <w:hideMark/>
          </w:tcPr>
          <w:p w:rsidR="00124A50" w:rsidRPr="00400559" w:rsidRDefault="00124A50" w:rsidP="00124A50">
            <w:pPr>
              <w:spacing w:before="0" w:after="0"/>
              <w:rPr>
                <w:rFonts w:ascii="Arial Narrow" w:hAnsi="Arial Narrow" w:cs="Arial"/>
                <w:sz w:val="20"/>
              </w:rPr>
            </w:pPr>
            <w:r>
              <w:rPr>
                <w:rFonts w:ascii="Arial Narrow" w:hAnsi="Arial Narrow" w:cs="Arial"/>
                <w:sz w:val="20"/>
              </w:rPr>
              <w:t>MAHDI F. ABDUL</w:t>
            </w:r>
          </w:p>
        </w:tc>
        <w:tc>
          <w:tcPr>
            <w:tcW w:w="716" w:type="pct"/>
            <w:vAlign w:val="center"/>
          </w:tcPr>
          <w:p w:rsidR="00124A50" w:rsidRPr="00400559" w:rsidRDefault="00124A50" w:rsidP="00124A50">
            <w:pPr>
              <w:spacing w:before="0" w:after="0"/>
              <w:rPr>
                <w:rFonts w:ascii="Arial Narrow" w:hAnsi="Arial Narrow" w:cs="Arial"/>
                <w:sz w:val="20"/>
              </w:rPr>
            </w:pPr>
            <w:r>
              <w:rPr>
                <w:rFonts w:ascii="Arial Narrow" w:hAnsi="Arial Narrow" w:cs="Arial"/>
                <w:sz w:val="20"/>
              </w:rPr>
              <w:t>HADI</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rPr>
            </w:pPr>
            <w:r>
              <w:rPr>
                <w:rFonts w:ascii="Arial Narrow" w:hAnsi="Arial Narrow" w:cs="Arial"/>
                <w:sz w:val="20"/>
              </w:rPr>
              <w:t>Chairman</w:t>
            </w:r>
          </w:p>
        </w:tc>
      </w:tr>
      <w:tr w:rsidR="00124A50" w:rsidRPr="00400559" w:rsidTr="00740262">
        <w:trPr>
          <w:trHeight w:val="360"/>
        </w:trPr>
        <w:tc>
          <w:tcPr>
            <w:tcW w:w="835" w:type="pct"/>
            <w:shd w:val="clear" w:color="auto" w:fill="auto"/>
            <w:noWrap/>
            <w:vAlign w:val="center"/>
            <w:hideMark/>
          </w:tcPr>
          <w:p w:rsidR="00124A50" w:rsidRPr="00400559" w:rsidRDefault="00124A50" w:rsidP="00124A50">
            <w:pPr>
              <w:spacing w:before="0" w:after="0"/>
              <w:rPr>
                <w:rFonts w:ascii="Arial Narrow" w:hAnsi="Arial Narrow" w:cs="Arial"/>
                <w:sz w:val="20"/>
              </w:rPr>
            </w:pPr>
            <w:r w:rsidRPr="00400559">
              <w:rPr>
                <w:rFonts w:ascii="Arial Narrow" w:hAnsi="Arial Narrow" w:cs="Arial"/>
                <w:sz w:val="20"/>
              </w:rPr>
              <w:t xml:space="preserve">PNGO  </w:t>
            </w:r>
          </w:p>
        </w:tc>
        <w:tc>
          <w:tcPr>
            <w:tcW w:w="733" w:type="pct"/>
            <w:gridSpan w:val="2"/>
            <w:shd w:val="clear" w:color="auto" w:fill="auto"/>
            <w:noWrap/>
            <w:vAlign w:val="center"/>
            <w:hideMark/>
          </w:tcPr>
          <w:p w:rsidR="00124A50" w:rsidRPr="00400559" w:rsidRDefault="00124A50" w:rsidP="00124A50">
            <w:pPr>
              <w:spacing w:before="0" w:after="0"/>
              <w:rPr>
                <w:rFonts w:ascii="Arial Narrow" w:hAnsi="Arial Narrow" w:cs="Arial"/>
                <w:sz w:val="20"/>
              </w:rPr>
            </w:pPr>
            <w:proofErr w:type="spellStart"/>
            <w:r w:rsidRPr="00400559">
              <w:rPr>
                <w:rFonts w:ascii="Arial Narrow" w:hAnsi="Arial Narrow" w:cs="Arial"/>
                <w:sz w:val="20"/>
              </w:rPr>
              <w:t>Hiba</w:t>
            </w:r>
            <w:proofErr w:type="spellEnd"/>
            <w:r w:rsidRPr="00400559">
              <w:rPr>
                <w:rFonts w:ascii="Arial Narrow" w:hAnsi="Arial Narrow" w:cs="Arial"/>
                <w:sz w:val="20"/>
              </w:rPr>
              <w:t xml:space="preserve"> </w:t>
            </w:r>
            <w:proofErr w:type="spellStart"/>
            <w:r w:rsidRPr="00400559">
              <w:rPr>
                <w:rFonts w:ascii="Arial Narrow" w:hAnsi="Arial Narrow" w:cs="Arial"/>
                <w:sz w:val="20"/>
              </w:rPr>
              <w:t>Husseini</w:t>
            </w:r>
            <w:proofErr w:type="spellEnd"/>
          </w:p>
        </w:tc>
        <w:tc>
          <w:tcPr>
            <w:tcW w:w="716" w:type="pct"/>
            <w:vAlign w:val="center"/>
          </w:tcPr>
          <w:p w:rsidR="00124A50" w:rsidRPr="00400559" w:rsidRDefault="00124A50" w:rsidP="00124A50">
            <w:pPr>
              <w:spacing w:before="0" w:after="0"/>
              <w:rPr>
                <w:rFonts w:ascii="Arial Narrow" w:hAnsi="Arial Narrow" w:cs="Arial"/>
                <w:sz w:val="20"/>
              </w:rPr>
            </w:pPr>
            <w:r w:rsidRPr="00400559">
              <w:rPr>
                <w:rFonts w:ascii="Arial Narrow" w:hAnsi="Arial Narrow" w:cs="Arial"/>
                <w:sz w:val="20"/>
              </w:rPr>
              <w:t>Al-</w:t>
            </w:r>
            <w:proofErr w:type="spellStart"/>
            <w:r w:rsidRPr="00400559">
              <w:rPr>
                <w:rFonts w:ascii="Arial Narrow" w:hAnsi="Arial Narrow" w:cs="Arial"/>
                <w:sz w:val="20"/>
              </w:rPr>
              <w:t>Mustaqbal</w:t>
            </w:r>
            <w:proofErr w:type="spellEnd"/>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rPr>
            </w:pPr>
            <w:r w:rsidRPr="00400559">
              <w:rPr>
                <w:rFonts w:ascii="Arial Narrow" w:hAnsi="Arial Narrow" w:cs="Arial"/>
                <w:sz w:val="20"/>
              </w:rPr>
              <w:t>Head</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OQR</w:t>
            </w:r>
          </w:p>
        </w:tc>
        <w:tc>
          <w:tcPr>
            <w:tcW w:w="733" w:type="pct"/>
            <w:gridSpan w:val="2"/>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 xml:space="preserve">BADER </w:t>
            </w:r>
          </w:p>
        </w:tc>
        <w:tc>
          <w:tcPr>
            <w:tcW w:w="716" w:type="pct"/>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ROCK</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Legal and policy adviser</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AMAN</w:t>
            </w:r>
          </w:p>
        </w:tc>
        <w:tc>
          <w:tcPr>
            <w:tcW w:w="733" w:type="pct"/>
            <w:gridSpan w:val="2"/>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 xml:space="preserve">AZMI </w:t>
            </w:r>
          </w:p>
        </w:tc>
        <w:tc>
          <w:tcPr>
            <w:tcW w:w="716" w:type="pct"/>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SHUAIBI</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Anti corruption Commissioner</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PALTRADE</w:t>
            </w:r>
          </w:p>
        </w:tc>
        <w:tc>
          <w:tcPr>
            <w:tcW w:w="733" w:type="pct"/>
            <w:gridSpan w:val="2"/>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 xml:space="preserve">HANAN </w:t>
            </w:r>
          </w:p>
        </w:tc>
        <w:tc>
          <w:tcPr>
            <w:tcW w:w="716" w:type="pct"/>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TAHA-RAYYAN</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Chief executive officer</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rPr>
                <w:rFonts w:ascii="Arial Narrow" w:hAnsi="Arial Narrow"/>
                <w:sz w:val="20"/>
              </w:rPr>
            </w:pPr>
            <w:r w:rsidRPr="00400559">
              <w:rPr>
                <w:rFonts w:ascii="Arial Narrow" w:hAnsi="Arial Narrow" w:cs="Arial"/>
                <w:sz w:val="20"/>
                <w:lang w:val="it-IT" w:eastAsia="it-IT"/>
              </w:rPr>
              <w:t>OQR</w:t>
            </w:r>
          </w:p>
        </w:tc>
        <w:tc>
          <w:tcPr>
            <w:tcW w:w="733" w:type="pct"/>
            <w:gridSpan w:val="2"/>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 xml:space="preserve">TIM </w:t>
            </w:r>
          </w:p>
        </w:tc>
        <w:tc>
          <w:tcPr>
            <w:tcW w:w="716" w:type="pct"/>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WILLIAMS</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proofErr w:type="spellStart"/>
            <w:r w:rsidRPr="00400559">
              <w:rPr>
                <w:rFonts w:ascii="Arial Narrow" w:hAnsi="Arial Narrow" w:cs="Arial"/>
                <w:sz w:val="20"/>
                <w:lang w:val="it-IT" w:eastAsia="it-IT"/>
              </w:rPr>
              <w:t>Movement</w:t>
            </w:r>
            <w:proofErr w:type="spellEnd"/>
            <w:r w:rsidRPr="00400559">
              <w:rPr>
                <w:rFonts w:ascii="Arial Narrow" w:hAnsi="Arial Narrow" w:cs="Arial"/>
                <w:sz w:val="20"/>
                <w:lang w:val="it-IT" w:eastAsia="it-IT"/>
              </w:rPr>
              <w:t xml:space="preserve"> and </w:t>
            </w:r>
            <w:proofErr w:type="spellStart"/>
            <w:r w:rsidRPr="00400559">
              <w:rPr>
                <w:rFonts w:ascii="Arial Narrow" w:hAnsi="Arial Narrow" w:cs="Arial"/>
                <w:sz w:val="20"/>
                <w:lang w:val="it-IT" w:eastAsia="it-IT"/>
              </w:rPr>
              <w:t>access</w:t>
            </w:r>
            <w:proofErr w:type="spellEnd"/>
            <w:r w:rsidRPr="00400559">
              <w:rPr>
                <w:rFonts w:ascii="Arial Narrow" w:hAnsi="Arial Narrow" w:cs="Arial"/>
                <w:sz w:val="20"/>
                <w:lang w:val="it-IT" w:eastAsia="it-IT"/>
              </w:rPr>
              <w:t xml:space="preserve"> </w:t>
            </w:r>
            <w:proofErr w:type="spellStart"/>
            <w:r w:rsidRPr="00400559">
              <w:rPr>
                <w:rFonts w:ascii="Arial Narrow" w:hAnsi="Arial Narrow" w:cs="Arial"/>
                <w:sz w:val="20"/>
                <w:lang w:val="it-IT" w:eastAsia="it-IT"/>
              </w:rPr>
              <w:t>adviser</w:t>
            </w:r>
            <w:proofErr w:type="spellEnd"/>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PALESTINIAN FED. OF INDUSTRIES</w:t>
            </w:r>
          </w:p>
        </w:tc>
        <w:tc>
          <w:tcPr>
            <w:tcW w:w="733" w:type="pct"/>
            <w:gridSpan w:val="2"/>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ODEH AL-</w:t>
            </w:r>
          </w:p>
        </w:tc>
        <w:tc>
          <w:tcPr>
            <w:tcW w:w="716" w:type="pct"/>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ZAGHMOURI</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Secretary General</w:t>
            </w:r>
          </w:p>
        </w:tc>
      </w:tr>
      <w:tr w:rsidR="00124A50" w:rsidRPr="00400559" w:rsidTr="00740262">
        <w:trPr>
          <w:trHeight w:val="360"/>
        </w:trPr>
        <w:tc>
          <w:tcPr>
            <w:tcW w:w="5000" w:type="pct"/>
            <w:gridSpan w:val="5"/>
            <w:shd w:val="clear" w:color="auto" w:fill="DBE5F1" w:themeFill="accent1" w:themeFillTint="33"/>
          </w:tcPr>
          <w:p w:rsidR="00124A50" w:rsidRPr="00400559" w:rsidRDefault="00124A50" w:rsidP="00124A50">
            <w:pPr>
              <w:spacing w:before="0" w:after="0"/>
              <w:jc w:val="center"/>
              <w:rPr>
                <w:rFonts w:ascii="Arial Narrow" w:hAnsi="Arial Narrow" w:cs="Arial"/>
                <w:b/>
                <w:sz w:val="20"/>
                <w:lang w:val="it-IT" w:eastAsia="it-IT"/>
              </w:rPr>
            </w:pPr>
            <w:proofErr w:type="spellStart"/>
            <w:r w:rsidRPr="00400559">
              <w:rPr>
                <w:rFonts w:ascii="Arial Narrow" w:hAnsi="Arial Narrow" w:cs="Arial"/>
                <w:b/>
                <w:sz w:val="20"/>
                <w:lang w:val="it-IT" w:eastAsia="it-IT"/>
              </w:rPr>
              <w:t>Multilateral</w:t>
            </w:r>
            <w:proofErr w:type="spellEnd"/>
            <w:r w:rsidRPr="00400559">
              <w:rPr>
                <w:rFonts w:ascii="Arial Narrow" w:hAnsi="Arial Narrow" w:cs="Arial"/>
                <w:b/>
                <w:sz w:val="20"/>
                <w:lang w:val="it-IT" w:eastAsia="it-IT"/>
              </w:rPr>
              <w:t xml:space="preserve"> </w:t>
            </w:r>
            <w:proofErr w:type="spellStart"/>
            <w:r w:rsidRPr="00400559">
              <w:rPr>
                <w:rFonts w:ascii="Arial Narrow" w:hAnsi="Arial Narrow" w:cs="Arial"/>
                <w:b/>
                <w:sz w:val="20"/>
                <w:lang w:val="it-IT" w:eastAsia="it-IT"/>
              </w:rPr>
              <w:t>Cooperation</w:t>
            </w:r>
            <w:proofErr w:type="spellEnd"/>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val="fr-FR" w:eastAsia="it-IT"/>
              </w:rPr>
            </w:pPr>
            <w:r w:rsidRPr="00400559">
              <w:rPr>
                <w:rFonts w:ascii="Arial Narrow" w:hAnsi="Arial Narrow" w:cs="Arial"/>
                <w:sz w:val="20"/>
                <w:lang w:val="fr-FR" w:eastAsia="it-IT"/>
              </w:rPr>
              <w:t xml:space="preserve">CENTRE DE MARSEILLE POUR L’INTEGRATION EN </w:t>
            </w:r>
            <w:r w:rsidRPr="00400559">
              <w:rPr>
                <w:rFonts w:ascii="Arial Narrow" w:hAnsi="Arial Narrow" w:cs="Arial"/>
                <w:sz w:val="20"/>
                <w:lang w:val="fr-FR" w:eastAsia="it-IT"/>
              </w:rPr>
              <w:lastRenderedPageBreak/>
              <w:t>MEDITERRANEE</w:t>
            </w:r>
          </w:p>
        </w:tc>
        <w:tc>
          <w:tcPr>
            <w:tcW w:w="733" w:type="pct"/>
            <w:gridSpan w:val="2"/>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lastRenderedPageBreak/>
              <w:t xml:space="preserve">MATS </w:t>
            </w:r>
          </w:p>
        </w:tc>
        <w:tc>
          <w:tcPr>
            <w:tcW w:w="716" w:type="pct"/>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KARLSSON</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proofErr w:type="spellStart"/>
            <w:r w:rsidRPr="00400559">
              <w:rPr>
                <w:rFonts w:ascii="Arial Narrow" w:hAnsi="Arial Narrow" w:cs="Arial"/>
                <w:sz w:val="20"/>
                <w:lang w:val="it-IT" w:eastAsia="it-IT"/>
              </w:rPr>
              <w:t>Directeur</w:t>
            </w:r>
            <w:proofErr w:type="spellEnd"/>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rPr>
                <w:rFonts w:ascii="Arial Narrow" w:hAnsi="Arial Narrow" w:cs="Arial"/>
                <w:sz w:val="20"/>
                <w:lang w:eastAsia="it-IT"/>
              </w:rPr>
            </w:pPr>
            <w:r w:rsidRPr="00400559">
              <w:rPr>
                <w:rFonts w:ascii="Arial Narrow" w:hAnsi="Arial Narrow" w:cs="Arial"/>
                <w:sz w:val="20"/>
                <w:lang w:eastAsia="it-IT"/>
              </w:rPr>
              <w:lastRenderedPageBreak/>
              <w:t>FAO</w:t>
            </w:r>
          </w:p>
        </w:tc>
        <w:tc>
          <w:tcPr>
            <w:tcW w:w="733" w:type="pct"/>
            <w:gridSpan w:val="2"/>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NADEJDA</w:t>
            </w:r>
          </w:p>
        </w:tc>
        <w:tc>
          <w:tcPr>
            <w:tcW w:w="716" w:type="pct"/>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DAGASH</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rPr>
            </w:pPr>
            <w:r w:rsidRPr="00400559">
              <w:rPr>
                <w:rFonts w:ascii="Arial Narrow" w:hAnsi="Arial Narrow" w:cs="Arial"/>
                <w:sz w:val="20"/>
              </w:rPr>
              <w:t xml:space="preserve">Agriculture Sector Coordinator </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rPr>
                <w:rFonts w:ascii="Arial Narrow" w:hAnsi="Arial Narrow" w:cs="Arial"/>
                <w:sz w:val="20"/>
                <w:lang w:eastAsia="it-IT"/>
              </w:rPr>
            </w:pPr>
            <w:r>
              <w:rPr>
                <w:rFonts w:ascii="Arial Narrow" w:hAnsi="Arial Narrow" w:cs="Arial"/>
                <w:sz w:val="20"/>
                <w:lang w:eastAsia="it-IT"/>
              </w:rPr>
              <w:t>FAO</w:t>
            </w:r>
          </w:p>
        </w:tc>
        <w:tc>
          <w:tcPr>
            <w:tcW w:w="733" w:type="pct"/>
            <w:gridSpan w:val="2"/>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Pr>
                <w:rFonts w:ascii="Arial Narrow" w:hAnsi="Arial Narrow" w:cs="Arial"/>
                <w:sz w:val="20"/>
                <w:lang w:eastAsia="it-IT"/>
              </w:rPr>
              <w:t>CYRIL</w:t>
            </w:r>
          </w:p>
        </w:tc>
        <w:tc>
          <w:tcPr>
            <w:tcW w:w="716" w:type="pct"/>
          </w:tcPr>
          <w:p w:rsidR="00124A50" w:rsidRPr="00400559" w:rsidRDefault="00124A50" w:rsidP="00124A50">
            <w:pPr>
              <w:spacing w:before="0" w:after="0"/>
              <w:jc w:val="left"/>
              <w:rPr>
                <w:rFonts w:ascii="Arial Narrow" w:hAnsi="Arial Narrow" w:cs="Arial"/>
                <w:sz w:val="20"/>
                <w:lang w:eastAsia="it-IT"/>
              </w:rPr>
            </w:pPr>
            <w:r>
              <w:rPr>
                <w:rFonts w:ascii="Arial Narrow" w:hAnsi="Arial Narrow" w:cs="Arial"/>
                <w:sz w:val="20"/>
                <w:lang w:eastAsia="it-IT"/>
              </w:rPr>
              <w:t>FERRAND</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rPr>
            </w:pPr>
            <w:r>
              <w:rPr>
                <w:rFonts w:ascii="Arial Narrow" w:hAnsi="Arial Narrow" w:cs="Arial"/>
                <w:sz w:val="20"/>
              </w:rPr>
              <w:t>Head of office</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IMF</w:t>
            </w:r>
          </w:p>
        </w:tc>
        <w:tc>
          <w:tcPr>
            <w:tcW w:w="733" w:type="pct"/>
            <w:gridSpan w:val="2"/>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 xml:space="preserve">UDO </w:t>
            </w:r>
          </w:p>
        </w:tc>
        <w:tc>
          <w:tcPr>
            <w:tcW w:w="716" w:type="pct"/>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KOCK</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Resident representative for West bank and Gaza</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ISLAMIC DEV. BANK</w:t>
            </w:r>
          </w:p>
        </w:tc>
        <w:tc>
          <w:tcPr>
            <w:tcW w:w="733" w:type="pct"/>
            <w:gridSpan w:val="2"/>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 xml:space="preserve">BASHIR OMAR MOHAMMED </w:t>
            </w:r>
          </w:p>
        </w:tc>
        <w:tc>
          <w:tcPr>
            <w:tcW w:w="716" w:type="pct"/>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FADLALLA</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Director Islamic solidarity Fund For Development</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rPr>
                <w:rFonts w:ascii="Arial Narrow" w:hAnsi="Arial Narrow" w:cs="Arial"/>
                <w:sz w:val="20"/>
                <w:lang w:eastAsia="it-IT"/>
              </w:rPr>
            </w:pPr>
            <w:r w:rsidRPr="00400559">
              <w:rPr>
                <w:rFonts w:ascii="Arial Narrow" w:hAnsi="Arial Narrow" w:cs="Arial"/>
                <w:sz w:val="20"/>
                <w:lang w:eastAsia="it-IT"/>
              </w:rPr>
              <w:t>UNDP</w:t>
            </w:r>
          </w:p>
        </w:tc>
        <w:tc>
          <w:tcPr>
            <w:tcW w:w="733" w:type="pct"/>
            <w:gridSpan w:val="2"/>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WALID</w:t>
            </w:r>
          </w:p>
        </w:tc>
        <w:tc>
          <w:tcPr>
            <w:tcW w:w="716" w:type="pct"/>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HASNA</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rPr>
            </w:pPr>
            <w:r w:rsidRPr="00400559">
              <w:rPr>
                <w:rFonts w:ascii="Arial Narrow" w:hAnsi="Arial Narrow" w:cs="Arial"/>
                <w:sz w:val="20"/>
              </w:rPr>
              <w:t xml:space="preserve">Head of Engineering and Infrastructure </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rPr>
                <w:rFonts w:ascii="Arial Narrow" w:hAnsi="Arial Narrow" w:cs="Arial"/>
                <w:sz w:val="20"/>
                <w:lang w:eastAsia="it-IT"/>
              </w:rPr>
            </w:pPr>
            <w:r w:rsidRPr="00400559">
              <w:rPr>
                <w:rFonts w:ascii="Arial Narrow" w:hAnsi="Arial Narrow" w:cs="Arial"/>
                <w:sz w:val="20"/>
                <w:lang w:eastAsia="it-IT"/>
              </w:rPr>
              <w:t>UNDP</w:t>
            </w:r>
          </w:p>
        </w:tc>
        <w:tc>
          <w:tcPr>
            <w:tcW w:w="733" w:type="pct"/>
            <w:gridSpan w:val="2"/>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RIMA ABUMIDDAIN</w:t>
            </w:r>
          </w:p>
        </w:tc>
        <w:tc>
          <w:tcPr>
            <w:tcW w:w="716" w:type="pct"/>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BARGHOTHI</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rPr>
            </w:pPr>
            <w:r w:rsidRPr="00400559">
              <w:rPr>
                <w:rFonts w:ascii="Arial Narrow" w:hAnsi="Arial Narrow" w:cs="Arial"/>
                <w:sz w:val="20"/>
              </w:rPr>
              <w:t>Team leader - Environment and natural resources 5UNDP/PAPP</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rPr>
                <w:rFonts w:ascii="Arial Narrow" w:hAnsi="Arial Narrow" w:cs="Arial"/>
                <w:sz w:val="20"/>
                <w:lang w:eastAsia="it-IT"/>
              </w:rPr>
            </w:pPr>
            <w:r w:rsidRPr="00400559">
              <w:rPr>
                <w:rFonts w:ascii="Arial Narrow" w:hAnsi="Arial Narrow" w:cs="Arial"/>
                <w:sz w:val="20"/>
                <w:lang w:eastAsia="it-IT"/>
              </w:rPr>
              <w:t>UNICEF</w:t>
            </w:r>
          </w:p>
        </w:tc>
        <w:tc>
          <w:tcPr>
            <w:tcW w:w="733" w:type="pct"/>
            <w:gridSpan w:val="2"/>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BILAS</w:t>
            </w:r>
          </w:p>
        </w:tc>
        <w:tc>
          <w:tcPr>
            <w:tcW w:w="716" w:type="pct"/>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DONGOL</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rPr>
              <w:t xml:space="preserve">Chief, WASH </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rPr>
                <w:rFonts w:ascii="Arial Narrow" w:hAnsi="Arial Narrow" w:cs="Arial"/>
                <w:sz w:val="20"/>
                <w:lang w:eastAsia="it-IT"/>
              </w:rPr>
            </w:pPr>
            <w:r>
              <w:rPr>
                <w:rFonts w:ascii="Arial Narrow" w:hAnsi="Arial Narrow" w:cs="Arial"/>
                <w:sz w:val="20"/>
                <w:lang w:eastAsia="it-IT"/>
              </w:rPr>
              <w:t>UNICEF</w:t>
            </w:r>
          </w:p>
        </w:tc>
        <w:tc>
          <w:tcPr>
            <w:tcW w:w="733" w:type="pct"/>
            <w:gridSpan w:val="2"/>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Pr>
                <w:rFonts w:ascii="Arial Narrow" w:hAnsi="Arial Narrow" w:cs="Arial"/>
                <w:sz w:val="20"/>
                <w:lang w:eastAsia="it-IT"/>
              </w:rPr>
              <w:t>KUMIKO</w:t>
            </w:r>
          </w:p>
        </w:tc>
        <w:tc>
          <w:tcPr>
            <w:tcW w:w="716" w:type="pct"/>
          </w:tcPr>
          <w:p w:rsidR="00124A50" w:rsidRPr="00400559" w:rsidRDefault="00124A50" w:rsidP="00124A50">
            <w:pPr>
              <w:spacing w:before="0" w:after="0"/>
              <w:jc w:val="left"/>
              <w:rPr>
                <w:rFonts w:ascii="Arial Narrow" w:hAnsi="Arial Narrow" w:cs="Arial"/>
                <w:sz w:val="20"/>
                <w:lang w:eastAsia="it-IT"/>
              </w:rPr>
            </w:pPr>
            <w:r>
              <w:rPr>
                <w:rFonts w:ascii="Arial Narrow" w:hAnsi="Arial Narrow" w:cs="Arial"/>
                <w:sz w:val="20"/>
                <w:lang w:eastAsia="it-IT"/>
              </w:rPr>
              <w:t>IMAI</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rPr>
            </w:pPr>
            <w:r>
              <w:rPr>
                <w:rFonts w:ascii="Arial Narrow" w:hAnsi="Arial Narrow" w:cs="Arial"/>
                <w:sz w:val="20"/>
              </w:rPr>
              <w:t>Chief Social Policy, Occupied Palestinian Territory</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rPr>
                <w:rFonts w:ascii="Arial Narrow" w:hAnsi="Arial Narrow"/>
                <w:sz w:val="20"/>
              </w:rPr>
            </w:pPr>
            <w:r w:rsidRPr="00400559">
              <w:rPr>
                <w:rFonts w:ascii="Arial Narrow" w:hAnsi="Arial Narrow" w:cs="Arial"/>
                <w:sz w:val="20"/>
                <w:lang w:eastAsia="it-IT"/>
              </w:rPr>
              <w:t>UNICEF</w:t>
            </w:r>
          </w:p>
        </w:tc>
        <w:tc>
          <w:tcPr>
            <w:tcW w:w="733" w:type="pct"/>
            <w:gridSpan w:val="2"/>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MOHANLAL</w:t>
            </w:r>
          </w:p>
        </w:tc>
        <w:tc>
          <w:tcPr>
            <w:tcW w:w="716" w:type="pct"/>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PEIRIS</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rPr>
              <w:t xml:space="preserve">WASH Specialist </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rPr>
                <w:rFonts w:ascii="Arial Narrow" w:hAnsi="Arial Narrow"/>
                <w:sz w:val="20"/>
              </w:rPr>
            </w:pPr>
            <w:r w:rsidRPr="00400559">
              <w:rPr>
                <w:rFonts w:ascii="Arial Narrow" w:hAnsi="Arial Narrow" w:cs="Arial"/>
                <w:sz w:val="20"/>
                <w:lang w:eastAsia="it-IT"/>
              </w:rPr>
              <w:t>UNICEF</w:t>
            </w:r>
          </w:p>
        </w:tc>
        <w:tc>
          <w:tcPr>
            <w:tcW w:w="733" w:type="pct"/>
            <w:gridSpan w:val="2"/>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CAROL</w:t>
            </w:r>
          </w:p>
        </w:tc>
        <w:tc>
          <w:tcPr>
            <w:tcW w:w="716" w:type="pct"/>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AWAD</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rPr>
              <w:t xml:space="preserve">Officer, WASH </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rPr>
                <w:rFonts w:ascii="Arial Narrow" w:hAnsi="Arial Narrow" w:cs="Arial"/>
                <w:sz w:val="20"/>
                <w:lang w:val="it-IT" w:eastAsia="it-IT"/>
              </w:rPr>
            </w:pPr>
            <w:r w:rsidRPr="00400559">
              <w:rPr>
                <w:rFonts w:ascii="Arial Narrow" w:hAnsi="Arial Narrow" w:cs="Arial"/>
                <w:sz w:val="20"/>
              </w:rPr>
              <w:t>UNRWA</w:t>
            </w:r>
          </w:p>
        </w:tc>
        <w:tc>
          <w:tcPr>
            <w:tcW w:w="733" w:type="pct"/>
            <w:gridSpan w:val="2"/>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rPr>
              <w:t>Michelle</w:t>
            </w:r>
          </w:p>
        </w:tc>
        <w:tc>
          <w:tcPr>
            <w:tcW w:w="716" w:type="pct"/>
          </w:tcPr>
          <w:p w:rsidR="00124A50" w:rsidRPr="00400559" w:rsidRDefault="00124A50" w:rsidP="00124A50">
            <w:pPr>
              <w:spacing w:before="0" w:after="0"/>
              <w:jc w:val="left"/>
              <w:rPr>
                <w:rFonts w:ascii="Arial Narrow" w:hAnsi="Arial Narrow" w:cs="Arial"/>
                <w:sz w:val="20"/>
                <w:lang w:eastAsia="it-IT"/>
              </w:rPr>
            </w:pPr>
            <w:proofErr w:type="spellStart"/>
            <w:r w:rsidRPr="00400559">
              <w:rPr>
                <w:rFonts w:ascii="Arial Narrow" w:hAnsi="Arial Narrow" w:cs="Arial"/>
                <w:sz w:val="20"/>
              </w:rPr>
              <w:t>Labeeu</w:t>
            </w:r>
            <w:proofErr w:type="spellEnd"/>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rPr>
              <w:t>macro-economic support, PEGASE,</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rPr>
                <w:rFonts w:ascii="Arial Narrow" w:hAnsi="Arial Narrow" w:cs="Arial"/>
                <w:sz w:val="20"/>
              </w:rPr>
            </w:pPr>
            <w:r>
              <w:rPr>
                <w:rFonts w:ascii="Arial Narrow" w:hAnsi="Arial Narrow" w:cs="Arial"/>
                <w:sz w:val="20"/>
              </w:rPr>
              <w:t>UNRWA</w:t>
            </w:r>
          </w:p>
        </w:tc>
        <w:tc>
          <w:tcPr>
            <w:tcW w:w="733" w:type="pct"/>
            <w:gridSpan w:val="2"/>
            <w:shd w:val="clear" w:color="auto" w:fill="auto"/>
            <w:noWrap/>
            <w:hideMark/>
          </w:tcPr>
          <w:p w:rsidR="00124A50" w:rsidRPr="00400559" w:rsidRDefault="00124A50" w:rsidP="00124A50">
            <w:pPr>
              <w:spacing w:before="0" w:after="0"/>
              <w:jc w:val="left"/>
              <w:rPr>
                <w:rFonts w:ascii="Arial Narrow" w:hAnsi="Arial Narrow" w:cs="Arial"/>
                <w:sz w:val="20"/>
              </w:rPr>
            </w:pPr>
            <w:r>
              <w:rPr>
                <w:rFonts w:ascii="Arial Narrow" w:hAnsi="Arial Narrow" w:cs="Arial"/>
                <w:sz w:val="20"/>
              </w:rPr>
              <w:t>MEG</w:t>
            </w:r>
          </w:p>
        </w:tc>
        <w:tc>
          <w:tcPr>
            <w:tcW w:w="716" w:type="pct"/>
          </w:tcPr>
          <w:p w:rsidR="00124A50" w:rsidRPr="00400559" w:rsidRDefault="00124A50" w:rsidP="00124A50">
            <w:pPr>
              <w:spacing w:before="0" w:after="0"/>
              <w:jc w:val="left"/>
              <w:rPr>
                <w:rFonts w:ascii="Arial Narrow" w:hAnsi="Arial Narrow" w:cs="Arial"/>
                <w:sz w:val="20"/>
              </w:rPr>
            </w:pPr>
            <w:r>
              <w:rPr>
                <w:rFonts w:ascii="Arial Narrow" w:hAnsi="Arial Narrow" w:cs="Arial"/>
                <w:sz w:val="20"/>
              </w:rPr>
              <w:t>AUDETTE</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rPr>
            </w:pPr>
            <w:r>
              <w:rPr>
                <w:rFonts w:ascii="Arial Narrow" w:hAnsi="Arial Narrow" w:cs="Arial"/>
                <w:sz w:val="20"/>
              </w:rPr>
              <w:t xml:space="preserve">Field </w:t>
            </w:r>
            <w:proofErr w:type="spellStart"/>
            <w:r>
              <w:rPr>
                <w:rFonts w:ascii="Arial Narrow" w:hAnsi="Arial Narrow" w:cs="Arial"/>
                <w:sz w:val="20"/>
              </w:rPr>
              <w:t>Programme</w:t>
            </w:r>
            <w:proofErr w:type="spellEnd"/>
            <w:r>
              <w:rPr>
                <w:rFonts w:ascii="Arial Narrow" w:hAnsi="Arial Narrow" w:cs="Arial"/>
                <w:sz w:val="20"/>
              </w:rPr>
              <w:t xml:space="preserve"> Support Officer</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UNRWA</w:t>
            </w:r>
          </w:p>
        </w:tc>
        <w:tc>
          <w:tcPr>
            <w:tcW w:w="733" w:type="pct"/>
            <w:gridSpan w:val="2"/>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proofErr w:type="spellStart"/>
            <w:r w:rsidRPr="00400559">
              <w:rPr>
                <w:rFonts w:ascii="Arial Narrow" w:hAnsi="Arial Narrow" w:cs="Arial"/>
                <w:sz w:val="20"/>
                <w:lang w:val="it-IT" w:eastAsia="it-IT"/>
              </w:rPr>
              <w:t>Esther</w:t>
            </w:r>
            <w:proofErr w:type="spellEnd"/>
            <w:r w:rsidRPr="00400559">
              <w:rPr>
                <w:rFonts w:ascii="Arial Narrow" w:hAnsi="Arial Narrow" w:cs="Arial"/>
                <w:sz w:val="20"/>
                <w:lang w:val="it-IT" w:eastAsia="it-IT"/>
              </w:rPr>
              <w:t xml:space="preserve"> </w:t>
            </w:r>
            <w:proofErr w:type="spellStart"/>
            <w:r w:rsidRPr="00400559">
              <w:rPr>
                <w:rFonts w:ascii="Arial Narrow" w:hAnsi="Arial Narrow" w:cs="Arial"/>
                <w:sz w:val="20"/>
                <w:lang w:val="it-IT" w:eastAsia="it-IT"/>
              </w:rPr>
              <w:t>kuish-</w:t>
            </w:r>
            <w:proofErr w:type="spellEnd"/>
            <w:r w:rsidRPr="00400559">
              <w:rPr>
                <w:rFonts w:ascii="Arial Narrow" w:hAnsi="Arial Narrow" w:cs="Arial"/>
                <w:sz w:val="20"/>
                <w:lang w:val="it-IT" w:eastAsia="it-IT"/>
              </w:rPr>
              <w:t xml:space="preserve"> </w:t>
            </w:r>
          </w:p>
        </w:tc>
        <w:tc>
          <w:tcPr>
            <w:tcW w:w="716" w:type="pct"/>
          </w:tcPr>
          <w:p w:rsidR="00124A50" w:rsidRPr="00400559" w:rsidRDefault="00124A50" w:rsidP="00124A50">
            <w:pPr>
              <w:spacing w:before="0" w:after="0"/>
              <w:jc w:val="left"/>
              <w:rPr>
                <w:rFonts w:ascii="Arial Narrow" w:hAnsi="Arial Narrow" w:cs="Arial"/>
                <w:sz w:val="20"/>
                <w:lang w:eastAsia="it-IT"/>
              </w:rPr>
            </w:pPr>
            <w:proofErr w:type="spellStart"/>
            <w:r w:rsidRPr="00400559">
              <w:rPr>
                <w:rFonts w:ascii="Arial Narrow" w:hAnsi="Arial Narrow" w:cs="Arial"/>
                <w:sz w:val="20"/>
                <w:lang w:val="it-IT" w:eastAsia="it-IT"/>
              </w:rPr>
              <w:t>Laroche</w:t>
            </w:r>
            <w:proofErr w:type="spellEnd"/>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 xml:space="preserve">Chief Donor Relations division </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UNRWA</w:t>
            </w:r>
          </w:p>
        </w:tc>
        <w:tc>
          <w:tcPr>
            <w:tcW w:w="733" w:type="pct"/>
            <w:gridSpan w:val="2"/>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 xml:space="preserve">Anna </w:t>
            </w:r>
            <w:proofErr w:type="spellStart"/>
            <w:r w:rsidRPr="00400559">
              <w:rPr>
                <w:rFonts w:ascii="Arial Narrow" w:hAnsi="Arial Narrow" w:cs="Arial"/>
                <w:sz w:val="20"/>
                <w:lang w:val="it-IT" w:eastAsia="it-IT"/>
              </w:rPr>
              <w:t>Trolle-</w:t>
            </w:r>
            <w:proofErr w:type="spellEnd"/>
          </w:p>
        </w:tc>
        <w:tc>
          <w:tcPr>
            <w:tcW w:w="716" w:type="pct"/>
          </w:tcPr>
          <w:p w:rsidR="00124A50" w:rsidRPr="00400559" w:rsidRDefault="00124A50" w:rsidP="00124A50">
            <w:pPr>
              <w:spacing w:before="0" w:after="0"/>
              <w:jc w:val="left"/>
              <w:rPr>
                <w:rFonts w:ascii="Arial Narrow" w:hAnsi="Arial Narrow" w:cs="Arial"/>
                <w:sz w:val="20"/>
                <w:lang w:eastAsia="it-IT"/>
              </w:rPr>
            </w:pPr>
            <w:proofErr w:type="spellStart"/>
            <w:r w:rsidRPr="00400559">
              <w:rPr>
                <w:rFonts w:ascii="Arial Narrow" w:hAnsi="Arial Narrow" w:cs="Arial"/>
                <w:sz w:val="20"/>
                <w:lang w:val="it-IT" w:eastAsia="it-IT"/>
              </w:rPr>
              <w:t>Lindgren</w:t>
            </w:r>
            <w:proofErr w:type="spellEnd"/>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 xml:space="preserve">Senior External Relations and projects officers donor relations division </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UNRWA</w:t>
            </w:r>
          </w:p>
        </w:tc>
        <w:tc>
          <w:tcPr>
            <w:tcW w:w="733" w:type="pct"/>
            <w:gridSpan w:val="2"/>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 xml:space="preserve">Salvatore </w:t>
            </w:r>
          </w:p>
        </w:tc>
        <w:tc>
          <w:tcPr>
            <w:tcW w:w="716" w:type="pct"/>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val="it-IT" w:eastAsia="it-IT"/>
              </w:rPr>
              <w:t>Lombardo</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Director</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UNRWA</w:t>
            </w:r>
          </w:p>
        </w:tc>
        <w:tc>
          <w:tcPr>
            <w:tcW w:w="733" w:type="pct"/>
            <w:gridSpan w:val="2"/>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 xml:space="preserve">Scott </w:t>
            </w:r>
          </w:p>
        </w:tc>
        <w:tc>
          <w:tcPr>
            <w:tcW w:w="716" w:type="pct"/>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val="it-IT" w:eastAsia="it-IT"/>
              </w:rPr>
              <w:t>Anderson</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Deputy Director of UNRWA operations - Gaza</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UNRWA</w:t>
            </w:r>
          </w:p>
        </w:tc>
        <w:tc>
          <w:tcPr>
            <w:tcW w:w="733" w:type="pct"/>
            <w:gridSpan w:val="2"/>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 xml:space="preserve">Virginia </w:t>
            </w:r>
            <w:proofErr w:type="spellStart"/>
            <w:r w:rsidRPr="00400559">
              <w:rPr>
                <w:rFonts w:ascii="Arial Narrow" w:hAnsi="Arial Narrow" w:cs="Arial"/>
                <w:sz w:val="20"/>
                <w:lang w:eastAsia="it-IT"/>
              </w:rPr>
              <w:t>Villar</w:t>
            </w:r>
            <w:proofErr w:type="spellEnd"/>
            <w:r w:rsidRPr="00400559">
              <w:rPr>
                <w:rFonts w:ascii="Arial Narrow" w:hAnsi="Arial Narrow" w:cs="Arial"/>
                <w:sz w:val="20"/>
                <w:lang w:eastAsia="it-IT"/>
              </w:rPr>
              <w:t xml:space="preserve"> </w:t>
            </w:r>
          </w:p>
        </w:tc>
        <w:tc>
          <w:tcPr>
            <w:tcW w:w="716" w:type="pct"/>
          </w:tcPr>
          <w:p w:rsidR="00124A50" w:rsidRPr="00400559" w:rsidRDefault="00124A50" w:rsidP="00124A50">
            <w:pPr>
              <w:spacing w:before="0" w:after="0"/>
              <w:jc w:val="left"/>
              <w:rPr>
                <w:rFonts w:ascii="Arial Narrow" w:hAnsi="Arial Narrow" w:cs="Arial"/>
                <w:sz w:val="20"/>
                <w:lang w:eastAsia="it-IT"/>
              </w:rPr>
            </w:pPr>
            <w:proofErr w:type="spellStart"/>
            <w:r w:rsidRPr="00400559">
              <w:rPr>
                <w:rFonts w:ascii="Arial Narrow" w:hAnsi="Arial Narrow" w:cs="Arial"/>
                <w:sz w:val="20"/>
                <w:lang w:eastAsia="it-IT"/>
              </w:rPr>
              <w:t>Arribas</w:t>
            </w:r>
            <w:proofErr w:type="spellEnd"/>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proofErr w:type="spellStart"/>
            <w:r w:rsidRPr="00400559">
              <w:rPr>
                <w:rFonts w:ascii="Arial Narrow" w:hAnsi="Arial Narrow" w:cs="Arial"/>
                <w:sz w:val="20"/>
                <w:lang w:eastAsia="it-IT"/>
              </w:rPr>
              <w:t>Liason</w:t>
            </w:r>
            <w:proofErr w:type="spellEnd"/>
            <w:r w:rsidRPr="00400559">
              <w:rPr>
                <w:rFonts w:ascii="Arial Narrow" w:hAnsi="Arial Narrow" w:cs="Arial"/>
                <w:sz w:val="20"/>
                <w:lang w:eastAsia="it-IT"/>
              </w:rPr>
              <w:t xml:space="preserve"> Officer</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UNRWA</w:t>
            </w:r>
          </w:p>
        </w:tc>
        <w:tc>
          <w:tcPr>
            <w:tcW w:w="733" w:type="pct"/>
            <w:gridSpan w:val="2"/>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 xml:space="preserve">Matthias H.T. </w:t>
            </w:r>
          </w:p>
        </w:tc>
        <w:tc>
          <w:tcPr>
            <w:tcW w:w="716" w:type="pct"/>
          </w:tcPr>
          <w:p w:rsidR="00124A50" w:rsidRPr="00400559" w:rsidRDefault="00124A50" w:rsidP="00124A50">
            <w:pPr>
              <w:spacing w:before="0" w:after="0"/>
              <w:jc w:val="left"/>
              <w:rPr>
                <w:rFonts w:ascii="Arial Narrow" w:hAnsi="Arial Narrow" w:cs="Arial"/>
                <w:sz w:val="20"/>
                <w:lang w:eastAsia="it-IT"/>
              </w:rPr>
            </w:pPr>
            <w:proofErr w:type="spellStart"/>
            <w:r w:rsidRPr="00400559">
              <w:rPr>
                <w:rFonts w:ascii="Arial Narrow" w:hAnsi="Arial Narrow" w:cs="Arial"/>
                <w:sz w:val="20"/>
                <w:lang w:eastAsia="it-IT"/>
              </w:rPr>
              <w:t>Burchard</w:t>
            </w:r>
            <w:proofErr w:type="spellEnd"/>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Director UNRWA</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UNRWA</w:t>
            </w:r>
          </w:p>
        </w:tc>
        <w:tc>
          <w:tcPr>
            <w:tcW w:w="733" w:type="pct"/>
            <w:gridSpan w:val="2"/>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 xml:space="preserve">David </w:t>
            </w:r>
          </w:p>
        </w:tc>
        <w:tc>
          <w:tcPr>
            <w:tcW w:w="716" w:type="pct"/>
          </w:tcPr>
          <w:p w:rsidR="00124A50" w:rsidRPr="00400559" w:rsidRDefault="00124A50" w:rsidP="00124A50">
            <w:pPr>
              <w:spacing w:before="0" w:after="0"/>
              <w:jc w:val="left"/>
              <w:rPr>
                <w:rFonts w:ascii="Arial Narrow" w:hAnsi="Arial Narrow" w:cs="Arial"/>
                <w:sz w:val="20"/>
                <w:lang w:eastAsia="it-IT"/>
              </w:rPr>
            </w:pPr>
            <w:proofErr w:type="spellStart"/>
            <w:r w:rsidRPr="00400559">
              <w:rPr>
                <w:rFonts w:ascii="Arial Narrow" w:hAnsi="Arial Narrow" w:cs="Arial"/>
                <w:sz w:val="20"/>
                <w:lang w:val="it-IT" w:eastAsia="it-IT"/>
              </w:rPr>
              <w:t>Hutton</w:t>
            </w:r>
            <w:proofErr w:type="spellEnd"/>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Deputy Director of URWA Operations (</w:t>
            </w:r>
            <w:proofErr w:type="spellStart"/>
            <w:r w:rsidRPr="00400559">
              <w:rPr>
                <w:rFonts w:ascii="Arial Narrow" w:hAnsi="Arial Narrow" w:cs="Arial"/>
                <w:sz w:val="20"/>
                <w:lang w:eastAsia="it-IT"/>
              </w:rPr>
              <w:t>Programme</w:t>
            </w:r>
            <w:proofErr w:type="spellEnd"/>
            <w:r w:rsidRPr="00400559">
              <w:rPr>
                <w:rFonts w:ascii="Arial Narrow" w:hAnsi="Arial Narrow" w:cs="Arial"/>
                <w:sz w:val="20"/>
                <w:lang w:eastAsia="it-IT"/>
              </w:rPr>
              <w:t xml:space="preserve">) </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UNRWA</w:t>
            </w:r>
          </w:p>
        </w:tc>
        <w:tc>
          <w:tcPr>
            <w:tcW w:w="733" w:type="pct"/>
            <w:gridSpan w:val="2"/>
            <w:shd w:val="clear" w:color="auto" w:fill="auto"/>
            <w:noWrap/>
            <w:hideMark/>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 xml:space="preserve">Felipe </w:t>
            </w:r>
          </w:p>
        </w:tc>
        <w:tc>
          <w:tcPr>
            <w:tcW w:w="716" w:type="pct"/>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val="it-IT" w:eastAsia="it-IT"/>
              </w:rPr>
              <w:t>Sanchez</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Director of URWA Operations West Bank</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rPr>
                <w:rFonts w:ascii="Arial Narrow" w:hAnsi="Arial Narrow"/>
                <w:sz w:val="20"/>
              </w:rPr>
            </w:pPr>
            <w:r w:rsidRPr="00400559">
              <w:rPr>
                <w:rFonts w:ascii="Arial Narrow" w:hAnsi="Arial Narrow" w:cs="Arial"/>
                <w:sz w:val="20"/>
                <w:lang w:eastAsia="it-IT"/>
              </w:rPr>
              <w:t>WB</w:t>
            </w:r>
          </w:p>
        </w:tc>
        <w:tc>
          <w:tcPr>
            <w:tcW w:w="733" w:type="pct"/>
            <w:gridSpan w:val="2"/>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MARIAM</w:t>
            </w:r>
          </w:p>
        </w:tc>
        <w:tc>
          <w:tcPr>
            <w:tcW w:w="716" w:type="pct"/>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SHERMAN</w:t>
            </w:r>
          </w:p>
        </w:tc>
        <w:tc>
          <w:tcPr>
            <w:tcW w:w="2716" w:type="pct"/>
            <w:shd w:val="clear" w:color="auto" w:fill="auto"/>
            <w:noWrap/>
            <w:hideMark/>
          </w:tcPr>
          <w:p w:rsidR="00124A50" w:rsidRPr="004618FE" w:rsidRDefault="00124A50" w:rsidP="00124A50">
            <w:pPr>
              <w:spacing w:before="0" w:after="0"/>
              <w:jc w:val="left"/>
              <w:rPr>
                <w:rFonts w:ascii="Arial Narrow" w:hAnsi="Arial Narrow" w:cs="Arial"/>
                <w:sz w:val="20"/>
                <w:lang w:eastAsia="it-IT"/>
              </w:rPr>
            </w:pPr>
            <w:r w:rsidRPr="004618FE">
              <w:rPr>
                <w:rFonts w:ascii="Arial Narrow" w:hAnsi="Arial Narrow"/>
              </w:rPr>
              <w:t>Country Director West Bank and Gaza</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rPr>
                <w:rFonts w:ascii="Arial Narrow" w:hAnsi="Arial Narrow" w:cs="Arial"/>
                <w:sz w:val="20"/>
                <w:lang w:eastAsia="it-IT"/>
              </w:rPr>
            </w:pPr>
            <w:r>
              <w:rPr>
                <w:rFonts w:ascii="Arial Narrow" w:hAnsi="Arial Narrow" w:cs="Arial"/>
                <w:sz w:val="20"/>
                <w:lang w:eastAsia="it-IT"/>
              </w:rPr>
              <w:t>WB</w:t>
            </w:r>
          </w:p>
        </w:tc>
        <w:tc>
          <w:tcPr>
            <w:tcW w:w="733" w:type="pct"/>
            <w:gridSpan w:val="2"/>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Pr>
                <w:rFonts w:ascii="Arial Narrow" w:hAnsi="Arial Narrow" w:cs="Arial"/>
                <w:sz w:val="20"/>
                <w:lang w:eastAsia="it-IT"/>
              </w:rPr>
              <w:t>DINA</w:t>
            </w:r>
          </w:p>
        </w:tc>
        <w:tc>
          <w:tcPr>
            <w:tcW w:w="716" w:type="pct"/>
          </w:tcPr>
          <w:p w:rsidR="00124A50" w:rsidRPr="00400559" w:rsidRDefault="00124A50" w:rsidP="00124A50">
            <w:pPr>
              <w:spacing w:before="0" w:after="0"/>
              <w:jc w:val="left"/>
              <w:rPr>
                <w:rFonts w:ascii="Arial Narrow" w:hAnsi="Arial Narrow" w:cs="Arial"/>
                <w:sz w:val="20"/>
                <w:lang w:eastAsia="it-IT"/>
              </w:rPr>
            </w:pPr>
            <w:r>
              <w:rPr>
                <w:rFonts w:ascii="Arial Narrow" w:hAnsi="Arial Narrow" w:cs="Arial"/>
                <w:sz w:val="20"/>
                <w:lang w:eastAsia="it-IT"/>
              </w:rPr>
              <w:t>ABU-GHAIDA</w:t>
            </w:r>
          </w:p>
        </w:tc>
        <w:tc>
          <w:tcPr>
            <w:tcW w:w="2716" w:type="pct"/>
            <w:shd w:val="clear" w:color="auto" w:fill="auto"/>
            <w:noWrap/>
            <w:hideMark/>
          </w:tcPr>
          <w:p w:rsidR="00124A50" w:rsidRPr="004618FE" w:rsidRDefault="00124A50" w:rsidP="00124A50">
            <w:pPr>
              <w:spacing w:before="0" w:after="0"/>
              <w:jc w:val="left"/>
              <w:rPr>
                <w:rFonts w:ascii="Arial Narrow" w:hAnsi="Arial Narrow"/>
              </w:rPr>
            </w:pPr>
            <w:r w:rsidRPr="004618FE">
              <w:rPr>
                <w:rFonts w:ascii="Arial Narrow" w:hAnsi="Arial Narrow"/>
              </w:rPr>
              <w:t xml:space="preserve">Senior economist Human Development DPT Middle east and North </w:t>
            </w:r>
            <w:proofErr w:type="spellStart"/>
            <w:r w:rsidRPr="004618FE">
              <w:rPr>
                <w:rFonts w:ascii="Arial Narrow" w:hAnsi="Arial Narrow"/>
              </w:rPr>
              <w:t>africa</w:t>
            </w:r>
            <w:proofErr w:type="spellEnd"/>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rPr>
                <w:rFonts w:ascii="Arial Narrow" w:hAnsi="Arial Narrow"/>
                <w:sz w:val="20"/>
              </w:rPr>
            </w:pPr>
            <w:r w:rsidRPr="00400559">
              <w:rPr>
                <w:rFonts w:ascii="Arial Narrow" w:hAnsi="Arial Narrow" w:cs="Arial"/>
                <w:sz w:val="20"/>
                <w:lang w:eastAsia="it-IT"/>
              </w:rPr>
              <w:t>WB</w:t>
            </w:r>
          </w:p>
        </w:tc>
        <w:tc>
          <w:tcPr>
            <w:tcW w:w="733" w:type="pct"/>
            <w:gridSpan w:val="2"/>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PIERRE</w:t>
            </w:r>
          </w:p>
        </w:tc>
        <w:tc>
          <w:tcPr>
            <w:tcW w:w="716" w:type="pct"/>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MASALLI</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Senior Public Administration</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rPr>
                <w:rFonts w:ascii="Arial Narrow" w:hAnsi="Arial Narrow"/>
                <w:sz w:val="20"/>
              </w:rPr>
            </w:pPr>
            <w:r w:rsidRPr="00400559">
              <w:rPr>
                <w:rFonts w:ascii="Arial Narrow" w:hAnsi="Arial Narrow" w:cs="Arial"/>
                <w:sz w:val="20"/>
                <w:lang w:eastAsia="it-IT"/>
              </w:rPr>
              <w:t>WB</w:t>
            </w:r>
          </w:p>
        </w:tc>
        <w:tc>
          <w:tcPr>
            <w:tcW w:w="733" w:type="pct"/>
            <w:gridSpan w:val="2"/>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JOHN</w:t>
            </w:r>
          </w:p>
        </w:tc>
        <w:tc>
          <w:tcPr>
            <w:tcW w:w="716" w:type="pct"/>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NASIR</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Economic adviser</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WB</w:t>
            </w:r>
          </w:p>
        </w:tc>
        <w:tc>
          <w:tcPr>
            <w:tcW w:w="733" w:type="pct"/>
            <w:gridSpan w:val="2"/>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OHRAN</w:t>
            </w:r>
          </w:p>
        </w:tc>
        <w:tc>
          <w:tcPr>
            <w:tcW w:w="716" w:type="pct"/>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NIKSIC</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 xml:space="preserve">Senior </w:t>
            </w:r>
            <w:r w:rsidRPr="00EF66BB">
              <w:rPr>
                <w:rFonts w:ascii="Arial Narrow" w:hAnsi="Arial Narrow" w:cs="Arial"/>
                <w:sz w:val="20"/>
                <w:lang w:eastAsia="it-IT"/>
              </w:rPr>
              <w:t>Country</w:t>
            </w:r>
            <w:r w:rsidRPr="00400559">
              <w:rPr>
                <w:rFonts w:ascii="Arial Narrow" w:hAnsi="Arial Narrow" w:cs="Arial"/>
                <w:sz w:val="20"/>
                <w:lang w:eastAsia="it-IT"/>
              </w:rPr>
              <w:t xml:space="preserve"> Economist</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rPr>
                <w:rFonts w:ascii="Arial Narrow" w:hAnsi="Arial Narrow"/>
                <w:sz w:val="20"/>
              </w:rPr>
            </w:pPr>
            <w:r w:rsidRPr="00400559">
              <w:rPr>
                <w:rFonts w:ascii="Arial Narrow" w:hAnsi="Arial Narrow" w:cs="Arial"/>
                <w:sz w:val="20"/>
                <w:lang w:eastAsia="it-IT"/>
              </w:rPr>
              <w:t>WB</w:t>
            </w:r>
          </w:p>
        </w:tc>
        <w:tc>
          <w:tcPr>
            <w:tcW w:w="733" w:type="pct"/>
            <w:gridSpan w:val="2"/>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 xml:space="preserve">NABILA </w:t>
            </w:r>
          </w:p>
        </w:tc>
        <w:tc>
          <w:tcPr>
            <w:tcW w:w="716" w:type="pct"/>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ASSAF</w:t>
            </w:r>
          </w:p>
        </w:tc>
        <w:tc>
          <w:tcPr>
            <w:tcW w:w="2716" w:type="pct"/>
            <w:shd w:val="clear" w:color="auto" w:fill="auto"/>
            <w:noWrap/>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Manager, private sector</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rPr>
                <w:rFonts w:ascii="Arial Narrow" w:hAnsi="Arial Narrow"/>
                <w:sz w:val="20"/>
              </w:rPr>
            </w:pPr>
            <w:r w:rsidRPr="00400559">
              <w:rPr>
                <w:rFonts w:ascii="Arial Narrow" w:hAnsi="Arial Narrow" w:cs="Arial"/>
                <w:sz w:val="20"/>
                <w:lang w:eastAsia="it-IT"/>
              </w:rPr>
              <w:t>WB</w:t>
            </w:r>
          </w:p>
        </w:tc>
        <w:tc>
          <w:tcPr>
            <w:tcW w:w="733" w:type="pct"/>
            <w:gridSpan w:val="2"/>
            <w:shd w:val="clear" w:color="auto" w:fill="auto"/>
            <w:noWrap/>
            <w:vAlign w:val="center"/>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NUR NASSER</w:t>
            </w:r>
          </w:p>
        </w:tc>
        <w:tc>
          <w:tcPr>
            <w:tcW w:w="716" w:type="pct"/>
            <w:vAlign w:val="center"/>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EDDIN</w:t>
            </w:r>
          </w:p>
        </w:tc>
        <w:tc>
          <w:tcPr>
            <w:tcW w:w="2716" w:type="pct"/>
            <w:shd w:val="clear" w:color="auto" w:fill="auto"/>
            <w:noWrap/>
            <w:vAlign w:val="center"/>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Economist</w:t>
            </w:r>
          </w:p>
        </w:tc>
      </w:tr>
      <w:tr w:rsidR="00124A50" w:rsidRPr="00400559" w:rsidTr="00740262">
        <w:trPr>
          <w:trHeight w:val="360"/>
        </w:trPr>
        <w:tc>
          <w:tcPr>
            <w:tcW w:w="835" w:type="pct"/>
            <w:shd w:val="clear" w:color="auto" w:fill="auto"/>
            <w:noWrap/>
            <w:hideMark/>
          </w:tcPr>
          <w:p w:rsidR="00124A50" w:rsidRPr="00400559" w:rsidRDefault="00124A50" w:rsidP="00124A50">
            <w:pPr>
              <w:spacing w:before="0" w:after="0"/>
              <w:rPr>
                <w:rFonts w:ascii="Arial Narrow" w:hAnsi="Arial Narrow"/>
                <w:sz w:val="20"/>
              </w:rPr>
            </w:pPr>
            <w:r w:rsidRPr="00400559">
              <w:rPr>
                <w:rFonts w:ascii="Arial Narrow" w:hAnsi="Arial Narrow" w:cs="Arial"/>
                <w:sz w:val="20"/>
                <w:lang w:eastAsia="it-IT"/>
              </w:rPr>
              <w:t>WB</w:t>
            </w:r>
          </w:p>
        </w:tc>
        <w:tc>
          <w:tcPr>
            <w:tcW w:w="733" w:type="pct"/>
            <w:gridSpan w:val="2"/>
            <w:shd w:val="clear" w:color="auto" w:fill="auto"/>
            <w:noWrap/>
            <w:vAlign w:val="center"/>
            <w:hideMark/>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STEEN</w:t>
            </w:r>
          </w:p>
        </w:tc>
        <w:tc>
          <w:tcPr>
            <w:tcW w:w="716" w:type="pct"/>
            <w:vAlign w:val="center"/>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JORGANSEN</w:t>
            </w:r>
          </w:p>
        </w:tc>
        <w:tc>
          <w:tcPr>
            <w:tcW w:w="2716" w:type="pct"/>
            <w:shd w:val="clear" w:color="auto" w:fill="auto"/>
            <w:noWrap/>
            <w:vAlign w:val="center"/>
            <w:hideMark/>
          </w:tcPr>
          <w:p w:rsidR="00124A50" w:rsidRPr="00400559" w:rsidRDefault="00124A50" w:rsidP="00124A50">
            <w:pPr>
              <w:spacing w:before="0" w:after="0"/>
              <w:jc w:val="left"/>
              <w:rPr>
                <w:rFonts w:ascii="Arial Narrow" w:hAnsi="Arial Narrow" w:cs="Arial"/>
                <w:sz w:val="20"/>
                <w:lang w:eastAsia="it-IT"/>
              </w:rPr>
            </w:pPr>
            <w:r w:rsidRPr="00EF66BB">
              <w:rPr>
                <w:rFonts w:ascii="Arial Narrow" w:hAnsi="Arial Narrow" w:cs="Arial"/>
                <w:sz w:val="20"/>
                <w:lang w:eastAsia="it-IT"/>
              </w:rPr>
              <w:t xml:space="preserve">Country </w:t>
            </w:r>
            <w:proofErr w:type="spellStart"/>
            <w:r w:rsidRPr="00EF66BB">
              <w:rPr>
                <w:rFonts w:ascii="Arial Narrow" w:hAnsi="Arial Narrow" w:cs="Arial"/>
                <w:sz w:val="20"/>
                <w:lang w:eastAsia="it-IT"/>
              </w:rPr>
              <w:t>DIrector</w:t>
            </w:r>
            <w:proofErr w:type="spellEnd"/>
            <w:r w:rsidRPr="00EF66BB">
              <w:rPr>
                <w:rFonts w:ascii="Arial Narrow" w:hAnsi="Arial Narrow" w:cs="Arial"/>
                <w:sz w:val="20"/>
                <w:lang w:eastAsia="it-IT"/>
              </w:rPr>
              <w:t xml:space="preserve"> West Bank and Gaza</w:t>
            </w:r>
          </w:p>
        </w:tc>
      </w:tr>
      <w:tr w:rsidR="00124A50" w:rsidRPr="00400559" w:rsidTr="00740262">
        <w:trPr>
          <w:trHeight w:val="360"/>
        </w:trPr>
        <w:tc>
          <w:tcPr>
            <w:tcW w:w="835" w:type="pct"/>
            <w:shd w:val="clear" w:color="auto" w:fill="auto"/>
            <w:noWrap/>
            <w:hideMark/>
          </w:tcPr>
          <w:p w:rsidR="00124A50" w:rsidRDefault="00124A50" w:rsidP="00124A50">
            <w:pPr>
              <w:spacing w:before="0" w:after="0"/>
            </w:pPr>
            <w:r w:rsidRPr="00070FF5">
              <w:rPr>
                <w:rFonts w:ascii="Arial Narrow" w:hAnsi="Arial Narrow" w:cs="Arial"/>
                <w:sz w:val="20"/>
                <w:lang w:eastAsia="it-IT"/>
              </w:rPr>
              <w:t>WB</w:t>
            </w:r>
          </w:p>
        </w:tc>
        <w:tc>
          <w:tcPr>
            <w:tcW w:w="733" w:type="pct"/>
            <w:gridSpan w:val="2"/>
            <w:shd w:val="clear" w:color="auto" w:fill="auto"/>
            <w:noWrap/>
            <w:vAlign w:val="center"/>
            <w:hideMark/>
          </w:tcPr>
          <w:p w:rsidR="00124A50" w:rsidRPr="00EF66BB" w:rsidRDefault="00124A50" w:rsidP="00124A50">
            <w:pPr>
              <w:spacing w:before="0" w:after="0"/>
              <w:jc w:val="left"/>
              <w:rPr>
                <w:rFonts w:ascii="Arial Narrow" w:hAnsi="Arial Narrow" w:cs="Arial"/>
                <w:caps/>
                <w:sz w:val="20"/>
                <w:lang w:eastAsia="it-IT"/>
              </w:rPr>
            </w:pPr>
            <w:r w:rsidRPr="00EF66BB">
              <w:rPr>
                <w:rFonts w:ascii="Arial Narrow" w:hAnsi="Arial Narrow" w:cs="Arial"/>
                <w:caps/>
                <w:sz w:val="20"/>
                <w:lang w:eastAsia="it-IT"/>
              </w:rPr>
              <w:t>John</w:t>
            </w:r>
          </w:p>
        </w:tc>
        <w:tc>
          <w:tcPr>
            <w:tcW w:w="716" w:type="pct"/>
            <w:vAlign w:val="center"/>
          </w:tcPr>
          <w:p w:rsidR="00124A50" w:rsidRPr="00EF66BB" w:rsidRDefault="00124A50" w:rsidP="00124A50">
            <w:pPr>
              <w:spacing w:before="0" w:after="0"/>
              <w:jc w:val="left"/>
              <w:rPr>
                <w:rFonts w:ascii="Arial Narrow" w:hAnsi="Arial Narrow" w:cs="Arial"/>
                <w:caps/>
                <w:sz w:val="20"/>
                <w:lang w:eastAsia="it-IT"/>
              </w:rPr>
            </w:pPr>
            <w:r w:rsidRPr="00EF66BB">
              <w:rPr>
                <w:rFonts w:ascii="Arial Narrow" w:hAnsi="Arial Narrow" w:cs="Arial"/>
                <w:caps/>
                <w:sz w:val="20"/>
                <w:lang w:eastAsia="it-IT"/>
              </w:rPr>
              <w:t>Nash</w:t>
            </w:r>
          </w:p>
        </w:tc>
        <w:tc>
          <w:tcPr>
            <w:tcW w:w="2716" w:type="pct"/>
            <w:shd w:val="clear" w:color="auto" w:fill="auto"/>
            <w:noWrap/>
            <w:vAlign w:val="center"/>
            <w:hideMark/>
          </w:tcPr>
          <w:p w:rsidR="00124A50" w:rsidRPr="00EF66BB" w:rsidRDefault="00124A50" w:rsidP="00124A50">
            <w:pPr>
              <w:spacing w:before="0" w:after="0"/>
              <w:jc w:val="left"/>
              <w:rPr>
                <w:rFonts w:ascii="Arial Narrow" w:hAnsi="Arial Narrow" w:cs="Arial"/>
                <w:sz w:val="20"/>
                <w:lang w:eastAsia="it-IT"/>
              </w:rPr>
            </w:pPr>
            <w:r w:rsidRPr="00EF66BB">
              <w:rPr>
                <w:rFonts w:ascii="Arial Narrow" w:hAnsi="Arial Narrow" w:cs="Arial"/>
                <w:sz w:val="20"/>
                <w:lang w:eastAsia="it-IT"/>
              </w:rPr>
              <w:t>Senior Country Economist</w:t>
            </w:r>
          </w:p>
        </w:tc>
      </w:tr>
      <w:tr w:rsidR="00124A50" w:rsidRPr="00400559" w:rsidTr="00740262">
        <w:trPr>
          <w:trHeight w:val="381"/>
        </w:trPr>
        <w:tc>
          <w:tcPr>
            <w:tcW w:w="835" w:type="pct"/>
            <w:shd w:val="clear" w:color="auto" w:fill="auto"/>
            <w:noWrap/>
            <w:hideMark/>
          </w:tcPr>
          <w:p w:rsidR="00124A50" w:rsidRDefault="00124A50" w:rsidP="00124A50">
            <w:pPr>
              <w:spacing w:before="0" w:after="0"/>
            </w:pPr>
            <w:r w:rsidRPr="00070FF5">
              <w:rPr>
                <w:rFonts w:ascii="Arial Narrow" w:hAnsi="Arial Narrow" w:cs="Arial"/>
                <w:sz w:val="20"/>
                <w:lang w:eastAsia="it-IT"/>
              </w:rPr>
              <w:t>WB</w:t>
            </w:r>
          </w:p>
        </w:tc>
        <w:tc>
          <w:tcPr>
            <w:tcW w:w="733" w:type="pct"/>
            <w:gridSpan w:val="2"/>
            <w:shd w:val="clear" w:color="auto" w:fill="auto"/>
            <w:noWrap/>
            <w:vAlign w:val="center"/>
            <w:hideMark/>
          </w:tcPr>
          <w:p w:rsidR="00124A50" w:rsidRPr="00EF66BB" w:rsidRDefault="00124A50" w:rsidP="00124A50">
            <w:pPr>
              <w:spacing w:before="0" w:after="0"/>
              <w:jc w:val="left"/>
              <w:rPr>
                <w:rFonts w:ascii="Arial Narrow" w:hAnsi="Arial Narrow" w:cs="Arial"/>
                <w:caps/>
                <w:sz w:val="20"/>
                <w:lang w:eastAsia="it-IT"/>
              </w:rPr>
            </w:pPr>
            <w:r w:rsidRPr="00EF66BB">
              <w:rPr>
                <w:rFonts w:ascii="Arial Narrow" w:hAnsi="Arial Narrow" w:cs="Arial"/>
                <w:caps/>
                <w:sz w:val="20"/>
                <w:lang w:eastAsia="it-IT"/>
              </w:rPr>
              <w:t xml:space="preserve">Yasser  </w:t>
            </w:r>
          </w:p>
        </w:tc>
        <w:tc>
          <w:tcPr>
            <w:tcW w:w="716" w:type="pct"/>
            <w:vAlign w:val="center"/>
          </w:tcPr>
          <w:p w:rsidR="00124A50" w:rsidRPr="00EF66BB" w:rsidRDefault="00124A50" w:rsidP="00124A50">
            <w:pPr>
              <w:spacing w:before="0" w:after="0"/>
              <w:jc w:val="left"/>
              <w:rPr>
                <w:rFonts w:ascii="Arial Narrow" w:hAnsi="Arial Narrow" w:cs="Arial"/>
                <w:caps/>
                <w:sz w:val="20"/>
                <w:lang w:eastAsia="it-IT"/>
              </w:rPr>
            </w:pPr>
            <w:r w:rsidRPr="00EF66BB">
              <w:rPr>
                <w:rFonts w:ascii="Arial Narrow" w:hAnsi="Arial Narrow" w:cs="Arial"/>
                <w:caps/>
                <w:sz w:val="20"/>
                <w:lang w:eastAsia="it-IT"/>
              </w:rPr>
              <w:t>el Gammal</w:t>
            </w:r>
          </w:p>
        </w:tc>
        <w:tc>
          <w:tcPr>
            <w:tcW w:w="2716" w:type="pct"/>
            <w:shd w:val="clear" w:color="auto" w:fill="auto"/>
            <w:noWrap/>
            <w:vAlign w:val="center"/>
            <w:hideMark/>
          </w:tcPr>
          <w:p w:rsidR="00124A50" w:rsidRPr="00EF66BB" w:rsidRDefault="00124A50" w:rsidP="00124A50">
            <w:pPr>
              <w:spacing w:before="0" w:after="0"/>
              <w:jc w:val="left"/>
              <w:rPr>
                <w:rFonts w:ascii="Arial Narrow" w:hAnsi="Arial Narrow" w:cs="Arial"/>
                <w:sz w:val="20"/>
                <w:lang w:eastAsia="it-IT"/>
              </w:rPr>
            </w:pPr>
            <w:r>
              <w:rPr>
                <w:rFonts w:ascii="Arial Narrow" w:hAnsi="Arial Narrow" w:cs="Arial"/>
                <w:sz w:val="20"/>
                <w:lang w:eastAsia="it-IT"/>
              </w:rPr>
              <w:t xml:space="preserve">Social </w:t>
            </w:r>
            <w:r w:rsidRPr="00EF66BB">
              <w:rPr>
                <w:rFonts w:ascii="Arial Narrow" w:hAnsi="Arial Narrow" w:cs="Arial"/>
                <w:sz w:val="20"/>
                <w:lang w:eastAsia="it-IT"/>
              </w:rPr>
              <w:t>Protection Sector Manager</w:t>
            </w:r>
          </w:p>
        </w:tc>
      </w:tr>
      <w:tr w:rsidR="00124A50" w:rsidRPr="00400559" w:rsidTr="00740262">
        <w:trPr>
          <w:trHeight w:val="360"/>
        </w:trPr>
        <w:tc>
          <w:tcPr>
            <w:tcW w:w="835" w:type="pct"/>
            <w:shd w:val="clear" w:color="auto" w:fill="auto"/>
            <w:noWrap/>
            <w:hideMark/>
          </w:tcPr>
          <w:p w:rsidR="00124A50" w:rsidRDefault="00124A50" w:rsidP="00124A50">
            <w:pPr>
              <w:spacing w:before="0" w:after="0"/>
            </w:pPr>
            <w:r w:rsidRPr="00070FF5">
              <w:rPr>
                <w:rFonts w:ascii="Arial Narrow" w:hAnsi="Arial Narrow" w:cs="Arial"/>
                <w:sz w:val="20"/>
                <w:lang w:eastAsia="it-IT"/>
              </w:rPr>
              <w:t>WB</w:t>
            </w:r>
          </w:p>
        </w:tc>
        <w:tc>
          <w:tcPr>
            <w:tcW w:w="733" w:type="pct"/>
            <w:gridSpan w:val="2"/>
            <w:shd w:val="clear" w:color="auto" w:fill="auto"/>
            <w:noWrap/>
            <w:vAlign w:val="center"/>
            <w:hideMark/>
          </w:tcPr>
          <w:p w:rsidR="00124A50" w:rsidRPr="00EF66BB" w:rsidRDefault="00124A50" w:rsidP="00124A50">
            <w:pPr>
              <w:spacing w:before="0" w:after="0"/>
              <w:jc w:val="left"/>
              <w:rPr>
                <w:rFonts w:ascii="Arial Narrow" w:hAnsi="Arial Narrow" w:cs="Arial"/>
                <w:caps/>
                <w:sz w:val="20"/>
                <w:lang w:eastAsia="it-IT"/>
              </w:rPr>
            </w:pPr>
            <w:r w:rsidRPr="00EF66BB">
              <w:rPr>
                <w:rFonts w:ascii="Arial Narrow" w:hAnsi="Arial Narrow" w:cs="Arial"/>
                <w:caps/>
                <w:sz w:val="20"/>
                <w:lang w:eastAsia="it-IT"/>
              </w:rPr>
              <w:t xml:space="preserve">Ernesto, </w:t>
            </w:r>
          </w:p>
        </w:tc>
        <w:tc>
          <w:tcPr>
            <w:tcW w:w="716" w:type="pct"/>
            <w:vAlign w:val="center"/>
          </w:tcPr>
          <w:p w:rsidR="00124A50" w:rsidRPr="00EF66BB" w:rsidRDefault="00124A50" w:rsidP="00124A50">
            <w:pPr>
              <w:spacing w:before="0" w:after="0"/>
              <w:jc w:val="left"/>
              <w:rPr>
                <w:rFonts w:ascii="Arial Narrow" w:hAnsi="Arial Narrow" w:cs="Arial"/>
                <w:caps/>
                <w:sz w:val="20"/>
                <w:lang w:eastAsia="it-IT"/>
              </w:rPr>
            </w:pPr>
            <w:r w:rsidRPr="00EF66BB">
              <w:rPr>
                <w:rFonts w:ascii="Arial Narrow" w:hAnsi="Arial Narrow" w:cs="Arial"/>
                <w:caps/>
                <w:sz w:val="20"/>
                <w:lang w:eastAsia="it-IT"/>
              </w:rPr>
              <w:t>Cuadra</w:t>
            </w:r>
          </w:p>
        </w:tc>
        <w:tc>
          <w:tcPr>
            <w:tcW w:w="2716" w:type="pct"/>
            <w:shd w:val="clear" w:color="auto" w:fill="auto"/>
            <w:noWrap/>
            <w:vAlign w:val="center"/>
            <w:hideMark/>
          </w:tcPr>
          <w:p w:rsidR="00124A50" w:rsidRPr="00EF66BB" w:rsidRDefault="00124A50" w:rsidP="00124A50">
            <w:pPr>
              <w:spacing w:before="0" w:after="0"/>
              <w:jc w:val="left"/>
              <w:rPr>
                <w:rFonts w:ascii="Arial Narrow" w:hAnsi="Arial Narrow" w:cs="Arial"/>
                <w:sz w:val="20"/>
                <w:lang w:eastAsia="it-IT"/>
              </w:rPr>
            </w:pPr>
            <w:r w:rsidRPr="00EF66BB">
              <w:rPr>
                <w:rFonts w:ascii="Arial Narrow" w:hAnsi="Arial Narrow" w:cs="Arial"/>
                <w:sz w:val="20"/>
                <w:lang w:eastAsia="it-IT"/>
              </w:rPr>
              <w:t>Lead Education Specialist</w:t>
            </w:r>
          </w:p>
        </w:tc>
      </w:tr>
      <w:tr w:rsidR="00124A50" w:rsidRPr="00400559" w:rsidTr="00740262">
        <w:trPr>
          <w:trHeight w:val="360"/>
        </w:trPr>
        <w:tc>
          <w:tcPr>
            <w:tcW w:w="835" w:type="pct"/>
            <w:shd w:val="clear" w:color="auto" w:fill="auto"/>
            <w:noWrap/>
            <w:hideMark/>
          </w:tcPr>
          <w:p w:rsidR="00124A50" w:rsidRDefault="00124A50" w:rsidP="00124A50">
            <w:pPr>
              <w:spacing w:before="0" w:after="0"/>
            </w:pPr>
            <w:r w:rsidRPr="00070FF5">
              <w:rPr>
                <w:rFonts w:ascii="Arial Narrow" w:hAnsi="Arial Narrow" w:cs="Arial"/>
                <w:sz w:val="20"/>
                <w:lang w:eastAsia="it-IT"/>
              </w:rPr>
              <w:t>WB</w:t>
            </w:r>
          </w:p>
        </w:tc>
        <w:tc>
          <w:tcPr>
            <w:tcW w:w="733" w:type="pct"/>
            <w:gridSpan w:val="2"/>
            <w:shd w:val="clear" w:color="auto" w:fill="auto"/>
            <w:noWrap/>
            <w:vAlign w:val="center"/>
            <w:hideMark/>
          </w:tcPr>
          <w:p w:rsidR="00124A50" w:rsidRPr="00EF66BB" w:rsidRDefault="00124A50" w:rsidP="00124A50">
            <w:pPr>
              <w:spacing w:before="0" w:after="0"/>
              <w:jc w:val="left"/>
              <w:rPr>
                <w:rFonts w:ascii="Arial Narrow" w:hAnsi="Arial Narrow" w:cs="Arial"/>
                <w:caps/>
                <w:sz w:val="20"/>
                <w:lang w:eastAsia="it-IT"/>
              </w:rPr>
            </w:pPr>
            <w:r w:rsidRPr="00EF66BB">
              <w:rPr>
                <w:rFonts w:ascii="Arial Narrow" w:hAnsi="Arial Narrow" w:cs="Arial"/>
                <w:caps/>
                <w:sz w:val="20"/>
                <w:lang w:eastAsia="it-IT"/>
              </w:rPr>
              <w:t xml:space="preserve">Enis, </w:t>
            </w:r>
          </w:p>
        </w:tc>
        <w:tc>
          <w:tcPr>
            <w:tcW w:w="716" w:type="pct"/>
            <w:vAlign w:val="center"/>
          </w:tcPr>
          <w:p w:rsidR="00124A50" w:rsidRPr="00EF66BB" w:rsidRDefault="00124A50" w:rsidP="00124A50">
            <w:pPr>
              <w:spacing w:before="0" w:after="0"/>
              <w:jc w:val="left"/>
              <w:rPr>
                <w:rFonts w:ascii="Arial Narrow" w:hAnsi="Arial Narrow" w:cs="Arial"/>
                <w:caps/>
                <w:sz w:val="20"/>
                <w:lang w:eastAsia="it-IT"/>
              </w:rPr>
            </w:pPr>
            <w:r w:rsidRPr="00EF66BB">
              <w:rPr>
                <w:rFonts w:ascii="Arial Narrow" w:hAnsi="Arial Narrow" w:cs="Arial"/>
                <w:caps/>
                <w:sz w:val="20"/>
                <w:lang w:eastAsia="it-IT"/>
              </w:rPr>
              <w:t>Baris</w:t>
            </w:r>
          </w:p>
        </w:tc>
        <w:tc>
          <w:tcPr>
            <w:tcW w:w="2716" w:type="pct"/>
            <w:shd w:val="clear" w:color="auto" w:fill="auto"/>
            <w:noWrap/>
            <w:vAlign w:val="center"/>
            <w:hideMark/>
          </w:tcPr>
          <w:p w:rsidR="00124A50" w:rsidRPr="00EF66BB" w:rsidRDefault="00124A50" w:rsidP="00124A50">
            <w:pPr>
              <w:spacing w:before="0" w:after="0"/>
              <w:jc w:val="left"/>
              <w:rPr>
                <w:rFonts w:ascii="Arial Narrow" w:hAnsi="Arial Narrow" w:cs="Arial"/>
                <w:sz w:val="20"/>
                <w:lang w:eastAsia="it-IT"/>
              </w:rPr>
            </w:pPr>
            <w:r w:rsidRPr="00EF66BB">
              <w:rPr>
                <w:rFonts w:ascii="Arial Narrow" w:hAnsi="Arial Narrow" w:cs="Arial"/>
                <w:sz w:val="20"/>
                <w:lang w:eastAsia="it-IT"/>
              </w:rPr>
              <w:t>Manager, Health Sector</w:t>
            </w:r>
          </w:p>
        </w:tc>
      </w:tr>
      <w:tr w:rsidR="00124A50" w:rsidRPr="00400559" w:rsidTr="00740262">
        <w:trPr>
          <w:trHeight w:val="360"/>
        </w:trPr>
        <w:tc>
          <w:tcPr>
            <w:tcW w:w="835" w:type="pct"/>
            <w:shd w:val="clear" w:color="auto" w:fill="auto"/>
            <w:noWrap/>
            <w:hideMark/>
          </w:tcPr>
          <w:p w:rsidR="00124A50" w:rsidRDefault="00124A50" w:rsidP="00124A50">
            <w:pPr>
              <w:spacing w:before="0" w:after="0"/>
            </w:pPr>
            <w:r w:rsidRPr="00070FF5">
              <w:rPr>
                <w:rFonts w:ascii="Arial Narrow" w:hAnsi="Arial Narrow" w:cs="Arial"/>
                <w:sz w:val="20"/>
                <w:lang w:eastAsia="it-IT"/>
              </w:rPr>
              <w:t>WB</w:t>
            </w:r>
          </w:p>
        </w:tc>
        <w:tc>
          <w:tcPr>
            <w:tcW w:w="733" w:type="pct"/>
            <w:gridSpan w:val="2"/>
            <w:shd w:val="clear" w:color="auto" w:fill="auto"/>
            <w:noWrap/>
            <w:vAlign w:val="center"/>
            <w:hideMark/>
          </w:tcPr>
          <w:p w:rsidR="00124A50" w:rsidRPr="00EF66BB" w:rsidRDefault="00124A50" w:rsidP="00124A50">
            <w:pPr>
              <w:spacing w:before="0" w:after="0"/>
              <w:jc w:val="left"/>
              <w:rPr>
                <w:rFonts w:ascii="Arial Narrow" w:hAnsi="Arial Narrow" w:cs="Arial"/>
                <w:caps/>
                <w:sz w:val="20"/>
                <w:lang w:eastAsia="it-IT"/>
              </w:rPr>
            </w:pPr>
            <w:r w:rsidRPr="00EF66BB">
              <w:rPr>
                <w:rFonts w:ascii="Arial Narrow" w:hAnsi="Arial Narrow" w:cs="Arial"/>
                <w:caps/>
                <w:sz w:val="20"/>
                <w:lang w:eastAsia="it-IT"/>
              </w:rPr>
              <w:t xml:space="preserve">Ranjana </w:t>
            </w:r>
          </w:p>
        </w:tc>
        <w:tc>
          <w:tcPr>
            <w:tcW w:w="716" w:type="pct"/>
            <w:vAlign w:val="center"/>
          </w:tcPr>
          <w:p w:rsidR="00124A50" w:rsidRPr="00EF66BB" w:rsidRDefault="00124A50" w:rsidP="00124A50">
            <w:pPr>
              <w:spacing w:before="0" w:after="0"/>
              <w:jc w:val="left"/>
              <w:rPr>
                <w:rFonts w:ascii="Arial Narrow" w:hAnsi="Arial Narrow" w:cs="Arial"/>
                <w:caps/>
                <w:sz w:val="20"/>
                <w:lang w:eastAsia="it-IT"/>
              </w:rPr>
            </w:pPr>
            <w:r w:rsidRPr="00EF66BB">
              <w:rPr>
                <w:rFonts w:ascii="Arial Narrow" w:hAnsi="Arial Narrow" w:cs="Arial"/>
                <w:caps/>
                <w:sz w:val="20"/>
                <w:lang w:eastAsia="it-IT"/>
              </w:rPr>
              <w:t>Mukherjee,</w:t>
            </w:r>
          </w:p>
        </w:tc>
        <w:tc>
          <w:tcPr>
            <w:tcW w:w="2716" w:type="pct"/>
            <w:shd w:val="clear" w:color="auto" w:fill="auto"/>
            <w:noWrap/>
            <w:vAlign w:val="center"/>
            <w:hideMark/>
          </w:tcPr>
          <w:p w:rsidR="00124A50" w:rsidRPr="00400559" w:rsidRDefault="00124A50" w:rsidP="00124A50">
            <w:pPr>
              <w:spacing w:before="0" w:after="0"/>
              <w:jc w:val="left"/>
              <w:rPr>
                <w:rFonts w:ascii="Arial Narrow" w:hAnsi="Arial Narrow" w:cs="Arial"/>
                <w:sz w:val="20"/>
                <w:lang w:eastAsia="it-IT"/>
              </w:rPr>
            </w:pPr>
            <w:r w:rsidRPr="00EF66BB">
              <w:rPr>
                <w:rFonts w:ascii="Arial Narrow" w:hAnsi="Arial Narrow" w:cs="Arial"/>
                <w:sz w:val="20"/>
                <w:lang w:eastAsia="it-IT"/>
              </w:rPr>
              <w:t>Country Coordinator</w:t>
            </w:r>
          </w:p>
        </w:tc>
      </w:tr>
      <w:tr w:rsidR="00124A50" w:rsidRPr="00400559" w:rsidTr="00740262">
        <w:trPr>
          <w:trHeight w:val="360"/>
        </w:trPr>
        <w:tc>
          <w:tcPr>
            <w:tcW w:w="835" w:type="pct"/>
            <w:shd w:val="clear" w:color="auto" w:fill="auto"/>
            <w:noWrap/>
            <w:hideMark/>
          </w:tcPr>
          <w:p w:rsidR="00124A50" w:rsidRPr="00070FF5" w:rsidRDefault="00124A50" w:rsidP="00124A50">
            <w:pPr>
              <w:spacing w:before="0" w:after="0"/>
              <w:rPr>
                <w:rFonts w:ascii="Arial Narrow" w:hAnsi="Arial Narrow" w:cs="Arial"/>
                <w:sz w:val="20"/>
                <w:lang w:eastAsia="it-IT"/>
              </w:rPr>
            </w:pPr>
            <w:r>
              <w:rPr>
                <w:rFonts w:ascii="Arial Narrow" w:hAnsi="Arial Narrow" w:cs="Arial"/>
                <w:sz w:val="20"/>
                <w:lang w:eastAsia="it-IT"/>
              </w:rPr>
              <w:t>WHO</w:t>
            </w:r>
          </w:p>
        </w:tc>
        <w:tc>
          <w:tcPr>
            <w:tcW w:w="733" w:type="pct"/>
            <w:gridSpan w:val="2"/>
            <w:shd w:val="clear" w:color="auto" w:fill="auto"/>
            <w:noWrap/>
            <w:vAlign w:val="center"/>
            <w:hideMark/>
          </w:tcPr>
          <w:p w:rsidR="00124A50" w:rsidRPr="00EF66BB" w:rsidRDefault="00124A50" w:rsidP="00124A50">
            <w:pPr>
              <w:spacing w:before="0" w:after="0"/>
              <w:jc w:val="left"/>
              <w:rPr>
                <w:rFonts w:ascii="Arial Narrow" w:hAnsi="Arial Narrow" w:cs="Arial"/>
                <w:caps/>
                <w:sz w:val="20"/>
                <w:lang w:eastAsia="it-IT"/>
              </w:rPr>
            </w:pPr>
            <w:r>
              <w:rPr>
                <w:rFonts w:ascii="Arial Narrow" w:hAnsi="Arial Narrow" w:cs="Arial"/>
                <w:caps/>
                <w:sz w:val="20"/>
                <w:lang w:eastAsia="it-IT"/>
              </w:rPr>
              <w:t>MAHMOUD</w:t>
            </w:r>
          </w:p>
        </w:tc>
        <w:tc>
          <w:tcPr>
            <w:tcW w:w="716" w:type="pct"/>
            <w:vAlign w:val="center"/>
          </w:tcPr>
          <w:p w:rsidR="00124A50" w:rsidRPr="00EF66BB" w:rsidRDefault="00124A50" w:rsidP="00124A50">
            <w:pPr>
              <w:spacing w:before="0" w:after="0"/>
              <w:jc w:val="left"/>
              <w:rPr>
                <w:rFonts w:ascii="Arial Narrow" w:hAnsi="Arial Narrow" w:cs="Arial"/>
                <w:caps/>
                <w:sz w:val="20"/>
                <w:lang w:eastAsia="it-IT"/>
              </w:rPr>
            </w:pPr>
            <w:r>
              <w:rPr>
                <w:rFonts w:ascii="Arial Narrow" w:hAnsi="Arial Narrow" w:cs="Arial"/>
                <w:caps/>
                <w:sz w:val="20"/>
                <w:lang w:eastAsia="it-IT"/>
              </w:rPr>
              <w:t>DAHER</w:t>
            </w:r>
          </w:p>
        </w:tc>
        <w:tc>
          <w:tcPr>
            <w:tcW w:w="2716" w:type="pct"/>
            <w:shd w:val="clear" w:color="auto" w:fill="auto"/>
            <w:noWrap/>
            <w:vAlign w:val="center"/>
            <w:hideMark/>
          </w:tcPr>
          <w:p w:rsidR="00124A50" w:rsidRPr="00EF66BB" w:rsidRDefault="00124A50" w:rsidP="00124A50">
            <w:pPr>
              <w:spacing w:before="0" w:after="0"/>
              <w:jc w:val="left"/>
              <w:rPr>
                <w:rFonts w:ascii="Arial Narrow" w:hAnsi="Arial Narrow" w:cs="Arial"/>
                <w:sz w:val="20"/>
                <w:lang w:eastAsia="it-IT"/>
              </w:rPr>
            </w:pPr>
            <w:r>
              <w:rPr>
                <w:rFonts w:ascii="Arial Narrow" w:hAnsi="Arial Narrow" w:cs="Arial"/>
                <w:sz w:val="20"/>
                <w:lang w:eastAsia="it-IT"/>
              </w:rPr>
              <w:t>Acting head of Office</w:t>
            </w:r>
          </w:p>
        </w:tc>
      </w:tr>
      <w:tr w:rsidR="00124A50" w:rsidRPr="00400559" w:rsidTr="00740262">
        <w:trPr>
          <w:trHeight w:val="360"/>
        </w:trPr>
        <w:tc>
          <w:tcPr>
            <w:tcW w:w="5000" w:type="pct"/>
            <w:gridSpan w:val="5"/>
            <w:shd w:val="clear" w:color="auto" w:fill="DBE5F1" w:themeFill="accent1" w:themeFillTint="33"/>
          </w:tcPr>
          <w:p w:rsidR="00124A50" w:rsidRPr="00400559" w:rsidRDefault="00124A50" w:rsidP="00124A50">
            <w:pPr>
              <w:spacing w:before="0" w:after="0"/>
              <w:jc w:val="center"/>
              <w:rPr>
                <w:rFonts w:ascii="Arial Narrow" w:hAnsi="Arial Narrow" w:cs="Arial"/>
                <w:b/>
                <w:sz w:val="20"/>
                <w:lang w:eastAsia="it-IT"/>
              </w:rPr>
            </w:pPr>
            <w:r w:rsidRPr="00400559">
              <w:rPr>
                <w:rFonts w:ascii="Arial Narrow" w:hAnsi="Arial Narrow" w:cs="Arial"/>
                <w:b/>
                <w:sz w:val="20"/>
                <w:lang w:eastAsia="it-IT"/>
              </w:rPr>
              <w:t>Others</w:t>
            </w:r>
          </w:p>
        </w:tc>
      </w:tr>
      <w:tr w:rsidR="00124A50" w:rsidRPr="00400559" w:rsidTr="00740262">
        <w:trPr>
          <w:trHeight w:val="360"/>
        </w:trPr>
        <w:tc>
          <w:tcPr>
            <w:tcW w:w="835" w:type="pct"/>
            <w:shd w:val="clear" w:color="auto" w:fill="FFFFFF" w:themeFill="background1"/>
            <w:vAlign w:val="center"/>
          </w:tcPr>
          <w:p w:rsidR="00124A50" w:rsidRPr="00400559" w:rsidRDefault="00124A50" w:rsidP="00124A50">
            <w:pPr>
              <w:spacing w:before="0" w:after="0"/>
              <w:jc w:val="left"/>
              <w:rPr>
                <w:rFonts w:ascii="Arial Narrow" w:hAnsi="Arial Narrow" w:cs="Arial"/>
                <w:sz w:val="20"/>
              </w:rPr>
            </w:pPr>
            <w:r w:rsidRPr="00400559">
              <w:rPr>
                <w:rFonts w:ascii="Arial Narrow" w:hAnsi="Arial Narrow" w:cs="Arial"/>
                <w:sz w:val="20"/>
              </w:rPr>
              <w:t xml:space="preserve">Water Resources </w:t>
            </w:r>
            <w:r w:rsidRPr="00400559">
              <w:rPr>
                <w:rFonts w:ascii="Arial Narrow" w:hAnsi="Arial Narrow" w:cs="Arial"/>
                <w:sz w:val="20"/>
              </w:rPr>
              <w:lastRenderedPageBreak/>
              <w:t>Directorate</w:t>
            </w:r>
          </w:p>
        </w:tc>
        <w:tc>
          <w:tcPr>
            <w:tcW w:w="724" w:type="pct"/>
            <w:shd w:val="clear" w:color="auto" w:fill="FFFFFF" w:themeFill="background1"/>
            <w:vAlign w:val="center"/>
          </w:tcPr>
          <w:p w:rsidR="00124A50" w:rsidRPr="00400559" w:rsidRDefault="00124A50" w:rsidP="00124A50">
            <w:pPr>
              <w:spacing w:before="0" w:after="0"/>
              <w:rPr>
                <w:rFonts w:ascii="Arial Narrow" w:hAnsi="Arial Narrow" w:cs="Arial"/>
                <w:sz w:val="20"/>
              </w:rPr>
            </w:pPr>
            <w:proofErr w:type="spellStart"/>
            <w:r w:rsidRPr="00400559">
              <w:rPr>
                <w:rFonts w:ascii="Arial Narrow" w:hAnsi="Arial Narrow" w:cs="Arial"/>
                <w:sz w:val="20"/>
              </w:rPr>
              <w:lastRenderedPageBreak/>
              <w:t>Ekrima</w:t>
            </w:r>
            <w:proofErr w:type="spellEnd"/>
            <w:r w:rsidRPr="00400559">
              <w:rPr>
                <w:rFonts w:ascii="Arial Narrow" w:hAnsi="Arial Narrow" w:cs="Arial"/>
                <w:sz w:val="20"/>
              </w:rPr>
              <w:t xml:space="preserve"> </w:t>
            </w:r>
          </w:p>
        </w:tc>
        <w:tc>
          <w:tcPr>
            <w:tcW w:w="725" w:type="pct"/>
            <w:gridSpan w:val="2"/>
            <w:shd w:val="clear" w:color="auto" w:fill="FFFFFF" w:themeFill="background1"/>
            <w:vAlign w:val="center"/>
          </w:tcPr>
          <w:p w:rsidR="00124A50" w:rsidRPr="00400559" w:rsidRDefault="00124A50" w:rsidP="00124A50">
            <w:pPr>
              <w:spacing w:before="0" w:after="0"/>
              <w:rPr>
                <w:rFonts w:ascii="Arial Narrow" w:hAnsi="Arial Narrow" w:cs="Arial"/>
                <w:sz w:val="20"/>
              </w:rPr>
            </w:pPr>
            <w:proofErr w:type="spellStart"/>
            <w:r w:rsidRPr="00400559">
              <w:rPr>
                <w:rFonts w:ascii="Arial Narrow" w:hAnsi="Arial Narrow" w:cs="Arial"/>
                <w:sz w:val="20"/>
              </w:rPr>
              <w:t>Abadi</w:t>
            </w:r>
            <w:proofErr w:type="spellEnd"/>
          </w:p>
        </w:tc>
        <w:tc>
          <w:tcPr>
            <w:tcW w:w="2716" w:type="pct"/>
            <w:shd w:val="clear" w:color="auto" w:fill="FFFFFF" w:themeFill="background1"/>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rPr>
              <w:t>Director</w:t>
            </w:r>
          </w:p>
        </w:tc>
      </w:tr>
      <w:tr w:rsidR="00124A50" w:rsidRPr="00400559" w:rsidTr="00740262">
        <w:trPr>
          <w:trHeight w:val="360"/>
        </w:trPr>
        <w:tc>
          <w:tcPr>
            <w:tcW w:w="835" w:type="pct"/>
            <w:shd w:val="clear" w:color="auto" w:fill="FFFFFF" w:themeFill="background1"/>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lastRenderedPageBreak/>
              <w:t>AL-JAZEERA-NETWORK</w:t>
            </w:r>
          </w:p>
        </w:tc>
        <w:tc>
          <w:tcPr>
            <w:tcW w:w="724" w:type="pct"/>
            <w:shd w:val="clear" w:color="auto" w:fill="FFFFFF" w:themeFill="background1"/>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 xml:space="preserve">JAMAL </w:t>
            </w:r>
          </w:p>
        </w:tc>
        <w:tc>
          <w:tcPr>
            <w:tcW w:w="725" w:type="pct"/>
            <w:gridSpan w:val="2"/>
            <w:shd w:val="clear" w:color="auto" w:fill="FFFFFF" w:themeFill="background1"/>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ABDULLAH</w:t>
            </w:r>
          </w:p>
        </w:tc>
        <w:tc>
          <w:tcPr>
            <w:tcW w:w="2716" w:type="pct"/>
            <w:shd w:val="clear" w:color="auto" w:fill="FFFFFF" w:themeFill="background1"/>
          </w:tcPr>
          <w:p w:rsidR="00124A50" w:rsidRPr="00400559" w:rsidRDefault="00124A50" w:rsidP="00124A50">
            <w:pPr>
              <w:spacing w:before="0" w:after="0"/>
              <w:jc w:val="left"/>
              <w:rPr>
                <w:rFonts w:ascii="Arial Narrow" w:hAnsi="Arial Narrow" w:cs="Arial"/>
                <w:sz w:val="20"/>
                <w:lang w:val="it-IT" w:eastAsia="it-IT"/>
              </w:rPr>
            </w:pPr>
            <w:proofErr w:type="spellStart"/>
            <w:r w:rsidRPr="00400559">
              <w:rPr>
                <w:rFonts w:ascii="Arial Narrow" w:hAnsi="Arial Narrow" w:cs="Arial"/>
                <w:sz w:val="20"/>
                <w:lang w:val="it-IT" w:eastAsia="it-IT"/>
              </w:rPr>
              <w:t>Researcher</w:t>
            </w:r>
            <w:proofErr w:type="spellEnd"/>
          </w:p>
        </w:tc>
      </w:tr>
      <w:tr w:rsidR="00124A50" w:rsidRPr="00400559" w:rsidTr="00740262">
        <w:trPr>
          <w:trHeight w:val="360"/>
        </w:trPr>
        <w:tc>
          <w:tcPr>
            <w:tcW w:w="835" w:type="pct"/>
            <w:shd w:val="clear" w:color="auto" w:fill="FFFFFF" w:themeFill="background1"/>
            <w:vAlign w:val="center"/>
          </w:tcPr>
          <w:p w:rsidR="00124A50" w:rsidRPr="00400559" w:rsidRDefault="00124A50" w:rsidP="00124A50">
            <w:pPr>
              <w:spacing w:before="0" w:after="0"/>
              <w:jc w:val="left"/>
              <w:rPr>
                <w:rFonts w:ascii="Arial Narrow" w:hAnsi="Arial Narrow" w:cs="Arial"/>
                <w:sz w:val="20"/>
              </w:rPr>
            </w:pPr>
            <w:r w:rsidRPr="00400559">
              <w:rPr>
                <w:rFonts w:ascii="Arial Narrow" w:hAnsi="Arial Narrow" w:cs="Arial"/>
                <w:sz w:val="20"/>
              </w:rPr>
              <w:t>IRD (INGO)</w:t>
            </w:r>
          </w:p>
        </w:tc>
        <w:tc>
          <w:tcPr>
            <w:tcW w:w="724" w:type="pct"/>
            <w:shd w:val="clear" w:color="auto" w:fill="FFFFFF" w:themeFill="background1"/>
            <w:vAlign w:val="center"/>
          </w:tcPr>
          <w:p w:rsidR="00124A50" w:rsidRPr="00400559" w:rsidRDefault="00124A50" w:rsidP="00124A50">
            <w:pPr>
              <w:spacing w:before="0" w:after="0"/>
              <w:rPr>
                <w:rFonts w:ascii="Arial Narrow" w:hAnsi="Arial Narrow" w:cs="Arial"/>
                <w:sz w:val="20"/>
              </w:rPr>
            </w:pPr>
            <w:proofErr w:type="spellStart"/>
            <w:r w:rsidRPr="00400559">
              <w:rPr>
                <w:rFonts w:ascii="Arial Narrow" w:hAnsi="Arial Narrow" w:cs="Arial"/>
                <w:sz w:val="20"/>
              </w:rPr>
              <w:t>Ihab</w:t>
            </w:r>
            <w:proofErr w:type="spellEnd"/>
            <w:r w:rsidRPr="00400559">
              <w:rPr>
                <w:rFonts w:ascii="Arial Narrow" w:hAnsi="Arial Narrow" w:cs="Arial"/>
                <w:sz w:val="20"/>
              </w:rPr>
              <w:t xml:space="preserve"> </w:t>
            </w:r>
          </w:p>
        </w:tc>
        <w:tc>
          <w:tcPr>
            <w:tcW w:w="725" w:type="pct"/>
            <w:gridSpan w:val="2"/>
            <w:shd w:val="clear" w:color="auto" w:fill="FFFFFF" w:themeFill="background1"/>
            <w:vAlign w:val="center"/>
          </w:tcPr>
          <w:p w:rsidR="00124A50" w:rsidRPr="00400559" w:rsidRDefault="00124A50" w:rsidP="00124A50">
            <w:pPr>
              <w:spacing w:before="0" w:after="0"/>
              <w:rPr>
                <w:rFonts w:ascii="Arial Narrow" w:hAnsi="Arial Narrow" w:cs="Arial"/>
                <w:sz w:val="20"/>
              </w:rPr>
            </w:pPr>
            <w:proofErr w:type="spellStart"/>
            <w:r w:rsidRPr="00400559">
              <w:rPr>
                <w:rFonts w:ascii="Arial Narrow" w:hAnsi="Arial Narrow" w:cs="Arial"/>
                <w:sz w:val="20"/>
              </w:rPr>
              <w:t>Barghothi</w:t>
            </w:r>
            <w:proofErr w:type="spellEnd"/>
          </w:p>
        </w:tc>
        <w:tc>
          <w:tcPr>
            <w:tcW w:w="2716" w:type="pct"/>
            <w:shd w:val="clear" w:color="auto" w:fill="FFFFFF" w:themeFill="background1"/>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rPr>
              <w:t>Country Director</w:t>
            </w:r>
          </w:p>
        </w:tc>
      </w:tr>
      <w:tr w:rsidR="00124A50" w:rsidRPr="00400559" w:rsidTr="00740262">
        <w:trPr>
          <w:trHeight w:val="360"/>
        </w:trPr>
        <w:tc>
          <w:tcPr>
            <w:tcW w:w="835" w:type="pct"/>
            <w:shd w:val="clear" w:color="auto" w:fill="FFFFFF" w:themeFill="background1"/>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QUATAR/Quatar charity</w:t>
            </w:r>
          </w:p>
        </w:tc>
        <w:tc>
          <w:tcPr>
            <w:tcW w:w="724" w:type="pct"/>
            <w:shd w:val="clear" w:color="auto" w:fill="FFFFFF" w:themeFill="background1"/>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 xml:space="preserve">JUDEH </w:t>
            </w:r>
          </w:p>
        </w:tc>
        <w:tc>
          <w:tcPr>
            <w:tcW w:w="725" w:type="pct"/>
            <w:gridSpan w:val="2"/>
            <w:shd w:val="clear" w:color="auto" w:fill="FFFFFF" w:themeFill="background1"/>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JAMAL</w:t>
            </w:r>
          </w:p>
        </w:tc>
        <w:tc>
          <w:tcPr>
            <w:tcW w:w="2716" w:type="pct"/>
            <w:shd w:val="clear" w:color="auto" w:fill="FFFFFF" w:themeFill="background1"/>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Acting country Director- Palestine office</w:t>
            </w:r>
          </w:p>
        </w:tc>
      </w:tr>
      <w:tr w:rsidR="00124A50" w:rsidRPr="00400559" w:rsidTr="00740262">
        <w:trPr>
          <w:trHeight w:val="360"/>
        </w:trPr>
        <w:tc>
          <w:tcPr>
            <w:tcW w:w="835" w:type="pct"/>
            <w:shd w:val="clear" w:color="auto" w:fill="FFFFFF" w:themeFill="background1"/>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USA/The MEGA COMPANY</w:t>
            </w:r>
          </w:p>
        </w:tc>
        <w:tc>
          <w:tcPr>
            <w:tcW w:w="724" w:type="pct"/>
            <w:shd w:val="clear" w:color="auto" w:fill="FFFFFF" w:themeFill="background1"/>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 xml:space="preserve">CHANG S. </w:t>
            </w:r>
          </w:p>
        </w:tc>
        <w:tc>
          <w:tcPr>
            <w:tcW w:w="725" w:type="pct"/>
            <w:gridSpan w:val="2"/>
            <w:shd w:val="clear" w:color="auto" w:fill="FFFFFF" w:themeFill="background1"/>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OH</w:t>
            </w:r>
          </w:p>
        </w:tc>
        <w:tc>
          <w:tcPr>
            <w:tcW w:w="2716" w:type="pct"/>
            <w:shd w:val="clear" w:color="auto" w:fill="FFFFFF" w:themeFill="background1"/>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Managing director</w:t>
            </w:r>
          </w:p>
        </w:tc>
      </w:tr>
      <w:tr w:rsidR="00124A50" w:rsidRPr="00400559" w:rsidTr="00740262">
        <w:trPr>
          <w:trHeight w:val="360"/>
        </w:trPr>
        <w:tc>
          <w:tcPr>
            <w:tcW w:w="835" w:type="pct"/>
            <w:shd w:val="clear" w:color="auto" w:fill="FFFFFF" w:themeFill="background1"/>
          </w:tcPr>
          <w:p w:rsidR="00124A50" w:rsidRPr="00400559" w:rsidRDefault="00124A50" w:rsidP="00124A50">
            <w:pPr>
              <w:spacing w:before="0" w:after="0"/>
              <w:jc w:val="left"/>
              <w:rPr>
                <w:rFonts w:ascii="Arial Narrow" w:hAnsi="Arial Narrow" w:cs="Arial"/>
                <w:sz w:val="20"/>
                <w:lang w:val="it-IT" w:eastAsia="it-IT"/>
              </w:rPr>
            </w:pPr>
            <w:r w:rsidRPr="00400559">
              <w:rPr>
                <w:rFonts w:ascii="Arial Narrow" w:hAnsi="Arial Narrow" w:cs="Arial"/>
                <w:sz w:val="20"/>
                <w:lang w:val="it-IT" w:eastAsia="it-IT"/>
              </w:rPr>
              <w:t>USA/DLA PIPER</w:t>
            </w:r>
          </w:p>
        </w:tc>
        <w:tc>
          <w:tcPr>
            <w:tcW w:w="724" w:type="pct"/>
            <w:shd w:val="clear" w:color="auto" w:fill="FFFFFF" w:themeFill="background1"/>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 xml:space="preserve">GEORGE R. </w:t>
            </w:r>
          </w:p>
        </w:tc>
        <w:tc>
          <w:tcPr>
            <w:tcW w:w="725" w:type="pct"/>
            <w:gridSpan w:val="2"/>
            <w:shd w:val="clear" w:color="auto" w:fill="FFFFFF" w:themeFill="background1"/>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SALEM</w:t>
            </w:r>
          </w:p>
        </w:tc>
        <w:tc>
          <w:tcPr>
            <w:tcW w:w="2716" w:type="pct"/>
            <w:shd w:val="clear" w:color="auto" w:fill="FFFFFF" w:themeFill="background1"/>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Strategic advisor to DLA Piper</w:t>
            </w:r>
          </w:p>
        </w:tc>
      </w:tr>
      <w:tr w:rsidR="00124A50" w:rsidRPr="00400559" w:rsidTr="00740262">
        <w:trPr>
          <w:trHeight w:val="360"/>
        </w:trPr>
        <w:tc>
          <w:tcPr>
            <w:tcW w:w="835" w:type="pct"/>
            <w:shd w:val="clear" w:color="auto" w:fill="FFFFFF" w:themeFill="background1"/>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USA/The MEGA COMPANY</w:t>
            </w:r>
          </w:p>
        </w:tc>
        <w:tc>
          <w:tcPr>
            <w:tcW w:w="724" w:type="pct"/>
            <w:shd w:val="clear" w:color="auto" w:fill="FFFFFF" w:themeFill="background1"/>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 xml:space="preserve">SALAH </w:t>
            </w:r>
          </w:p>
        </w:tc>
        <w:tc>
          <w:tcPr>
            <w:tcW w:w="725" w:type="pct"/>
            <w:gridSpan w:val="2"/>
            <w:shd w:val="clear" w:color="auto" w:fill="FFFFFF" w:themeFill="background1"/>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TURKMANI</w:t>
            </w:r>
          </w:p>
        </w:tc>
        <w:tc>
          <w:tcPr>
            <w:tcW w:w="2716" w:type="pct"/>
            <w:shd w:val="clear" w:color="auto" w:fill="FFFFFF" w:themeFill="background1"/>
          </w:tcPr>
          <w:p w:rsidR="00124A50" w:rsidRPr="00400559" w:rsidRDefault="00124A50" w:rsidP="00124A50">
            <w:pPr>
              <w:spacing w:before="0" w:after="0"/>
              <w:jc w:val="left"/>
              <w:rPr>
                <w:rFonts w:ascii="Arial Narrow" w:hAnsi="Arial Narrow" w:cs="Arial"/>
                <w:sz w:val="20"/>
                <w:lang w:eastAsia="it-IT"/>
              </w:rPr>
            </w:pPr>
            <w:r w:rsidRPr="00400559">
              <w:rPr>
                <w:rFonts w:ascii="Arial Narrow" w:hAnsi="Arial Narrow" w:cs="Arial"/>
                <w:sz w:val="20"/>
                <w:lang w:eastAsia="it-IT"/>
              </w:rPr>
              <w:t>Owner of MEGA COMPANY</w:t>
            </w:r>
          </w:p>
        </w:tc>
      </w:tr>
    </w:tbl>
    <w:p w:rsidR="00124A50" w:rsidRPr="006D7451" w:rsidRDefault="00124A50" w:rsidP="006D7451">
      <w:pPr>
        <w:spacing w:before="0" w:after="0"/>
        <w:jc w:val="center"/>
        <w:rPr>
          <w:rFonts w:ascii="Arial" w:hAnsi="Arial" w:cs="Arial"/>
          <w:b/>
          <w:caps/>
          <w:color w:val="1F497D" w:themeColor="text2"/>
          <w:spacing w:val="20"/>
          <w:kern w:val="28"/>
          <w:sz w:val="24"/>
          <w:szCs w:val="24"/>
          <w:lang w:eastAsia="pl-PL"/>
        </w:rPr>
      </w:pPr>
    </w:p>
    <w:p w:rsidR="00C468AA" w:rsidRDefault="00C468AA" w:rsidP="00A574EB">
      <w:pPr>
        <w:jc w:val="center"/>
        <w:rPr>
          <w:rFonts w:ascii="Times New Roman" w:hAnsi="Times New Roman"/>
          <w:b/>
          <w:caps/>
          <w:color w:val="FFFFFF" w:themeColor="background1"/>
          <w:spacing w:val="20"/>
          <w:kern w:val="28"/>
          <w:sz w:val="28"/>
          <w:szCs w:val="28"/>
          <w:lang w:eastAsia="pl-PL"/>
        </w:rPr>
      </w:pPr>
    </w:p>
    <w:p w:rsidR="00F56A47" w:rsidRDefault="00F56A47" w:rsidP="00A574EB">
      <w:pPr>
        <w:jc w:val="center"/>
        <w:rPr>
          <w:rFonts w:ascii="Times New Roman" w:hAnsi="Times New Roman"/>
          <w:b/>
          <w:caps/>
          <w:color w:val="FFFFFF" w:themeColor="background1"/>
          <w:spacing w:val="20"/>
          <w:kern w:val="28"/>
          <w:sz w:val="28"/>
          <w:szCs w:val="28"/>
          <w:lang w:eastAsia="pl-PL"/>
        </w:rPr>
      </w:pPr>
    </w:p>
    <w:p w:rsidR="00F56A47" w:rsidRDefault="00F56A47" w:rsidP="00A574EB">
      <w:pPr>
        <w:jc w:val="center"/>
        <w:rPr>
          <w:rFonts w:ascii="Times New Roman" w:hAnsi="Times New Roman"/>
          <w:b/>
          <w:caps/>
          <w:color w:val="FFFFFF" w:themeColor="background1"/>
          <w:spacing w:val="20"/>
          <w:kern w:val="28"/>
          <w:sz w:val="28"/>
          <w:szCs w:val="28"/>
          <w:lang w:eastAsia="pl-PL"/>
        </w:rPr>
      </w:pPr>
    </w:p>
    <w:p w:rsidR="00E81D61" w:rsidRDefault="00E81D61" w:rsidP="00A574EB">
      <w:pPr>
        <w:jc w:val="center"/>
        <w:rPr>
          <w:rFonts w:ascii="Times New Roman" w:hAnsi="Times New Roman"/>
          <w:b/>
          <w:caps/>
          <w:color w:val="FFFFFF" w:themeColor="background1"/>
          <w:spacing w:val="20"/>
          <w:kern w:val="28"/>
          <w:sz w:val="28"/>
          <w:szCs w:val="28"/>
          <w:lang w:eastAsia="pl-PL"/>
        </w:rPr>
        <w:sectPr w:rsidR="00E81D61" w:rsidSect="00AB31B3">
          <w:pgSz w:w="11906" w:h="16838"/>
          <w:pgMar w:top="1417" w:right="1134" w:bottom="1134" w:left="1134" w:header="708" w:footer="708" w:gutter="0"/>
          <w:cols w:space="708"/>
          <w:docGrid w:linePitch="360"/>
        </w:sectPr>
      </w:pPr>
    </w:p>
    <w:p w:rsidR="003C2A8A" w:rsidRDefault="003C2A8A" w:rsidP="00A574EB">
      <w:pPr>
        <w:jc w:val="center"/>
        <w:rPr>
          <w:rFonts w:ascii="Times New Roman" w:hAnsi="Times New Roman"/>
          <w:b/>
          <w:caps/>
          <w:color w:val="FFFFFF" w:themeColor="background1"/>
          <w:spacing w:val="20"/>
          <w:kern w:val="28"/>
          <w:sz w:val="28"/>
          <w:szCs w:val="28"/>
          <w:lang w:eastAsia="pl-PL"/>
        </w:rPr>
      </w:pPr>
    </w:p>
    <w:p w:rsidR="00E81D61" w:rsidRPr="00376ECE" w:rsidRDefault="00E81D61" w:rsidP="00376ECE">
      <w:pPr>
        <w:jc w:val="center"/>
        <w:rPr>
          <w:rFonts w:ascii="Arial" w:hAnsi="Arial" w:cs="Arial"/>
          <w:b/>
          <w:smallCaps/>
          <w:color w:val="1F497D" w:themeColor="text2"/>
          <w:spacing w:val="20"/>
          <w:kern w:val="28"/>
          <w:sz w:val="24"/>
          <w:szCs w:val="24"/>
          <w:lang w:eastAsia="pl-PL"/>
        </w:rPr>
      </w:pPr>
      <w:r w:rsidRPr="00376ECE">
        <w:rPr>
          <w:rFonts w:ascii="Arial" w:hAnsi="Arial" w:cs="Arial"/>
          <w:b/>
          <w:smallCaps/>
          <w:color w:val="1F497D" w:themeColor="text2"/>
          <w:spacing w:val="20"/>
          <w:kern w:val="28"/>
          <w:sz w:val="24"/>
          <w:szCs w:val="24"/>
          <w:lang w:eastAsia="pl-PL"/>
        </w:rPr>
        <w:t xml:space="preserve">list of </w:t>
      </w:r>
      <w:proofErr w:type="spellStart"/>
      <w:r w:rsidRPr="00376ECE">
        <w:rPr>
          <w:rFonts w:ascii="Arial" w:hAnsi="Arial" w:cs="Arial"/>
          <w:b/>
          <w:smallCaps/>
          <w:color w:val="1F497D" w:themeColor="text2"/>
          <w:spacing w:val="20"/>
          <w:kern w:val="28"/>
          <w:sz w:val="24"/>
          <w:szCs w:val="24"/>
          <w:lang w:eastAsia="pl-PL"/>
        </w:rPr>
        <w:t>ngos</w:t>
      </w:r>
      <w:proofErr w:type="spellEnd"/>
      <w:r w:rsidR="00376ECE">
        <w:rPr>
          <w:rFonts w:ascii="Arial" w:hAnsi="Arial" w:cs="Arial"/>
          <w:b/>
          <w:smallCaps/>
          <w:color w:val="1F497D" w:themeColor="text2"/>
          <w:spacing w:val="20"/>
          <w:kern w:val="28"/>
          <w:sz w:val="24"/>
          <w:szCs w:val="24"/>
          <w:lang w:eastAsia="pl-PL"/>
        </w:rPr>
        <w:t xml:space="preserve"> met during the field visit</w:t>
      </w:r>
    </w:p>
    <w:p w:rsidR="00E81D61" w:rsidRPr="00376ECE" w:rsidRDefault="00E81D61" w:rsidP="00376ECE">
      <w:pPr>
        <w:spacing w:before="0" w:after="0"/>
        <w:rPr>
          <w:rFonts w:ascii="Arial Narrow" w:hAnsi="Arial Narrow"/>
          <w:b/>
          <w:bCs/>
          <w:color w:val="1F497D" w:themeColor="text2"/>
          <w:sz w:val="20"/>
          <w:lang w:bidi="ar-JO"/>
        </w:rPr>
      </w:pPr>
      <w:r w:rsidRPr="00376ECE">
        <w:rPr>
          <w:rFonts w:ascii="Arial Narrow" w:hAnsi="Arial Narrow"/>
          <w:b/>
          <w:bCs/>
          <w:color w:val="1F497D" w:themeColor="text2"/>
          <w:sz w:val="20"/>
          <w:lang w:bidi="ar-JO"/>
        </w:rPr>
        <w:t xml:space="preserve">International NGOs </w:t>
      </w:r>
    </w:p>
    <w:tbl>
      <w:tblPr>
        <w:tblpPr w:leftFromText="180" w:rightFromText="180" w:vertAnchor="text" w:horzAnchor="page" w:tblpX="1231" w:tblpY="14"/>
        <w:tblOverlap w:val="never"/>
        <w:tblW w:w="50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886"/>
        <w:gridCol w:w="3566"/>
        <w:gridCol w:w="2516"/>
        <w:gridCol w:w="2111"/>
        <w:gridCol w:w="3499"/>
      </w:tblGrid>
      <w:tr w:rsidR="00E81D61" w:rsidRPr="00376ECE" w:rsidTr="00705D33">
        <w:trPr>
          <w:trHeight w:val="175"/>
        </w:trPr>
        <w:tc>
          <w:tcPr>
            <w:tcW w:w="990" w:type="pct"/>
            <w:shd w:val="clear" w:color="auto" w:fill="4F81BD" w:themeFill="accent1"/>
            <w:vAlign w:val="center"/>
          </w:tcPr>
          <w:p w:rsidR="00E81D61" w:rsidRPr="00376ECE" w:rsidRDefault="00E81D61" w:rsidP="00376ECE">
            <w:pPr>
              <w:spacing w:before="0" w:after="0"/>
              <w:jc w:val="left"/>
              <w:rPr>
                <w:rFonts w:ascii="Arial Narrow" w:hAnsi="Arial Narrow"/>
                <w:b/>
                <w:color w:val="FFFFFF" w:themeColor="background1"/>
                <w:sz w:val="18"/>
                <w:szCs w:val="18"/>
              </w:rPr>
            </w:pPr>
            <w:r w:rsidRPr="00376ECE">
              <w:rPr>
                <w:rFonts w:ascii="Arial Narrow" w:hAnsi="Arial Narrow"/>
                <w:b/>
                <w:color w:val="FFFFFF" w:themeColor="background1"/>
                <w:sz w:val="18"/>
                <w:szCs w:val="18"/>
              </w:rPr>
              <w:t>Name of INGO</w:t>
            </w:r>
          </w:p>
        </w:tc>
        <w:tc>
          <w:tcPr>
            <w:tcW w:w="1223" w:type="pct"/>
            <w:shd w:val="clear" w:color="auto" w:fill="4F81BD" w:themeFill="accent1"/>
            <w:vAlign w:val="center"/>
          </w:tcPr>
          <w:p w:rsidR="00E81D61" w:rsidRPr="00376ECE" w:rsidRDefault="00E81D61" w:rsidP="00376ECE">
            <w:pPr>
              <w:spacing w:before="0" w:after="0"/>
              <w:jc w:val="left"/>
              <w:rPr>
                <w:rFonts w:ascii="Arial Narrow" w:hAnsi="Arial Narrow"/>
                <w:b/>
                <w:color w:val="FFFFFF" w:themeColor="background1"/>
                <w:sz w:val="18"/>
                <w:szCs w:val="18"/>
              </w:rPr>
            </w:pPr>
            <w:r w:rsidRPr="00376ECE">
              <w:rPr>
                <w:rFonts w:ascii="Arial Narrow" w:hAnsi="Arial Narrow"/>
                <w:b/>
                <w:color w:val="FFFFFF" w:themeColor="background1"/>
                <w:sz w:val="18"/>
                <w:szCs w:val="18"/>
              </w:rPr>
              <w:t>Contact Name</w:t>
            </w:r>
          </w:p>
        </w:tc>
        <w:tc>
          <w:tcPr>
            <w:tcW w:w="863" w:type="pct"/>
            <w:shd w:val="clear" w:color="auto" w:fill="4F81BD" w:themeFill="accent1"/>
            <w:vAlign w:val="center"/>
          </w:tcPr>
          <w:p w:rsidR="00E81D61" w:rsidRPr="00376ECE" w:rsidRDefault="00E81D61" w:rsidP="00376ECE">
            <w:pPr>
              <w:spacing w:before="0" w:after="0"/>
              <w:jc w:val="left"/>
              <w:rPr>
                <w:rFonts w:ascii="Arial Narrow" w:hAnsi="Arial Narrow"/>
                <w:b/>
                <w:color w:val="FFFFFF" w:themeColor="background1"/>
                <w:sz w:val="18"/>
                <w:szCs w:val="18"/>
              </w:rPr>
            </w:pPr>
            <w:r w:rsidRPr="00376ECE">
              <w:rPr>
                <w:rFonts w:ascii="Arial Narrow" w:hAnsi="Arial Narrow"/>
                <w:b/>
                <w:color w:val="FFFFFF" w:themeColor="background1"/>
                <w:sz w:val="18"/>
                <w:szCs w:val="18"/>
              </w:rPr>
              <w:t>Email</w:t>
            </w:r>
          </w:p>
        </w:tc>
        <w:tc>
          <w:tcPr>
            <w:tcW w:w="724" w:type="pct"/>
            <w:shd w:val="clear" w:color="auto" w:fill="4F81BD" w:themeFill="accent1"/>
            <w:vAlign w:val="center"/>
          </w:tcPr>
          <w:p w:rsidR="00E81D61" w:rsidRPr="00376ECE" w:rsidRDefault="00E81D61" w:rsidP="00376ECE">
            <w:pPr>
              <w:spacing w:before="0" w:after="0"/>
              <w:jc w:val="left"/>
              <w:rPr>
                <w:rFonts w:ascii="Arial Narrow" w:hAnsi="Arial Narrow"/>
                <w:b/>
                <w:color w:val="FFFFFF" w:themeColor="background1"/>
                <w:sz w:val="18"/>
                <w:szCs w:val="18"/>
              </w:rPr>
            </w:pPr>
            <w:r w:rsidRPr="00376ECE">
              <w:rPr>
                <w:rFonts w:ascii="Arial Narrow" w:hAnsi="Arial Narrow"/>
                <w:b/>
                <w:color w:val="FFFFFF" w:themeColor="background1"/>
                <w:sz w:val="18"/>
                <w:szCs w:val="18"/>
              </w:rPr>
              <w:t>Phone</w:t>
            </w:r>
          </w:p>
        </w:tc>
        <w:tc>
          <w:tcPr>
            <w:tcW w:w="1200" w:type="pct"/>
            <w:shd w:val="clear" w:color="auto" w:fill="4F81BD" w:themeFill="accent1"/>
            <w:vAlign w:val="center"/>
          </w:tcPr>
          <w:p w:rsidR="00E81D61" w:rsidRPr="00376ECE" w:rsidRDefault="00E81D61" w:rsidP="00376ECE">
            <w:pPr>
              <w:spacing w:before="0" w:after="0"/>
              <w:jc w:val="left"/>
              <w:rPr>
                <w:rFonts w:ascii="Arial Narrow" w:hAnsi="Arial Narrow"/>
                <w:b/>
                <w:color w:val="FFFFFF" w:themeColor="background1"/>
                <w:sz w:val="18"/>
                <w:szCs w:val="18"/>
              </w:rPr>
            </w:pPr>
            <w:r w:rsidRPr="00376ECE">
              <w:rPr>
                <w:rFonts w:ascii="Arial Narrow" w:hAnsi="Arial Narrow"/>
                <w:b/>
                <w:color w:val="FFFFFF" w:themeColor="background1"/>
                <w:sz w:val="18"/>
                <w:szCs w:val="18"/>
              </w:rPr>
              <w:t>Sector</w:t>
            </w:r>
          </w:p>
        </w:tc>
      </w:tr>
      <w:bookmarkStart w:id="9" w:name="a_5"/>
      <w:bookmarkEnd w:id="9"/>
      <w:tr w:rsidR="00E81D61" w:rsidRPr="00376ECE" w:rsidTr="00705D33">
        <w:trPr>
          <w:trHeight w:val="189"/>
        </w:trPr>
        <w:tc>
          <w:tcPr>
            <w:tcW w:w="990" w:type="pct"/>
            <w:shd w:val="clear" w:color="auto" w:fill="auto"/>
            <w:vAlign w:val="center"/>
          </w:tcPr>
          <w:p w:rsidR="00E81D61" w:rsidRPr="00376ECE" w:rsidRDefault="00A43E18" w:rsidP="00376ECE">
            <w:pPr>
              <w:spacing w:before="0" w:after="0"/>
              <w:jc w:val="left"/>
              <w:rPr>
                <w:rFonts w:ascii="Arial Narrow" w:hAnsi="Arial Narrow"/>
                <w:sz w:val="18"/>
                <w:szCs w:val="18"/>
              </w:rPr>
            </w:pPr>
            <w:r w:rsidRPr="00376ECE">
              <w:rPr>
                <w:rFonts w:ascii="Arial Narrow" w:hAnsi="Arial Narrow"/>
                <w:sz w:val="18"/>
                <w:szCs w:val="18"/>
              </w:rPr>
              <w:fldChar w:fldCharType="begin"/>
            </w:r>
            <w:r w:rsidR="00E81D61" w:rsidRPr="00376ECE">
              <w:rPr>
                <w:rFonts w:ascii="Arial Narrow" w:hAnsi="Arial Narrow"/>
                <w:sz w:val="18"/>
                <w:szCs w:val="18"/>
              </w:rPr>
              <w:instrText xml:space="preserve"> HYPERLINK "http://www.aidajerusalem.org/in_page.php?action=members" \l "a_5" </w:instrText>
            </w:r>
            <w:r w:rsidRPr="00376ECE">
              <w:rPr>
                <w:rFonts w:ascii="Arial Narrow" w:hAnsi="Arial Narrow"/>
                <w:sz w:val="18"/>
                <w:szCs w:val="18"/>
              </w:rPr>
              <w:fldChar w:fldCharType="separate"/>
            </w:r>
            <w:r w:rsidR="00E81D61" w:rsidRPr="00376ECE">
              <w:rPr>
                <w:rFonts w:ascii="Arial Narrow" w:hAnsi="Arial Narrow"/>
                <w:sz w:val="18"/>
                <w:szCs w:val="18"/>
              </w:rPr>
              <w:t>Action Against Hunger (ACF)</w:t>
            </w:r>
            <w:r w:rsidRPr="00376ECE">
              <w:rPr>
                <w:rFonts w:ascii="Arial Narrow" w:hAnsi="Arial Narrow"/>
                <w:sz w:val="18"/>
                <w:szCs w:val="18"/>
              </w:rPr>
              <w:fldChar w:fldCharType="end"/>
            </w:r>
          </w:p>
        </w:tc>
        <w:tc>
          <w:tcPr>
            <w:tcW w:w="1223" w:type="pct"/>
            <w:shd w:val="clear" w:color="auto" w:fill="auto"/>
            <w:vAlign w:val="center"/>
          </w:tcPr>
          <w:p w:rsidR="00E81D61" w:rsidRPr="00376ECE" w:rsidRDefault="00E81D61" w:rsidP="00376ECE">
            <w:pPr>
              <w:spacing w:before="0" w:after="0"/>
              <w:jc w:val="left"/>
              <w:rPr>
                <w:rFonts w:ascii="Arial Narrow" w:hAnsi="Arial Narrow"/>
                <w:sz w:val="18"/>
                <w:szCs w:val="18"/>
              </w:rPr>
            </w:pPr>
            <w:r w:rsidRPr="00376ECE">
              <w:rPr>
                <w:rFonts w:ascii="Arial Narrow" w:hAnsi="Arial Narrow"/>
                <w:sz w:val="18"/>
                <w:szCs w:val="18"/>
              </w:rPr>
              <w:t>Eric Fort - Head of Mission</w:t>
            </w:r>
          </w:p>
        </w:tc>
        <w:tc>
          <w:tcPr>
            <w:tcW w:w="863" w:type="pct"/>
            <w:shd w:val="clear" w:color="auto" w:fill="auto"/>
            <w:vAlign w:val="center"/>
          </w:tcPr>
          <w:p w:rsidR="00E81D61" w:rsidRPr="00376ECE" w:rsidRDefault="00E81D61" w:rsidP="00376ECE">
            <w:pPr>
              <w:spacing w:before="0" w:after="0"/>
              <w:jc w:val="left"/>
              <w:rPr>
                <w:rFonts w:ascii="Arial Narrow" w:hAnsi="Arial Narrow"/>
                <w:sz w:val="18"/>
                <w:szCs w:val="18"/>
              </w:rPr>
            </w:pPr>
            <w:r w:rsidRPr="00376ECE">
              <w:rPr>
                <w:rFonts w:ascii="Arial Narrow" w:hAnsi="Arial Narrow"/>
                <w:sz w:val="18"/>
                <w:szCs w:val="18"/>
              </w:rPr>
              <w:t>efort@pt.acfspain.org</w:t>
            </w:r>
          </w:p>
        </w:tc>
        <w:tc>
          <w:tcPr>
            <w:tcW w:w="724" w:type="pct"/>
            <w:shd w:val="clear" w:color="auto" w:fill="auto"/>
            <w:vAlign w:val="center"/>
          </w:tcPr>
          <w:p w:rsidR="00E81D61" w:rsidRPr="00376ECE" w:rsidRDefault="00E81D61" w:rsidP="00376ECE">
            <w:pPr>
              <w:spacing w:before="0" w:after="0"/>
              <w:jc w:val="left"/>
              <w:rPr>
                <w:rFonts w:ascii="Arial Narrow" w:hAnsi="Arial Narrow"/>
                <w:sz w:val="18"/>
                <w:szCs w:val="18"/>
              </w:rPr>
            </w:pPr>
            <w:r w:rsidRPr="00376ECE">
              <w:rPr>
                <w:rFonts w:ascii="Arial Narrow" w:hAnsi="Arial Narrow"/>
                <w:sz w:val="18"/>
                <w:szCs w:val="18"/>
              </w:rPr>
              <w:t>02-5835739</w:t>
            </w:r>
          </w:p>
        </w:tc>
        <w:tc>
          <w:tcPr>
            <w:tcW w:w="1200" w:type="pct"/>
            <w:shd w:val="clear" w:color="auto" w:fill="auto"/>
            <w:vAlign w:val="center"/>
          </w:tcPr>
          <w:p w:rsidR="00E81D61" w:rsidRPr="00376ECE" w:rsidRDefault="00E81D61" w:rsidP="00376ECE">
            <w:pPr>
              <w:spacing w:before="0" w:after="0"/>
              <w:jc w:val="left"/>
              <w:rPr>
                <w:rFonts w:ascii="Arial Narrow" w:hAnsi="Arial Narrow"/>
                <w:sz w:val="18"/>
                <w:szCs w:val="18"/>
              </w:rPr>
            </w:pPr>
            <w:r w:rsidRPr="00376ECE">
              <w:rPr>
                <w:rFonts w:ascii="Arial Narrow" w:hAnsi="Arial Narrow"/>
                <w:sz w:val="18"/>
                <w:szCs w:val="18"/>
              </w:rPr>
              <w:t xml:space="preserve">Humanitarian </w:t>
            </w:r>
          </w:p>
        </w:tc>
      </w:tr>
      <w:bookmarkStart w:id="10" w:name="a_8"/>
      <w:bookmarkEnd w:id="10"/>
      <w:tr w:rsidR="00E81D61" w:rsidRPr="00376ECE" w:rsidTr="00705D33">
        <w:trPr>
          <w:trHeight w:val="364"/>
        </w:trPr>
        <w:tc>
          <w:tcPr>
            <w:tcW w:w="990" w:type="pct"/>
            <w:shd w:val="clear" w:color="auto" w:fill="auto"/>
            <w:vAlign w:val="center"/>
          </w:tcPr>
          <w:p w:rsidR="00E81D61" w:rsidRPr="00376ECE" w:rsidRDefault="00A43E18" w:rsidP="00376ECE">
            <w:pPr>
              <w:spacing w:before="0" w:after="0"/>
              <w:jc w:val="left"/>
              <w:rPr>
                <w:rFonts w:ascii="Arial Narrow" w:hAnsi="Arial Narrow"/>
                <w:sz w:val="18"/>
                <w:szCs w:val="18"/>
              </w:rPr>
            </w:pPr>
            <w:r w:rsidRPr="00376ECE">
              <w:rPr>
                <w:rFonts w:ascii="Arial Narrow" w:hAnsi="Arial Narrow"/>
                <w:sz w:val="18"/>
                <w:szCs w:val="18"/>
              </w:rPr>
              <w:fldChar w:fldCharType="begin"/>
            </w:r>
            <w:r w:rsidR="00E81D61" w:rsidRPr="00376ECE">
              <w:rPr>
                <w:rFonts w:ascii="Arial Narrow" w:hAnsi="Arial Narrow"/>
                <w:sz w:val="18"/>
                <w:szCs w:val="18"/>
              </w:rPr>
              <w:instrText xml:space="preserve"> HYPERLINK "http://www.aidajerusalem.org/in_page.php?action=members" \l "a_8" </w:instrText>
            </w:r>
            <w:r w:rsidRPr="00376ECE">
              <w:rPr>
                <w:rFonts w:ascii="Arial Narrow" w:hAnsi="Arial Narrow"/>
                <w:sz w:val="18"/>
                <w:szCs w:val="18"/>
              </w:rPr>
              <w:fldChar w:fldCharType="separate"/>
            </w:r>
            <w:r w:rsidR="00E81D61" w:rsidRPr="00376ECE">
              <w:rPr>
                <w:rFonts w:ascii="Arial Narrow" w:hAnsi="Arial Narrow"/>
                <w:sz w:val="18"/>
                <w:szCs w:val="18"/>
              </w:rPr>
              <w:t>American Friends Service Committee (Quakers) (AFSC)</w:t>
            </w:r>
            <w:r w:rsidRPr="00376ECE">
              <w:rPr>
                <w:rFonts w:ascii="Arial Narrow" w:hAnsi="Arial Narrow"/>
                <w:sz w:val="18"/>
                <w:szCs w:val="18"/>
              </w:rPr>
              <w:fldChar w:fldCharType="end"/>
            </w:r>
          </w:p>
        </w:tc>
        <w:tc>
          <w:tcPr>
            <w:tcW w:w="1223" w:type="pct"/>
            <w:shd w:val="clear" w:color="auto" w:fill="auto"/>
            <w:vAlign w:val="center"/>
          </w:tcPr>
          <w:p w:rsidR="00E81D61" w:rsidRPr="00376ECE" w:rsidRDefault="00E81D61" w:rsidP="00376ECE">
            <w:pPr>
              <w:spacing w:before="0" w:after="0"/>
              <w:jc w:val="left"/>
              <w:rPr>
                <w:rFonts w:ascii="Arial Narrow" w:hAnsi="Arial Narrow"/>
                <w:sz w:val="18"/>
                <w:szCs w:val="18"/>
              </w:rPr>
            </w:pPr>
            <w:r w:rsidRPr="00376ECE">
              <w:rPr>
                <w:rFonts w:ascii="Arial Narrow" w:hAnsi="Arial Narrow"/>
                <w:sz w:val="18"/>
                <w:szCs w:val="18"/>
              </w:rPr>
              <w:t xml:space="preserve">Patricia </w:t>
            </w:r>
            <w:proofErr w:type="spellStart"/>
            <w:r w:rsidRPr="00376ECE">
              <w:rPr>
                <w:rFonts w:ascii="Arial Narrow" w:hAnsi="Arial Narrow"/>
                <w:sz w:val="18"/>
                <w:szCs w:val="18"/>
              </w:rPr>
              <w:t>Sellick</w:t>
            </w:r>
            <w:proofErr w:type="spellEnd"/>
            <w:r w:rsidRPr="00376ECE">
              <w:rPr>
                <w:rFonts w:ascii="Arial Narrow" w:hAnsi="Arial Narrow"/>
                <w:sz w:val="18"/>
                <w:szCs w:val="18"/>
              </w:rPr>
              <w:t xml:space="preserve"> - Regional Director for the Middle East</w:t>
            </w:r>
          </w:p>
        </w:tc>
        <w:tc>
          <w:tcPr>
            <w:tcW w:w="863" w:type="pct"/>
            <w:shd w:val="clear" w:color="auto" w:fill="auto"/>
            <w:vAlign w:val="center"/>
          </w:tcPr>
          <w:p w:rsidR="00E81D61" w:rsidRPr="00376ECE" w:rsidRDefault="00E81D61" w:rsidP="00376ECE">
            <w:pPr>
              <w:spacing w:before="0" w:after="0"/>
              <w:jc w:val="left"/>
              <w:rPr>
                <w:rFonts w:ascii="Arial Narrow" w:hAnsi="Arial Narrow"/>
                <w:sz w:val="18"/>
                <w:szCs w:val="18"/>
              </w:rPr>
            </w:pPr>
            <w:r w:rsidRPr="00376ECE">
              <w:rPr>
                <w:rFonts w:ascii="Arial Narrow" w:hAnsi="Arial Narrow"/>
                <w:sz w:val="18"/>
                <w:szCs w:val="18"/>
              </w:rPr>
              <w:t>psellick@afsc.org</w:t>
            </w:r>
          </w:p>
        </w:tc>
        <w:tc>
          <w:tcPr>
            <w:tcW w:w="724" w:type="pct"/>
            <w:shd w:val="clear" w:color="auto" w:fill="auto"/>
            <w:vAlign w:val="center"/>
          </w:tcPr>
          <w:p w:rsidR="00E81D61" w:rsidRPr="00376ECE" w:rsidRDefault="00E81D61" w:rsidP="00376ECE">
            <w:pPr>
              <w:spacing w:before="0" w:after="0"/>
              <w:jc w:val="left"/>
              <w:rPr>
                <w:rFonts w:ascii="Arial Narrow" w:hAnsi="Arial Narrow"/>
                <w:sz w:val="18"/>
                <w:szCs w:val="18"/>
              </w:rPr>
            </w:pPr>
            <w:r w:rsidRPr="00376ECE">
              <w:rPr>
                <w:rFonts w:ascii="Arial Narrow" w:hAnsi="Arial Narrow"/>
                <w:sz w:val="18"/>
                <w:szCs w:val="18"/>
              </w:rPr>
              <w:t>+972 (0) 2 6288070</w:t>
            </w:r>
          </w:p>
        </w:tc>
        <w:tc>
          <w:tcPr>
            <w:tcW w:w="1200" w:type="pct"/>
            <w:shd w:val="clear" w:color="auto" w:fill="auto"/>
            <w:vAlign w:val="center"/>
          </w:tcPr>
          <w:p w:rsidR="00E81D61" w:rsidRPr="00376ECE" w:rsidRDefault="00E81D61" w:rsidP="00376ECE">
            <w:pPr>
              <w:spacing w:before="0" w:after="0"/>
              <w:jc w:val="left"/>
              <w:rPr>
                <w:rFonts w:ascii="Arial Narrow" w:hAnsi="Arial Narrow"/>
                <w:sz w:val="18"/>
                <w:szCs w:val="18"/>
              </w:rPr>
            </w:pPr>
            <w:r w:rsidRPr="00376ECE">
              <w:rPr>
                <w:rFonts w:ascii="Arial Narrow" w:hAnsi="Arial Narrow"/>
                <w:sz w:val="18"/>
                <w:szCs w:val="18"/>
              </w:rPr>
              <w:t>Society, Youth, Peace and Development</w:t>
            </w:r>
          </w:p>
        </w:tc>
      </w:tr>
      <w:bookmarkStart w:id="11" w:name="a_16"/>
      <w:bookmarkEnd w:id="11"/>
      <w:tr w:rsidR="00E81D61" w:rsidRPr="00376ECE" w:rsidTr="00705D33">
        <w:trPr>
          <w:trHeight w:val="364"/>
        </w:trPr>
        <w:tc>
          <w:tcPr>
            <w:tcW w:w="990" w:type="pct"/>
            <w:shd w:val="clear" w:color="auto" w:fill="auto"/>
            <w:vAlign w:val="center"/>
          </w:tcPr>
          <w:p w:rsidR="00E81D61" w:rsidRPr="00376ECE" w:rsidRDefault="00A43E18" w:rsidP="00376ECE">
            <w:pPr>
              <w:spacing w:before="0" w:after="0"/>
              <w:jc w:val="left"/>
              <w:rPr>
                <w:rFonts w:ascii="Arial Narrow" w:hAnsi="Arial Narrow"/>
                <w:sz w:val="18"/>
                <w:szCs w:val="18"/>
              </w:rPr>
            </w:pPr>
            <w:r w:rsidRPr="00376ECE">
              <w:rPr>
                <w:rFonts w:ascii="Arial Narrow" w:hAnsi="Arial Narrow"/>
                <w:sz w:val="18"/>
                <w:szCs w:val="18"/>
              </w:rPr>
              <w:fldChar w:fldCharType="begin"/>
            </w:r>
            <w:r w:rsidR="00E81D61" w:rsidRPr="00376ECE">
              <w:rPr>
                <w:rFonts w:ascii="Arial Narrow" w:hAnsi="Arial Narrow"/>
                <w:sz w:val="18"/>
                <w:szCs w:val="18"/>
              </w:rPr>
              <w:instrText xml:space="preserve"> HYPERLINK "http://www.aidajerusalem.org/in_page.php?action=members" \l "a_16" </w:instrText>
            </w:r>
            <w:r w:rsidRPr="00376ECE">
              <w:rPr>
                <w:rFonts w:ascii="Arial Narrow" w:hAnsi="Arial Narrow"/>
                <w:sz w:val="18"/>
                <w:szCs w:val="18"/>
              </w:rPr>
              <w:fldChar w:fldCharType="separate"/>
            </w:r>
            <w:r w:rsidR="00E81D61" w:rsidRPr="00376ECE">
              <w:rPr>
                <w:rFonts w:ascii="Arial Narrow" w:hAnsi="Arial Narrow"/>
                <w:sz w:val="18"/>
                <w:szCs w:val="18"/>
              </w:rPr>
              <w:t>CARE International (CARE)</w:t>
            </w:r>
            <w:r w:rsidRPr="00376ECE">
              <w:rPr>
                <w:rFonts w:ascii="Arial Narrow" w:hAnsi="Arial Narrow"/>
                <w:sz w:val="18"/>
                <w:szCs w:val="18"/>
              </w:rPr>
              <w:fldChar w:fldCharType="end"/>
            </w:r>
          </w:p>
        </w:tc>
        <w:tc>
          <w:tcPr>
            <w:tcW w:w="1223" w:type="pct"/>
            <w:shd w:val="clear" w:color="auto" w:fill="auto"/>
            <w:vAlign w:val="center"/>
          </w:tcPr>
          <w:p w:rsidR="00E81D61" w:rsidRPr="00376ECE" w:rsidRDefault="00E81D61" w:rsidP="00376ECE">
            <w:pPr>
              <w:spacing w:before="0" w:after="0"/>
              <w:jc w:val="left"/>
              <w:rPr>
                <w:rFonts w:ascii="Arial Narrow" w:hAnsi="Arial Narrow"/>
                <w:sz w:val="18"/>
                <w:szCs w:val="18"/>
              </w:rPr>
            </w:pPr>
            <w:r w:rsidRPr="00376ECE">
              <w:rPr>
                <w:rFonts w:ascii="Arial Narrow" w:hAnsi="Arial Narrow"/>
                <w:sz w:val="18"/>
                <w:szCs w:val="18"/>
              </w:rPr>
              <w:t>David White - Country Director</w:t>
            </w:r>
          </w:p>
        </w:tc>
        <w:tc>
          <w:tcPr>
            <w:tcW w:w="863" w:type="pct"/>
            <w:shd w:val="clear" w:color="auto" w:fill="auto"/>
            <w:vAlign w:val="center"/>
          </w:tcPr>
          <w:p w:rsidR="00E81D61" w:rsidRPr="00376ECE" w:rsidRDefault="00E81D61" w:rsidP="00376ECE">
            <w:pPr>
              <w:spacing w:before="0" w:after="0"/>
              <w:jc w:val="left"/>
              <w:rPr>
                <w:rFonts w:ascii="Arial Narrow" w:hAnsi="Arial Narrow"/>
                <w:sz w:val="18"/>
                <w:szCs w:val="18"/>
              </w:rPr>
            </w:pPr>
            <w:r w:rsidRPr="00376ECE">
              <w:rPr>
                <w:rFonts w:ascii="Arial Narrow" w:hAnsi="Arial Narrow"/>
                <w:sz w:val="18"/>
                <w:szCs w:val="18"/>
              </w:rPr>
              <w:t>info@carewbg.org</w:t>
            </w:r>
          </w:p>
        </w:tc>
        <w:tc>
          <w:tcPr>
            <w:tcW w:w="724" w:type="pct"/>
            <w:shd w:val="clear" w:color="auto" w:fill="auto"/>
            <w:vAlign w:val="center"/>
          </w:tcPr>
          <w:p w:rsidR="00E81D61" w:rsidRPr="00376ECE" w:rsidRDefault="00376ECE" w:rsidP="00376ECE">
            <w:pPr>
              <w:spacing w:before="0" w:after="0"/>
              <w:jc w:val="left"/>
              <w:rPr>
                <w:rFonts w:ascii="Arial Narrow" w:hAnsi="Arial Narrow"/>
                <w:sz w:val="18"/>
                <w:szCs w:val="18"/>
              </w:rPr>
            </w:pPr>
            <w:r w:rsidRPr="00376ECE">
              <w:rPr>
                <w:rFonts w:ascii="Arial Narrow" w:hAnsi="Arial Narrow"/>
                <w:sz w:val="18"/>
                <w:szCs w:val="18"/>
              </w:rPr>
              <w:t>+972 2 583 4069 |</w:t>
            </w:r>
            <w:r w:rsidR="00E81D61" w:rsidRPr="00376ECE">
              <w:rPr>
                <w:rFonts w:ascii="Arial Narrow" w:hAnsi="Arial Narrow"/>
                <w:sz w:val="18"/>
                <w:szCs w:val="18"/>
              </w:rPr>
              <w:t>+972 2 295 4949</w:t>
            </w:r>
          </w:p>
        </w:tc>
        <w:tc>
          <w:tcPr>
            <w:tcW w:w="1200" w:type="pct"/>
            <w:shd w:val="clear" w:color="auto" w:fill="auto"/>
            <w:vAlign w:val="center"/>
          </w:tcPr>
          <w:p w:rsidR="00E81D61" w:rsidRPr="00376ECE" w:rsidRDefault="00E81D61" w:rsidP="00376ECE">
            <w:pPr>
              <w:spacing w:before="0" w:after="0"/>
              <w:jc w:val="left"/>
              <w:rPr>
                <w:rFonts w:ascii="Arial Narrow" w:hAnsi="Arial Narrow"/>
                <w:sz w:val="18"/>
                <w:szCs w:val="18"/>
              </w:rPr>
            </w:pPr>
            <w:r w:rsidRPr="00376ECE">
              <w:rPr>
                <w:rFonts w:ascii="Arial Narrow" w:hAnsi="Arial Narrow"/>
                <w:sz w:val="18"/>
                <w:szCs w:val="18"/>
              </w:rPr>
              <w:t>Relief Agency</w:t>
            </w:r>
          </w:p>
        </w:tc>
      </w:tr>
      <w:bookmarkStart w:id="12" w:name="a_18"/>
      <w:bookmarkEnd w:id="12"/>
      <w:tr w:rsidR="00E81D61" w:rsidRPr="00376ECE" w:rsidTr="00705D33">
        <w:trPr>
          <w:trHeight w:val="253"/>
        </w:trPr>
        <w:tc>
          <w:tcPr>
            <w:tcW w:w="990" w:type="pct"/>
            <w:shd w:val="clear" w:color="auto" w:fill="auto"/>
            <w:vAlign w:val="center"/>
          </w:tcPr>
          <w:p w:rsidR="00E81D61" w:rsidRPr="00376ECE" w:rsidRDefault="00A43E18" w:rsidP="00376ECE">
            <w:pPr>
              <w:spacing w:before="0" w:after="0"/>
              <w:jc w:val="left"/>
              <w:rPr>
                <w:rFonts w:ascii="Arial Narrow" w:hAnsi="Arial Narrow"/>
                <w:sz w:val="18"/>
                <w:szCs w:val="18"/>
              </w:rPr>
            </w:pPr>
            <w:r w:rsidRPr="00376ECE">
              <w:rPr>
                <w:rFonts w:ascii="Arial Narrow" w:hAnsi="Arial Narrow"/>
                <w:sz w:val="18"/>
                <w:szCs w:val="18"/>
              </w:rPr>
              <w:fldChar w:fldCharType="begin"/>
            </w:r>
            <w:r w:rsidR="00E81D61" w:rsidRPr="00376ECE">
              <w:rPr>
                <w:rFonts w:ascii="Arial Narrow" w:hAnsi="Arial Narrow"/>
                <w:sz w:val="18"/>
                <w:szCs w:val="18"/>
              </w:rPr>
              <w:instrText xml:space="preserve"> HYPERLINK "http://www.aidajerusalem.org/in_page.php?action=members" \l "a_18" </w:instrText>
            </w:r>
            <w:r w:rsidRPr="00376ECE">
              <w:rPr>
                <w:rFonts w:ascii="Arial Narrow" w:hAnsi="Arial Narrow"/>
                <w:sz w:val="18"/>
                <w:szCs w:val="18"/>
              </w:rPr>
              <w:fldChar w:fldCharType="separate"/>
            </w:r>
            <w:r w:rsidR="00E81D61" w:rsidRPr="00376ECE">
              <w:rPr>
                <w:rFonts w:ascii="Arial Narrow" w:hAnsi="Arial Narrow"/>
                <w:sz w:val="18"/>
                <w:szCs w:val="18"/>
              </w:rPr>
              <w:t>Catholic Relief Service (CRS)</w:t>
            </w:r>
            <w:r w:rsidRPr="00376ECE">
              <w:rPr>
                <w:rFonts w:ascii="Arial Narrow" w:hAnsi="Arial Narrow"/>
                <w:sz w:val="18"/>
                <w:szCs w:val="18"/>
              </w:rPr>
              <w:fldChar w:fldCharType="end"/>
            </w:r>
          </w:p>
        </w:tc>
        <w:tc>
          <w:tcPr>
            <w:tcW w:w="1223" w:type="pct"/>
            <w:shd w:val="clear" w:color="auto" w:fill="auto"/>
            <w:vAlign w:val="center"/>
          </w:tcPr>
          <w:p w:rsidR="00E81D61" w:rsidRPr="00376ECE" w:rsidRDefault="00E81D61" w:rsidP="00376ECE">
            <w:pPr>
              <w:spacing w:before="0" w:after="0"/>
              <w:jc w:val="left"/>
              <w:rPr>
                <w:rFonts w:ascii="Arial Narrow" w:hAnsi="Arial Narrow"/>
                <w:sz w:val="18"/>
                <w:szCs w:val="18"/>
              </w:rPr>
            </w:pPr>
            <w:r w:rsidRPr="00376ECE">
              <w:rPr>
                <w:rFonts w:ascii="Arial Narrow" w:hAnsi="Arial Narrow"/>
                <w:sz w:val="18"/>
                <w:szCs w:val="18"/>
              </w:rPr>
              <w:t xml:space="preserve">Matthew </w:t>
            </w:r>
            <w:proofErr w:type="spellStart"/>
            <w:r w:rsidRPr="00376ECE">
              <w:rPr>
                <w:rFonts w:ascii="Arial Narrow" w:hAnsi="Arial Narrow"/>
                <w:sz w:val="18"/>
                <w:szCs w:val="18"/>
              </w:rPr>
              <w:t>McGarry</w:t>
            </w:r>
            <w:proofErr w:type="spellEnd"/>
            <w:r w:rsidRPr="00376ECE">
              <w:rPr>
                <w:rFonts w:ascii="Arial Narrow" w:hAnsi="Arial Narrow"/>
                <w:sz w:val="18"/>
                <w:szCs w:val="18"/>
              </w:rPr>
              <w:t xml:space="preserve"> - Country Representative</w:t>
            </w:r>
          </w:p>
        </w:tc>
        <w:tc>
          <w:tcPr>
            <w:tcW w:w="863" w:type="pct"/>
            <w:shd w:val="clear" w:color="auto" w:fill="auto"/>
            <w:vAlign w:val="center"/>
          </w:tcPr>
          <w:p w:rsidR="00E81D61" w:rsidRPr="00376ECE" w:rsidRDefault="00E81D61" w:rsidP="00376ECE">
            <w:pPr>
              <w:spacing w:before="0" w:after="0"/>
              <w:jc w:val="left"/>
              <w:rPr>
                <w:rFonts w:ascii="Arial Narrow" w:hAnsi="Arial Narrow"/>
                <w:sz w:val="18"/>
                <w:szCs w:val="18"/>
              </w:rPr>
            </w:pPr>
            <w:r w:rsidRPr="00376ECE">
              <w:rPr>
                <w:rFonts w:ascii="Arial Narrow" w:hAnsi="Arial Narrow"/>
                <w:sz w:val="18"/>
                <w:szCs w:val="18"/>
              </w:rPr>
              <w:t>Matthew.mcgarry@crs.org</w:t>
            </w:r>
          </w:p>
        </w:tc>
        <w:tc>
          <w:tcPr>
            <w:tcW w:w="724" w:type="pct"/>
            <w:shd w:val="clear" w:color="auto" w:fill="auto"/>
            <w:vAlign w:val="center"/>
          </w:tcPr>
          <w:p w:rsidR="00E81D61" w:rsidRPr="00376ECE" w:rsidRDefault="00E81D61" w:rsidP="00376ECE">
            <w:pPr>
              <w:spacing w:before="0" w:after="0"/>
              <w:jc w:val="left"/>
              <w:rPr>
                <w:rFonts w:ascii="Arial Narrow" w:hAnsi="Arial Narrow"/>
                <w:sz w:val="18"/>
                <w:szCs w:val="18"/>
              </w:rPr>
            </w:pPr>
            <w:r w:rsidRPr="00376ECE">
              <w:rPr>
                <w:rFonts w:ascii="Arial Narrow" w:hAnsi="Arial Narrow"/>
                <w:sz w:val="18"/>
                <w:szCs w:val="18"/>
              </w:rPr>
              <w:t>+972.2.656.9240/1</w:t>
            </w:r>
          </w:p>
        </w:tc>
        <w:tc>
          <w:tcPr>
            <w:tcW w:w="1200" w:type="pct"/>
            <w:shd w:val="clear" w:color="auto" w:fill="auto"/>
            <w:vAlign w:val="center"/>
          </w:tcPr>
          <w:p w:rsidR="00E81D61" w:rsidRPr="00376ECE" w:rsidRDefault="00E81D61" w:rsidP="00376ECE">
            <w:pPr>
              <w:spacing w:before="0" w:after="0"/>
              <w:jc w:val="left"/>
              <w:rPr>
                <w:rFonts w:ascii="Arial Narrow" w:hAnsi="Arial Narrow"/>
                <w:sz w:val="18"/>
                <w:szCs w:val="18"/>
              </w:rPr>
            </w:pPr>
            <w:r w:rsidRPr="00376ECE">
              <w:rPr>
                <w:rStyle w:val="st"/>
                <w:rFonts w:ascii="Arial Narrow" w:hAnsi="Arial Narrow"/>
                <w:sz w:val="18"/>
                <w:szCs w:val="18"/>
              </w:rPr>
              <w:t>International Humanitarian Agency</w:t>
            </w:r>
          </w:p>
        </w:tc>
      </w:tr>
      <w:bookmarkStart w:id="13" w:name="a_80"/>
      <w:bookmarkEnd w:id="13"/>
      <w:tr w:rsidR="00E81D61" w:rsidRPr="00376ECE" w:rsidTr="00705D33">
        <w:trPr>
          <w:trHeight w:val="189"/>
        </w:trPr>
        <w:tc>
          <w:tcPr>
            <w:tcW w:w="990" w:type="pct"/>
            <w:shd w:val="clear" w:color="auto" w:fill="auto"/>
            <w:vAlign w:val="center"/>
          </w:tcPr>
          <w:p w:rsidR="00E81D61" w:rsidRPr="00376ECE" w:rsidRDefault="00A43E18" w:rsidP="00376ECE">
            <w:pPr>
              <w:spacing w:before="0" w:after="0"/>
              <w:jc w:val="left"/>
              <w:rPr>
                <w:rFonts w:ascii="Arial Narrow" w:hAnsi="Arial Narrow"/>
                <w:sz w:val="18"/>
                <w:szCs w:val="18"/>
              </w:rPr>
            </w:pPr>
            <w:r w:rsidRPr="00376ECE">
              <w:rPr>
                <w:rFonts w:ascii="Arial Narrow" w:hAnsi="Arial Narrow"/>
                <w:sz w:val="18"/>
                <w:szCs w:val="18"/>
              </w:rPr>
              <w:fldChar w:fldCharType="begin"/>
            </w:r>
            <w:r w:rsidR="00E81D61" w:rsidRPr="00376ECE">
              <w:rPr>
                <w:rFonts w:ascii="Arial Narrow" w:hAnsi="Arial Narrow"/>
                <w:sz w:val="18"/>
                <w:szCs w:val="18"/>
              </w:rPr>
              <w:instrText xml:space="preserve"> HYPERLINK "http://www.aidajerusalem.org/in_page.php?action=members" \l "a_80" </w:instrText>
            </w:r>
            <w:r w:rsidRPr="00376ECE">
              <w:rPr>
                <w:rFonts w:ascii="Arial Narrow" w:hAnsi="Arial Narrow"/>
                <w:sz w:val="18"/>
                <w:szCs w:val="18"/>
              </w:rPr>
              <w:fldChar w:fldCharType="separate"/>
            </w:r>
            <w:r w:rsidR="00E81D61" w:rsidRPr="00376ECE">
              <w:rPr>
                <w:rFonts w:ascii="Arial Narrow" w:hAnsi="Arial Narrow"/>
                <w:sz w:val="18"/>
                <w:szCs w:val="18"/>
              </w:rPr>
              <w:t>CHF International (CHF)</w:t>
            </w:r>
            <w:r w:rsidRPr="00376ECE">
              <w:rPr>
                <w:rFonts w:ascii="Arial Narrow" w:hAnsi="Arial Narrow"/>
                <w:sz w:val="18"/>
                <w:szCs w:val="18"/>
              </w:rPr>
              <w:fldChar w:fldCharType="end"/>
            </w:r>
          </w:p>
        </w:tc>
        <w:tc>
          <w:tcPr>
            <w:tcW w:w="1223" w:type="pct"/>
            <w:shd w:val="clear" w:color="auto" w:fill="auto"/>
            <w:vAlign w:val="center"/>
          </w:tcPr>
          <w:p w:rsidR="00E81D61" w:rsidRPr="00376ECE" w:rsidRDefault="00E81D61" w:rsidP="00376ECE">
            <w:pPr>
              <w:spacing w:before="0" w:after="0"/>
              <w:jc w:val="left"/>
              <w:rPr>
                <w:rFonts w:ascii="Arial Narrow" w:hAnsi="Arial Narrow"/>
                <w:sz w:val="18"/>
                <w:szCs w:val="18"/>
              </w:rPr>
            </w:pPr>
            <w:r w:rsidRPr="00376ECE">
              <w:rPr>
                <w:rFonts w:ascii="Arial Narrow" w:hAnsi="Arial Narrow"/>
                <w:sz w:val="18"/>
                <w:szCs w:val="18"/>
              </w:rPr>
              <w:t xml:space="preserve">Lana Abu </w:t>
            </w:r>
            <w:proofErr w:type="spellStart"/>
            <w:r w:rsidRPr="00376ECE">
              <w:rPr>
                <w:rFonts w:ascii="Arial Narrow" w:hAnsi="Arial Narrow"/>
                <w:sz w:val="18"/>
                <w:szCs w:val="18"/>
              </w:rPr>
              <w:t>Hijleh</w:t>
            </w:r>
            <w:proofErr w:type="spellEnd"/>
            <w:r w:rsidRPr="00376ECE">
              <w:rPr>
                <w:rFonts w:ascii="Arial Narrow" w:hAnsi="Arial Narrow"/>
                <w:sz w:val="18"/>
                <w:szCs w:val="18"/>
              </w:rPr>
              <w:t xml:space="preserve"> - Country Director</w:t>
            </w:r>
          </w:p>
        </w:tc>
        <w:tc>
          <w:tcPr>
            <w:tcW w:w="863" w:type="pct"/>
            <w:shd w:val="clear" w:color="auto" w:fill="auto"/>
            <w:vAlign w:val="center"/>
          </w:tcPr>
          <w:p w:rsidR="00E81D61" w:rsidRPr="00376ECE" w:rsidRDefault="00E81D61" w:rsidP="00376ECE">
            <w:pPr>
              <w:spacing w:before="0" w:after="0"/>
              <w:jc w:val="left"/>
              <w:rPr>
                <w:rFonts w:ascii="Arial Narrow" w:hAnsi="Arial Narrow"/>
                <w:sz w:val="18"/>
                <w:szCs w:val="18"/>
              </w:rPr>
            </w:pPr>
            <w:r w:rsidRPr="00376ECE">
              <w:rPr>
                <w:rFonts w:ascii="Arial Narrow" w:hAnsi="Arial Narrow"/>
                <w:sz w:val="18"/>
                <w:szCs w:val="18"/>
              </w:rPr>
              <w:t>labuhijleh@chf-pal.org</w:t>
            </w:r>
          </w:p>
        </w:tc>
        <w:tc>
          <w:tcPr>
            <w:tcW w:w="724" w:type="pct"/>
            <w:shd w:val="clear" w:color="auto" w:fill="auto"/>
            <w:vAlign w:val="center"/>
          </w:tcPr>
          <w:p w:rsidR="00E81D61" w:rsidRPr="00376ECE" w:rsidRDefault="00E81D61" w:rsidP="00376ECE">
            <w:pPr>
              <w:spacing w:before="0" w:after="0"/>
              <w:jc w:val="left"/>
              <w:rPr>
                <w:rFonts w:ascii="Arial Narrow" w:hAnsi="Arial Narrow"/>
                <w:sz w:val="18"/>
                <w:szCs w:val="18"/>
              </w:rPr>
            </w:pPr>
            <w:r w:rsidRPr="00376ECE">
              <w:rPr>
                <w:rFonts w:ascii="Arial Narrow" w:hAnsi="Arial Narrow"/>
                <w:sz w:val="18"/>
                <w:szCs w:val="18"/>
              </w:rPr>
              <w:t>+972.(0)2.2429522</w:t>
            </w:r>
          </w:p>
        </w:tc>
        <w:tc>
          <w:tcPr>
            <w:tcW w:w="1200" w:type="pct"/>
            <w:shd w:val="clear" w:color="auto" w:fill="auto"/>
            <w:vAlign w:val="center"/>
          </w:tcPr>
          <w:p w:rsidR="00E81D61" w:rsidRPr="00376ECE" w:rsidRDefault="00E81D61" w:rsidP="00376ECE">
            <w:pPr>
              <w:spacing w:before="0" w:after="0"/>
              <w:jc w:val="left"/>
              <w:rPr>
                <w:rFonts w:ascii="Arial Narrow" w:hAnsi="Arial Narrow"/>
                <w:sz w:val="18"/>
                <w:szCs w:val="18"/>
              </w:rPr>
            </w:pPr>
            <w:r w:rsidRPr="00376ECE">
              <w:rPr>
                <w:rStyle w:val="st"/>
                <w:rFonts w:ascii="Arial Narrow" w:hAnsi="Arial Narrow"/>
                <w:sz w:val="18"/>
                <w:szCs w:val="18"/>
              </w:rPr>
              <w:t>Development and Humanitarian Aid Organization</w:t>
            </w:r>
          </w:p>
        </w:tc>
      </w:tr>
      <w:bookmarkStart w:id="14" w:name="a_31"/>
      <w:bookmarkEnd w:id="14"/>
      <w:tr w:rsidR="00E81D61" w:rsidRPr="00376ECE" w:rsidTr="00705D33">
        <w:trPr>
          <w:trHeight w:val="553"/>
        </w:trPr>
        <w:tc>
          <w:tcPr>
            <w:tcW w:w="990" w:type="pct"/>
            <w:shd w:val="clear" w:color="auto" w:fill="auto"/>
            <w:vAlign w:val="center"/>
          </w:tcPr>
          <w:p w:rsidR="00E81D61" w:rsidRPr="00376ECE" w:rsidRDefault="00A43E18" w:rsidP="00376ECE">
            <w:pPr>
              <w:spacing w:before="0" w:after="0"/>
              <w:jc w:val="left"/>
              <w:rPr>
                <w:rFonts w:ascii="Arial Narrow" w:hAnsi="Arial Narrow"/>
                <w:sz w:val="18"/>
                <w:szCs w:val="18"/>
              </w:rPr>
            </w:pPr>
            <w:r w:rsidRPr="00376ECE">
              <w:rPr>
                <w:rFonts w:ascii="Arial Narrow" w:hAnsi="Arial Narrow"/>
                <w:sz w:val="18"/>
                <w:szCs w:val="18"/>
              </w:rPr>
              <w:fldChar w:fldCharType="begin"/>
            </w:r>
            <w:r w:rsidR="00E81D61" w:rsidRPr="00376ECE">
              <w:rPr>
                <w:rFonts w:ascii="Arial Narrow" w:hAnsi="Arial Narrow"/>
                <w:sz w:val="18"/>
                <w:szCs w:val="18"/>
              </w:rPr>
              <w:instrText xml:space="preserve"> HYPERLINK "http://www.aidajerusalem.org/in_page.php?action=members" \l "a_31" </w:instrText>
            </w:r>
            <w:r w:rsidRPr="00376ECE">
              <w:rPr>
                <w:rFonts w:ascii="Arial Narrow" w:hAnsi="Arial Narrow"/>
                <w:sz w:val="18"/>
                <w:szCs w:val="18"/>
              </w:rPr>
              <w:fldChar w:fldCharType="separate"/>
            </w:r>
            <w:r w:rsidR="00E81D61" w:rsidRPr="00376ECE">
              <w:rPr>
                <w:rFonts w:ascii="Arial Narrow" w:hAnsi="Arial Narrow"/>
                <w:sz w:val="18"/>
                <w:szCs w:val="18"/>
              </w:rPr>
              <w:t>Handicap International (HI)</w:t>
            </w:r>
            <w:r w:rsidRPr="00376ECE">
              <w:rPr>
                <w:rFonts w:ascii="Arial Narrow" w:hAnsi="Arial Narrow"/>
                <w:sz w:val="18"/>
                <w:szCs w:val="18"/>
              </w:rPr>
              <w:fldChar w:fldCharType="end"/>
            </w:r>
          </w:p>
        </w:tc>
        <w:tc>
          <w:tcPr>
            <w:tcW w:w="1223" w:type="pct"/>
            <w:shd w:val="clear" w:color="auto" w:fill="auto"/>
            <w:vAlign w:val="center"/>
          </w:tcPr>
          <w:p w:rsidR="00E81D61" w:rsidRPr="00376ECE" w:rsidRDefault="00E81D61" w:rsidP="00376ECE">
            <w:pPr>
              <w:spacing w:before="0" w:after="0"/>
              <w:jc w:val="left"/>
              <w:rPr>
                <w:rFonts w:ascii="Arial Narrow" w:hAnsi="Arial Narrow"/>
                <w:sz w:val="18"/>
                <w:szCs w:val="18"/>
              </w:rPr>
            </w:pPr>
            <w:r w:rsidRPr="00376ECE">
              <w:rPr>
                <w:rFonts w:ascii="Arial Narrow" w:hAnsi="Arial Narrow"/>
                <w:sz w:val="18"/>
                <w:szCs w:val="18"/>
              </w:rPr>
              <w:t xml:space="preserve">David </w:t>
            </w:r>
            <w:proofErr w:type="spellStart"/>
            <w:r w:rsidRPr="00376ECE">
              <w:rPr>
                <w:rFonts w:ascii="Arial Narrow" w:hAnsi="Arial Narrow"/>
                <w:sz w:val="18"/>
                <w:szCs w:val="18"/>
              </w:rPr>
              <w:t>Ligneau</w:t>
            </w:r>
            <w:proofErr w:type="spellEnd"/>
            <w:r w:rsidRPr="00376ECE">
              <w:rPr>
                <w:rFonts w:ascii="Arial Narrow" w:hAnsi="Arial Narrow"/>
                <w:sz w:val="18"/>
                <w:szCs w:val="18"/>
              </w:rPr>
              <w:t xml:space="preserve"> - Head of Mission</w:t>
            </w:r>
          </w:p>
        </w:tc>
        <w:tc>
          <w:tcPr>
            <w:tcW w:w="863" w:type="pct"/>
            <w:shd w:val="clear" w:color="auto" w:fill="auto"/>
            <w:vAlign w:val="center"/>
          </w:tcPr>
          <w:p w:rsidR="00E81D61" w:rsidRPr="00376ECE" w:rsidRDefault="00E81D61" w:rsidP="00376ECE">
            <w:pPr>
              <w:spacing w:before="0" w:after="0"/>
              <w:jc w:val="left"/>
              <w:rPr>
                <w:rFonts w:ascii="Arial Narrow" w:hAnsi="Arial Narrow"/>
                <w:sz w:val="18"/>
                <w:szCs w:val="18"/>
              </w:rPr>
            </w:pPr>
            <w:r w:rsidRPr="00376ECE">
              <w:rPr>
                <w:rFonts w:ascii="Arial Narrow" w:hAnsi="Arial Narrow"/>
                <w:sz w:val="18"/>
                <w:szCs w:val="18"/>
              </w:rPr>
              <w:t>dligneau@hi-me.org</w:t>
            </w:r>
          </w:p>
        </w:tc>
        <w:tc>
          <w:tcPr>
            <w:tcW w:w="724" w:type="pct"/>
            <w:shd w:val="clear" w:color="auto" w:fill="auto"/>
            <w:vAlign w:val="center"/>
          </w:tcPr>
          <w:p w:rsidR="00E81D61" w:rsidRPr="00376ECE" w:rsidRDefault="00E81D61" w:rsidP="00376ECE">
            <w:pPr>
              <w:spacing w:before="0" w:after="0"/>
              <w:jc w:val="left"/>
              <w:rPr>
                <w:rFonts w:ascii="Arial Narrow" w:hAnsi="Arial Narrow"/>
                <w:sz w:val="18"/>
                <w:szCs w:val="18"/>
              </w:rPr>
            </w:pPr>
            <w:r w:rsidRPr="00376ECE">
              <w:rPr>
                <w:rFonts w:ascii="Arial Narrow" w:hAnsi="Arial Narrow"/>
                <w:sz w:val="18"/>
                <w:szCs w:val="18"/>
              </w:rPr>
              <w:t>+972 (0)2 626 169</w:t>
            </w:r>
          </w:p>
        </w:tc>
        <w:tc>
          <w:tcPr>
            <w:tcW w:w="1200" w:type="pct"/>
            <w:shd w:val="clear" w:color="auto" w:fill="auto"/>
            <w:vAlign w:val="center"/>
          </w:tcPr>
          <w:p w:rsidR="00E81D61" w:rsidRPr="00376ECE" w:rsidRDefault="00E81D61" w:rsidP="00376ECE">
            <w:pPr>
              <w:spacing w:before="0" w:after="0"/>
              <w:jc w:val="left"/>
              <w:rPr>
                <w:rFonts w:ascii="Arial Narrow" w:hAnsi="Arial Narrow"/>
                <w:sz w:val="18"/>
                <w:szCs w:val="18"/>
              </w:rPr>
            </w:pPr>
            <w:r w:rsidRPr="00376ECE">
              <w:rPr>
                <w:rStyle w:val="st"/>
                <w:rFonts w:ascii="Arial Narrow" w:hAnsi="Arial Narrow"/>
                <w:sz w:val="18"/>
                <w:szCs w:val="18"/>
              </w:rPr>
              <w:t>Independent International Aid Organization working in situations of poverty and exclusion, conflict and disaster</w:t>
            </w:r>
          </w:p>
        </w:tc>
      </w:tr>
      <w:tr w:rsidR="00E81D61" w:rsidRPr="00376ECE" w:rsidTr="00705D33">
        <w:trPr>
          <w:trHeight w:val="364"/>
        </w:trPr>
        <w:tc>
          <w:tcPr>
            <w:tcW w:w="990" w:type="pct"/>
            <w:shd w:val="clear" w:color="auto" w:fill="auto"/>
            <w:vAlign w:val="center"/>
          </w:tcPr>
          <w:p w:rsidR="00E81D61" w:rsidRPr="00376ECE" w:rsidRDefault="00E81D61" w:rsidP="00376ECE">
            <w:pPr>
              <w:spacing w:before="0" w:after="0"/>
              <w:jc w:val="left"/>
              <w:rPr>
                <w:rFonts w:ascii="Arial Narrow" w:hAnsi="Arial Narrow"/>
                <w:sz w:val="18"/>
                <w:szCs w:val="18"/>
              </w:rPr>
            </w:pPr>
            <w:r w:rsidRPr="00376ECE">
              <w:rPr>
                <w:rFonts w:ascii="Arial Narrow" w:hAnsi="Arial Narrow"/>
                <w:sz w:val="18"/>
                <w:szCs w:val="18"/>
              </w:rPr>
              <w:t xml:space="preserve">-Heinrich </w:t>
            </w:r>
            <w:proofErr w:type="spellStart"/>
            <w:r w:rsidRPr="00376ECE">
              <w:rPr>
                <w:rFonts w:ascii="Arial Narrow" w:hAnsi="Arial Narrow"/>
                <w:sz w:val="18"/>
                <w:szCs w:val="18"/>
              </w:rPr>
              <w:t>Boell</w:t>
            </w:r>
            <w:proofErr w:type="spellEnd"/>
            <w:r w:rsidRPr="00376ECE">
              <w:rPr>
                <w:rFonts w:ascii="Arial Narrow" w:hAnsi="Arial Narrow"/>
                <w:sz w:val="18"/>
                <w:szCs w:val="18"/>
              </w:rPr>
              <w:t xml:space="preserve"> Foundation- Ramallah office. (HBF)</w:t>
            </w:r>
          </w:p>
        </w:tc>
        <w:tc>
          <w:tcPr>
            <w:tcW w:w="1223" w:type="pct"/>
            <w:shd w:val="clear" w:color="auto" w:fill="auto"/>
            <w:vAlign w:val="center"/>
          </w:tcPr>
          <w:p w:rsidR="00E81D61" w:rsidRPr="00376ECE" w:rsidRDefault="00E81D61" w:rsidP="00376ECE">
            <w:pPr>
              <w:spacing w:before="0" w:after="0"/>
              <w:jc w:val="left"/>
              <w:rPr>
                <w:rFonts w:ascii="Arial Narrow" w:hAnsi="Arial Narrow"/>
                <w:sz w:val="18"/>
                <w:szCs w:val="18"/>
              </w:rPr>
            </w:pPr>
            <w:r w:rsidRPr="00376ECE">
              <w:rPr>
                <w:rFonts w:ascii="Arial Narrow" w:hAnsi="Arial Narrow"/>
                <w:sz w:val="18"/>
                <w:szCs w:val="18"/>
              </w:rPr>
              <w:t xml:space="preserve">Rene </w:t>
            </w:r>
            <w:proofErr w:type="spellStart"/>
            <w:r w:rsidRPr="00376ECE">
              <w:rPr>
                <w:rFonts w:ascii="Arial Narrow" w:hAnsi="Arial Narrow"/>
                <w:sz w:val="18"/>
                <w:szCs w:val="18"/>
              </w:rPr>
              <w:t>Wildangel</w:t>
            </w:r>
            <w:proofErr w:type="spellEnd"/>
          </w:p>
        </w:tc>
        <w:tc>
          <w:tcPr>
            <w:tcW w:w="863" w:type="pct"/>
            <w:shd w:val="clear" w:color="auto" w:fill="auto"/>
            <w:vAlign w:val="center"/>
          </w:tcPr>
          <w:p w:rsidR="00E81D61" w:rsidRPr="00376ECE" w:rsidRDefault="00E81D61" w:rsidP="00376ECE">
            <w:pPr>
              <w:widowControl w:val="0"/>
              <w:autoSpaceDE w:val="0"/>
              <w:autoSpaceDN w:val="0"/>
              <w:adjustRightInd w:val="0"/>
              <w:spacing w:before="0" w:after="0"/>
              <w:jc w:val="left"/>
              <w:rPr>
                <w:rFonts w:ascii="Arial Narrow" w:hAnsi="Arial Narrow"/>
                <w:sz w:val="18"/>
                <w:szCs w:val="18"/>
              </w:rPr>
            </w:pPr>
            <w:r w:rsidRPr="00376ECE">
              <w:rPr>
                <w:rFonts w:ascii="Arial Narrow" w:hAnsi="Arial Narrow"/>
                <w:sz w:val="18"/>
                <w:szCs w:val="18"/>
              </w:rPr>
              <w:t>Rene.Wildangel@ps.boell.org</w:t>
            </w:r>
          </w:p>
        </w:tc>
        <w:tc>
          <w:tcPr>
            <w:tcW w:w="724" w:type="pct"/>
            <w:shd w:val="clear" w:color="auto" w:fill="auto"/>
            <w:vAlign w:val="center"/>
          </w:tcPr>
          <w:p w:rsidR="00E81D61" w:rsidRPr="00376ECE" w:rsidRDefault="00E81D61" w:rsidP="00376ECE">
            <w:pPr>
              <w:widowControl w:val="0"/>
              <w:autoSpaceDE w:val="0"/>
              <w:autoSpaceDN w:val="0"/>
              <w:adjustRightInd w:val="0"/>
              <w:spacing w:before="0" w:after="0"/>
              <w:jc w:val="left"/>
              <w:rPr>
                <w:rFonts w:ascii="Arial Narrow" w:hAnsi="Arial Narrow"/>
                <w:sz w:val="18"/>
                <w:szCs w:val="18"/>
              </w:rPr>
            </w:pPr>
            <w:r w:rsidRPr="00376ECE">
              <w:rPr>
                <w:rFonts w:ascii="Arial Narrow" w:hAnsi="Arial Narrow"/>
                <w:sz w:val="18"/>
                <w:szCs w:val="18"/>
              </w:rPr>
              <w:t xml:space="preserve">+972 2 296 11 </w:t>
            </w:r>
          </w:p>
        </w:tc>
        <w:tc>
          <w:tcPr>
            <w:tcW w:w="1200" w:type="pct"/>
            <w:shd w:val="clear" w:color="auto" w:fill="auto"/>
            <w:vAlign w:val="center"/>
          </w:tcPr>
          <w:p w:rsidR="00E81D61" w:rsidRPr="00376ECE" w:rsidRDefault="00705D33" w:rsidP="00705D33">
            <w:pPr>
              <w:spacing w:before="0" w:after="0"/>
              <w:jc w:val="left"/>
              <w:rPr>
                <w:rStyle w:val="st"/>
                <w:rFonts w:ascii="Arial Narrow" w:hAnsi="Arial Narrow"/>
                <w:sz w:val="18"/>
                <w:szCs w:val="18"/>
              </w:rPr>
            </w:pPr>
            <w:r w:rsidRPr="00705D33">
              <w:rPr>
                <w:rStyle w:val="st"/>
                <w:rFonts w:ascii="Arial Narrow" w:hAnsi="Arial Narrow"/>
                <w:sz w:val="18"/>
                <w:szCs w:val="18"/>
              </w:rPr>
              <w:t xml:space="preserve">Equality and civil society, democracy, health, environment </w:t>
            </w:r>
          </w:p>
        </w:tc>
      </w:tr>
      <w:bookmarkStart w:id="15" w:name="a_35"/>
      <w:bookmarkEnd w:id="15"/>
      <w:tr w:rsidR="00E81D61" w:rsidRPr="00376ECE" w:rsidTr="00705D33">
        <w:trPr>
          <w:trHeight w:val="553"/>
        </w:trPr>
        <w:tc>
          <w:tcPr>
            <w:tcW w:w="990" w:type="pct"/>
            <w:shd w:val="clear" w:color="auto" w:fill="auto"/>
            <w:vAlign w:val="center"/>
          </w:tcPr>
          <w:p w:rsidR="00E81D61" w:rsidRPr="00376ECE" w:rsidRDefault="00A43E18" w:rsidP="00376ECE">
            <w:pPr>
              <w:spacing w:before="0" w:after="0"/>
              <w:jc w:val="left"/>
              <w:rPr>
                <w:rFonts w:ascii="Arial Narrow" w:hAnsi="Arial Narrow"/>
                <w:sz w:val="18"/>
                <w:szCs w:val="18"/>
              </w:rPr>
            </w:pPr>
            <w:r w:rsidRPr="00376ECE">
              <w:rPr>
                <w:rFonts w:ascii="Arial Narrow" w:hAnsi="Arial Narrow"/>
                <w:sz w:val="18"/>
                <w:szCs w:val="18"/>
              </w:rPr>
              <w:fldChar w:fldCharType="begin"/>
            </w:r>
            <w:r w:rsidR="00E81D61" w:rsidRPr="00376ECE">
              <w:rPr>
                <w:rFonts w:ascii="Arial Narrow" w:hAnsi="Arial Narrow"/>
                <w:sz w:val="18"/>
                <w:szCs w:val="18"/>
              </w:rPr>
              <w:instrText xml:space="preserve"> HYPERLINK "http://www.aidajerusalem.org/in_page.php?action=members" \l "a_35" </w:instrText>
            </w:r>
            <w:r w:rsidRPr="00376ECE">
              <w:rPr>
                <w:rFonts w:ascii="Arial Narrow" w:hAnsi="Arial Narrow"/>
                <w:sz w:val="18"/>
                <w:szCs w:val="18"/>
              </w:rPr>
              <w:fldChar w:fldCharType="separate"/>
            </w:r>
            <w:r w:rsidR="00E81D61" w:rsidRPr="00376ECE">
              <w:rPr>
                <w:rFonts w:ascii="Arial Narrow" w:hAnsi="Arial Narrow"/>
                <w:sz w:val="18"/>
                <w:szCs w:val="18"/>
              </w:rPr>
              <w:t>Islamic Relief (IR)</w:t>
            </w:r>
            <w:r w:rsidRPr="00376ECE">
              <w:rPr>
                <w:rFonts w:ascii="Arial Narrow" w:hAnsi="Arial Narrow"/>
                <w:sz w:val="18"/>
                <w:szCs w:val="18"/>
              </w:rPr>
              <w:fldChar w:fldCharType="end"/>
            </w:r>
          </w:p>
        </w:tc>
        <w:tc>
          <w:tcPr>
            <w:tcW w:w="1223" w:type="pct"/>
            <w:shd w:val="clear" w:color="auto" w:fill="auto"/>
            <w:vAlign w:val="center"/>
          </w:tcPr>
          <w:p w:rsidR="00E81D61" w:rsidRPr="00376ECE" w:rsidRDefault="00E81D61" w:rsidP="00376ECE">
            <w:pPr>
              <w:spacing w:before="0" w:after="0"/>
              <w:jc w:val="left"/>
              <w:rPr>
                <w:rFonts w:ascii="Arial Narrow" w:hAnsi="Arial Narrow"/>
                <w:sz w:val="18"/>
                <w:szCs w:val="18"/>
              </w:rPr>
            </w:pPr>
            <w:proofErr w:type="spellStart"/>
            <w:r w:rsidRPr="00376ECE">
              <w:rPr>
                <w:rFonts w:ascii="Arial Narrow" w:hAnsi="Arial Narrow"/>
                <w:sz w:val="18"/>
                <w:szCs w:val="18"/>
              </w:rPr>
              <w:t>Muneeb</w:t>
            </w:r>
            <w:proofErr w:type="spellEnd"/>
            <w:r w:rsidRPr="00376ECE">
              <w:rPr>
                <w:rFonts w:ascii="Arial Narrow" w:hAnsi="Arial Narrow"/>
                <w:sz w:val="18"/>
                <w:szCs w:val="18"/>
              </w:rPr>
              <w:t xml:space="preserve"> Abu </w:t>
            </w:r>
            <w:proofErr w:type="spellStart"/>
            <w:r w:rsidRPr="00376ECE">
              <w:rPr>
                <w:rFonts w:ascii="Arial Narrow" w:hAnsi="Arial Narrow"/>
                <w:sz w:val="18"/>
                <w:szCs w:val="18"/>
              </w:rPr>
              <w:t>Ghazaleh</w:t>
            </w:r>
            <w:proofErr w:type="spellEnd"/>
            <w:r w:rsidRPr="00376ECE">
              <w:rPr>
                <w:rFonts w:ascii="Arial Narrow" w:hAnsi="Arial Narrow"/>
                <w:sz w:val="18"/>
                <w:szCs w:val="18"/>
              </w:rPr>
              <w:t xml:space="preserve"> - Country Director</w:t>
            </w:r>
          </w:p>
        </w:tc>
        <w:tc>
          <w:tcPr>
            <w:tcW w:w="863" w:type="pct"/>
            <w:shd w:val="clear" w:color="auto" w:fill="auto"/>
            <w:vAlign w:val="center"/>
          </w:tcPr>
          <w:p w:rsidR="00E81D61" w:rsidRPr="00376ECE" w:rsidRDefault="00E81D61" w:rsidP="00376ECE">
            <w:pPr>
              <w:spacing w:before="0" w:after="0"/>
              <w:jc w:val="left"/>
              <w:rPr>
                <w:rFonts w:ascii="Arial Narrow" w:hAnsi="Arial Narrow"/>
                <w:sz w:val="18"/>
                <w:szCs w:val="18"/>
              </w:rPr>
            </w:pPr>
            <w:r w:rsidRPr="00376ECE">
              <w:rPr>
                <w:rFonts w:ascii="Arial Narrow" w:hAnsi="Arial Narrow"/>
                <w:sz w:val="18"/>
                <w:szCs w:val="18"/>
              </w:rPr>
              <w:t>muneeb@irpal.ps</w:t>
            </w:r>
          </w:p>
        </w:tc>
        <w:tc>
          <w:tcPr>
            <w:tcW w:w="724" w:type="pct"/>
            <w:shd w:val="clear" w:color="auto" w:fill="auto"/>
            <w:vAlign w:val="center"/>
          </w:tcPr>
          <w:p w:rsidR="00E81D61" w:rsidRPr="00376ECE" w:rsidRDefault="00E81D61" w:rsidP="00376ECE">
            <w:pPr>
              <w:spacing w:before="0" w:after="0"/>
              <w:jc w:val="left"/>
              <w:rPr>
                <w:rFonts w:ascii="Arial Narrow" w:hAnsi="Arial Narrow"/>
                <w:sz w:val="18"/>
                <w:szCs w:val="18"/>
              </w:rPr>
            </w:pPr>
            <w:r w:rsidRPr="00376ECE">
              <w:rPr>
                <w:rFonts w:ascii="Arial Narrow" w:hAnsi="Arial Narrow"/>
                <w:sz w:val="18"/>
                <w:szCs w:val="18"/>
              </w:rPr>
              <w:t>02 297 4643 |082837889</w:t>
            </w:r>
          </w:p>
        </w:tc>
        <w:tc>
          <w:tcPr>
            <w:tcW w:w="1200" w:type="pct"/>
            <w:shd w:val="clear" w:color="auto" w:fill="auto"/>
            <w:vAlign w:val="center"/>
          </w:tcPr>
          <w:p w:rsidR="00E81D61" w:rsidRPr="00376ECE" w:rsidRDefault="00E81D61" w:rsidP="00376ECE">
            <w:pPr>
              <w:spacing w:before="0" w:after="0"/>
              <w:jc w:val="left"/>
              <w:rPr>
                <w:rFonts w:ascii="Arial Narrow" w:hAnsi="Arial Narrow"/>
                <w:sz w:val="18"/>
                <w:szCs w:val="18"/>
              </w:rPr>
            </w:pPr>
            <w:r w:rsidRPr="00376ECE">
              <w:rPr>
                <w:rStyle w:val="st"/>
                <w:rFonts w:ascii="Arial Narrow" w:hAnsi="Arial Narrow"/>
                <w:sz w:val="18"/>
                <w:szCs w:val="18"/>
              </w:rPr>
              <w:t xml:space="preserve">A UK-registered charity which works internationally in emergency </w:t>
            </w:r>
            <w:r w:rsidRPr="00376ECE">
              <w:rPr>
                <w:rStyle w:val="Enfasicorsivo"/>
                <w:rFonts w:ascii="Arial Narrow" w:hAnsi="Arial Narrow"/>
                <w:sz w:val="18"/>
                <w:szCs w:val="18"/>
              </w:rPr>
              <w:t>relief</w:t>
            </w:r>
            <w:r w:rsidRPr="00376ECE">
              <w:rPr>
                <w:rStyle w:val="st"/>
                <w:rFonts w:ascii="Arial Narrow" w:hAnsi="Arial Narrow"/>
                <w:sz w:val="18"/>
                <w:szCs w:val="18"/>
              </w:rPr>
              <w:t>, development projects</w:t>
            </w:r>
          </w:p>
        </w:tc>
      </w:tr>
      <w:tr w:rsidR="00E81D61" w:rsidRPr="00376ECE" w:rsidTr="00705D33">
        <w:trPr>
          <w:trHeight w:val="364"/>
        </w:trPr>
        <w:tc>
          <w:tcPr>
            <w:tcW w:w="990" w:type="pct"/>
            <w:shd w:val="clear" w:color="auto" w:fill="auto"/>
            <w:vAlign w:val="center"/>
          </w:tcPr>
          <w:p w:rsidR="00E81D61" w:rsidRPr="00376ECE" w:rsidRDefault="00E81D61" w:rsidP="00376ECE">
            <w:pPr>
              <w:spacing w:before="0" w:after="0"/>
              <w:jc w:val="left"/>
              <w:rPr>
                <w:rStyle w:val="st"/>
                <w:rFonts w:ascii="Arial Narrow" w:hAnsi="Arial Narrow"/>
                <w:sz w:val="18"/>
                <w:szCs w:val="18"/>
              </w:rPr>
            </w:pPr>
            <w:r w:rsidRPr="00376ECE">
              <w:rPr>
                <w:rStyle w:val="st"/>
                <w:rFonts w:ascii="Arial Narrow" w:hAnsi="Arial Narrow"/>
                <w:sz w:val="18"/>
                <w:szCs w:val="18"/>
              </w:rPr>
              <w:t>Japan International Volunteer Center (JVC)</w:t>
            </w:r>
          </w:p>
        </w:tc>
        <w:tc>
          <w:tcPr>
            <w:tcW w:w="1223" w:type="pct"/>
            <w:shd w:val="clear" w:color="auto" w:fill="auto"/>
            <w:vAlign w:val="center"/>
          </w:tcPr>
          <w:p w:rsidR="00E81D61" w:rsidRPr="00376ECE" w:rsidRDefault="00E81D61" w:rsidP="00376ECE">
            <w:pPr>
              <w:spacing w:before="0" w:after="0"/>
              <w:jc w:val="left"/>
              <w:rPr>
                <w:rStyle w:val="st"/>
                <w:rFonts w:ascii="Arial Narrow" w:hAnsi="Arial Narrow"/>
                <w:sz w:val="18"/>
                <w:szCs w:val="18"/>
              </w:rPr>
            </w:pPr>
            <w:r w:rsidRPr="00376ECE">
              <w:rPr>
                <w:rStyle w:val="st"/>
                <w:rFonts w:ascii="Arial Narrow" w:hAnsi="Arial Narrow"/>
                <w:sz w:val="18"/>
                <w:szCs w:val="18"/>
              </w:rPr>
              <w:t>Naomi Fukuda – Representative, Jerusalem office</w:t>
            </w:r>
          </w:p>
        </w:tc>
        <w:tc>
          <w:tcPr>
            <w:tcW w:w="863" w:type="pct"/>
            <w:shd w:val="clear" w:color="auto" w:fill="auto"/>
            <w:vAlign w:val="center"/>
          </w:tcPr>
          <w:p w:rsidR="00E81D61" w:rsidRPr="00376ECE" w:rsidRDefault="00E81D61" w:rsidP="00376ECE">
            <w:pPr>
              <w:spacing w:before="0" w:after="0"/>
              <w:jc w:val="left"/>
              <w:rPr>
                <w:rStyle w:val="st"/>
                <w:rFonts w:ascii="Arial Narrow" w:hAnsi="Arial Narrow"/>
                <w:sz w:val="18"/>
                <w:szCs w:val="18"/>
              </w:rPr>
            </w:pPr>
            <w:r w:rsidRPr="00376ECE">
              <w:rPr>
                <w:rStyle w:val="st"/>
                <w:rFonts w:ascii="Arial Narrow" w:hAnsi="Arial Narrow"/>
                <w:sz w:val="18"/>
                <w:szCs w:val="18"/>
              </w:rPr>
              <w:t>kaneko@ngo-jvc.net</w:t>
            </w:r>
          </w:p>
        </w:tc>
        <w:tc>
          <w:tcPr>
            <w:tcW w:w="724" w:type="pct"/>
            <w:shd w:val="clear" w:color="auto" w:fill="auto"/>
            <w:vAlign w:val="center"/>
          </w:tcPr>
          <w:p w:rsidR="00E81D61" w:rsidRPr="00376ECE" w:rsidRDefault="00E81D61" w:rsidP="00376ECE">
            <w:pPr>
              <w:spacing w:before="0" w:after="0"/>
              <w:jc w:val="left"/>
              <w:rPr>
                <w:rStyle w:val="st"/>
                <w:rFonts w:ascii="Arial Narrow" w:hAnsi="Arial Narrow"/>
                <w:sz w:val="18"/>
                <w:szCs w:val="18"/>
              </w:rPr>
            </w:pPr>
            <w:r w:rsidRPr="00376ECE">
              <w:rPr>
                <w:rStyle w:val="st"/>
                <w:rFonts w:ascii="Arial Narrow" w:hAnsi="Arial Narrow"/>
                <w:sz w:val="18"/>
                <w:szCs w:val="18"/>
              </w:rPr>
              <w:t xml:space="preserve">02 628 7167 </w:t>
            </w:r>
          </w:p>
        </w:tc>
        <w:tc>
          <w:tcPr>
            <w:tcW w:w="1200" w:type="pct"/>
            <w:shd w:val="clear" w:color="auto" w:fill="auto"/>
            <w:vAlign w:val="center"/>
          </w:tcPr>
          <w:p w:rsidR="00705D33" w:rsidRPr="00705D33" w:rsidRDefault="00705D33" w:rsidP="00376ECE">
            <w:pPr>
              <w:spacing w:before="0" w:after="0"/>
              <w:jc w:val="left"/>
              <w:rPr>
                <w:rStyle w:val="st"/>
                <w:rFonts w:ascii="Arial Narrow" w:hAnsi="Arial Narrow"/>
                <w:sz w:val="18"/>
                <w:szCs w:val="18"/>
              </w:rPr>
            </w:pPr>
            <w:r w:rsidRPr="00705D33">
              <w:rPr>
                <w:rStyle w:val="st"/>
                <w:rFonts w:ascii="Arial Narrow" w:hAnsi="Arial Narrow"/>
                <w:sz w:val="18"/>
                <w:szCs w:val="18"/>
              </w:rPr>
              <w:t>Peace, Community development, Emergency Relief</w:t>
            </w:r>
          </w:p>
        </w:tc>
      </w:tr>
      <w:tr w:rsidR="00E81D61" w:rsidRPr="00376ECE" w:rsidTr="00705D33">
        <w:trPr>
          <w:trHeight w:val="364"/>
        </w:trPr>
        <w:tc>
          <w:tcPr>
            <w:tcW w:w="990" w:type="pct"/>
            <w:shd w:val="clear" w:color="auto" w:fill="auto"/>
            <w:vAlign w:val="center"/>
          </w:tcPr>
          <w:p w:rsidR="00E81D61" w:rsidRPr="00376ECE" w:rsidRDefault="00E81D61" w:rsidP="00376ECE">
            <w:pPr>
              <w:spacing w:before="0" w:after="0"/>
              <w:jc w:val="left"/>
              <w:rPr>
                <w:rStyle w:val="st"/>
                <w:rFonts w:ascii="Arial Narrow" w:hAnsi="Arial Narrow"/>
                <w:sz w:val="18"/>
                <w:szCs w:val="18"/>
                <w:lang w:val="fr-FR"/>
              </w:rPr>
            </w:pPr>
            <w:proofErr w:type="spellStart"/>
            <w:r w:rsidRPr="00376ECE">
              <w:rPr>
                <w:rStyle w:val="st"/>
                <w:rFonts w:ascii="Arial Narrow" w:hAnsi="Arial Narrow"/>
                <w:sz w:val="18"/>
                <w:szCs w:val="18"/>
                <w:lang w:val="fr-FR"/>
              </w:rPr>
              <w:t>Medecins</w:t>
            </w:r>
            <w:proofErr w:type="spellEnd"/>
            <w:r w:rsidRPr="00376ECE">
              <w:rPr>
                <w:rStyle w:val="st"/>
                <w:rFonts w:ascii="Arial Narrow" w:hAnsi="Arial Narrow"/>
                <w:sz w:val="18"/>
                <w:szCs w:val="18"/>
                <w:lang w:val="fr-FR"/>
              </w:rPr>
              <w:t xml:space="preserve"> du Monde - France (MDM France)</w:t>
            </w:r>
          </w:p>
        </w:tc>
        <w:tc>
          <w:tcPr>
            <w:tcW w:w="1223" w:type="pct"/>
            <w:shd w:val="clear" w:color="auto" w:fill="auto"/>
            <w:vAlign w:val="center"/>
          </w:tcPr>
          <w:p w:rsidR="00E81D61" w:rsidRPr="00376ECE" w:rsidRDefault="00E81D61" w:rsidP="00376ECE">
            <w:pPr>
              <w:spacing w:before="0" w:after="0"/>
              <w:jc w:val="left"/>
              <w:rPr>
                <w:rStyle w:val="st"/>
                <w:rFonts w:ascii="Arial Narrow" w:hAnsi="Arial Narrow"/>
                <w:sz w:val="18"/>
                <w:szCs w:val="18"/>
              </w:rPr>
            </w:pPr>
            <w:proofErr w:type="spellStart"/>
            <w:r w:rsidRPr="00376ECE">
              <w:rPr>
                <w:rStyle w:val="st"/>
                <w:rFonts w:ascii="Arial Narrow" w:hAnsi="Arial Narrow"/>
                <w:sz w:val="18"/>
                <w:szCs w:val="18"/>
              </w:rPr>
              <w:t>Fahmi</w:t>
            </w:r>
            <w:proofErr w:type="spellEnd"/>
            <w:r w:rsidRPr="00376ECE">
              <w:rPr>
                <w:rStyle w:val="st"/>
                <w:rFonts w:ascii="Arial Narrow" w:hAnsi="Arial Narrow"/>
                <w:sz w:val="18"/>
                <w:szCs w:val="18"/>
              </w:rPr>
              <w:t xml:space="preserve"> </w:t>
            </w:r>
            <w:proofErr w:type="spellStart"/>
            <w:r w:rsidRPr="00376ECE">
              <w:rPr>
                <w:rStyle w:val="st"/>
                <w:rFonts w:ascii="Arial Narrow" w:hAnsi="Arial Narrow"/>
                <w:sz w:val="18"/>
                <w:szCs w:val="18"/>
              </w:rPr>
              <w:t>Masri</w:t>
            </w:r>
            <w:proofErr w:type="spellEnd"/>
            <w:r w:rsidRPr="00376ECE">
              <w:rPr>
                <w:rStyle w:val="st"/>
                <w:rFonts w:ascii="Arial Narrow" w:hAnsi="Arial Narrow"/>
                <w:sz w:val="18"/>
                <w:szCs w:val="18"/>
              </w:rPr>
              <w:t>- Admin</w:t>
            </w:r>
          </w:p>
        </w:tc>
        <w:tc>
          <w:tcPr>
            <w:tcW w:w="863" w:type="pct"/>
            <w:shd w:val="clear" w:color="auto" w:fill="auto"/>
            <w:vAlign w:val="center"/>
          </w:tcPr>
          <w:p w:rsidR="00E81D61" w:rsidRPr="00376ECE" w:rsidRDefault="00E81D61" w:rsidP="00376ECE">
            <w:pPr>
              <w:spacing w:before="0" w:after="0"/>
              <w:jc w:val="left"/>
              <w:rPr>
                <w:rStyle w:val="st"/>
                <w:rFonts w:ascii="Arial Narrow" w:hAnsi="Arial Narrow"/>
                <w:sz w:val="18"/>
                <w:szCs w:val="18"/>
              </w:rPr>
            </w:pPr>
            <w:r w:rsidRPr="00376ECE">
              <w:rPr>
                <w:rStyle w:val="st"/>
                <w:rFonts w:ascii="Arial Narrow" w:hAnsi="Arial Narrow"/>
                <w:sz w:val="18"/>
                <w:szCs w:val="18"/>
              </w:rPr>
              <w:t>Genco.palestine@medecinsdumonde.net</w:t>
            </w:r>
          </w:p>
        </w:tc>
        <w:tc>
          <w:tcPr>
            <w:tcW w:w="724" w:type="pct"/>
            <w:shd w:val="clear" w:color="auto" w:fill="auto"/>
            <w:vAlign w:val="center"/>
          </w:tcPr>
          <w:p w:rsidR="00E81D61" w:rsidRPr="00376ECE" w:rsidRDefault="00E81D61" w:rsidP="00376ECE">
            <w:pPr>
              <w:spacing w:before="0" w:after="0"/>
              <w:jc w:val="left"/>
              <w:rPr>
                <w:rStyle w:val="st"/>
                <w:rFonts w:ascii="Arial Narrow" w:hAnsi="Arial Narrow"/>
                <w:sz w:val="18"/>
                <w:szCs w:val="18"/>
              </w:rPr>
            </w:pPr>
            <w:r w:rsidRPr="00376ECE">
              <w:rPr>
                <w:rStyle w:val="st"/>
                <w:rFonts w:ascii="Arial Narrow" w:hAnsi="Arial Narrow"/>
                <w:sz w:val="18"/>
                <w:szCs w:val="18"/>
              </w:rPr>
              <w:t>02 6261830 |02 6261832</w:t>
            </w:r>
          </w:p>
        </w:tc>
        <w:tc>
          <w:tcPr>
            <w:tcW w:w="1200" w:type="pct"/>
            <w:shd w:val="clear" w:color="auto" w:fill="auto"/>
            <w:vAlign w:val="center"/>
          </w:tcPr>
          <w:p w:rsidR="00E81D61" w:rsidRPr="00376ECE" w:rsidRDefault="00E81D61" w:rsidP="00376ECE">
            <w:pPr>
              <w:spacing w:before="0" w:after="0"/>
              <w:jc w:val="left"/>
              <w:rPr>
                <w:rStyle w:val="st"/>
                <w:rFonts w:ascii="Arial Narrow" w:hAnsi="Arial Narrow"/>
                <w:sz w:val="18"/>
                <w:szCs w:val="18"/>
                <w:rtl/>
              </w:rPr>
            </w:pPr>
            <w:r w:rsidRPr="00376ECE">
              <w:rPr>
                <w:rStyle w:val="st"/>
                <w:rFonts w:ascii="Arial Narrow" w:hAnsi="Arial Narrow"/>
                <w:sz w:val="18"/>
                <w:szCs w:val="18"/>
                <w:rtl/>
              </w:rPr>
              <w:t>Healthcare</w:t>
            </w:r>
          </w:p>
        </w:tc>
      </w:tr>
      <w:bookmarkStart w:id="16" w:name="a_2"/>
      <w:bookmarkEnd w:id="16"/>
      <w:tr w:rsidR="00E81D61" w:rsidRPr="00376ECE" w:rsidTr="00705D33">
        <w:trPr>
          <w:trHeight w:val="553"/>
        </w:trPr>
        <w:tc>
          <w:tcPr>
            <w:tcW w:w="990" w:type="pct"/>
            <w:shd w:val="clear" w:color="auto" w:fill="auto"/>
            <w:vAlign w:val="center"/>
          </w:tcPr>
          <w:p w:rsidR="00E81D61" w:rsidRPr="00376ECE" w:rsidRDefault="00A43E18" w:rsidP="00376ECE">
            <w:pPr>
              <w:spacing w:before="0" w:after="0"/>
              <w:jc w:val="left"/>
              <w:rPr>
                <w:rFonts w:ascii="Arial Narrow" w:hAnsi="Arial Narrow"/>
                <w:sz w:val="18"/>
                <w:szCs w:val="18"/>
              </w:rPr>
            </w:pPr>
            <w:r w:rsidRPr="00376ECE">
              <w:rPr>
                <w:rFonts w:ascii="Arial Narrow" w:hAnsi="Arial Narrow"/>
                <w:sz w:val="18"/>
                <w:szCs w:val="18"/>
              </w:rPr>
              <w:fldChar w:fldCharType="begin"/>
            </w:r>
            <w:r w:rsidR="00E81D61" w:rsidRPr="00376ECE">
              <w:rPr>
                <w:rFonts w:ascii="Arial Narrow" w:hAnsi="Arial Narrow"/>
                <w:sz w:val="18"/>
                <w:szCs w:val="18"/>
              </w:rPr>
              <w:instrText xml:space="preserve"> HYPERLINK "http://www.aidajerusalem.org/in_page.php?action=members" \l "a_2" </w:instrText>
            </w:r>
            <w:r w:rsidRPr="00376ECE">
              <w:rPr>
                <w:rFonts w:ascii="Arial Narrow" w:hAnsi="Arial Narrow"/>
                <w:sz w:val="18"/>
                <w:szCs w:val="18"/>
              </w:rPr>
              <w:fldChar w:fldCharType="separate"/>
            </w:r>
            <w:r w:rsidR="00E81D61" w:rsidRPr="00376ECE">
              <w:rPr>
                <w:rFonts w:ascii="Arial Narrow" w:hAnsi="Arial Narrow"/>
                <w:sz w:val="18"/>
                <w:szCs w:val="18"/>
              </w:rPr>
              <w:t>Mercy Corps (MC)</w:t>
            </w:r>
            <w:r w:rsidRPr="00376ECE">
              <w:rPr>
                <w:rFonts w:ascii="Arial Narrow" w:hAnsi="Arial Narrow"/>
                <w:sz w:val="18"/>
                <w:szCs w:val="18"/>
              </w:rPr>
              <w:fldChar w:fldCharType="end"/>
            </w:r>
          </w:p>
        </w:tc>
        <w:tc>
          <w:tcPr>
            <w:tcW w:w="1223" w:type="pct"/>
            <w:shd w:val="clear" w:color="auto" w:fill="auto"/>
            <w:vAlign w:val="center"/>
          </w:tcPr>
          <w:p w:rsidR="00E81D61" w:rsidRPr="00376ECE" w:rsidRDefault="00E81D61" w:rsidP="00376ECE">
            <w:pPr>
              <w:spacing w:before="0" w:after="0"/>
              <w:jc w:val="left"/>
              <w:rPr>
                <w:rFonts w:ascii="Arial Narrow" w:hAnsi="Arial Narrow"/>
                <w:sz w:val="18"/>
                <w:szCs w:val="18"/>
              </w:rPr>
            </w:pPr>
            <w:proofErr w:type="spellStart"/>
            <w:r w:rsidRPr="00376ECE">
              <w:rPr>
                <w:rFonts w:ascii="Arial Narrow" w:hAnsi="Arial Narrow"/>
                <w:sz w:val="18"/>
                <w:szCs w:val="18"/>
              </w:rPr>
              <w:t>tu</w:t>
            </w:r>
            <w:proofErr w:type="spellEnd"/>
            <w:r w:rsidRPr="00376ECE">
              <w:rPr>
                <w:rFonts w:ascii="Arial Narrow" w:hAnsi="Arial Narrow"/>
                <w:sz w:val="18"/>
                <w:szCs w:val="18"/>
              </w:rPr>
              <w:t xml:space="preserve"> </w:t>
            </w:r>
            <w:proofErr w:type="spellStart"/>
            <w:r w:rsidRPr="00376ECE">
              <w:rPr>
                <w:rFonts w:ascii="Arial Narrow" w:hAnsi="Arial Narrow"/>
                <w:sz w:val="18"/>
                <w:szCs w:val="18"/>
              </w:rPr>
              <w:t>Willcuts</w:t>
            </w:r>
            <w:proofErr w:type="spellEnd"/>
            <w:r w:rsidRPr="00376ECE">
              <w:rPr>
                <w:rFonts w:ascii="Arial Narrow" w:hAnsi="Arial Narrow"/>
                <w:sz w:val="18"/>
                <w:szCs w:val="18"/>
              </w:rPr>
              <w:t xml:space="preserve"> - Mission Director</w:t>
            </w:r>
          </w:p>
        </w:tc>
        <w:tc>
          <w:tcPr>
            <w:tcW w:w="863" w:type="pct"/>
            <w:shd w:val="clear" w:color="auto" w:fill="auto"/>
            <w:vAlign w:val="center"/>
          </w:tcPr>
          <w:p w:rsidR="00E81D61" w:rsidRPr="00376ECE" w:rsidRDefault="00E81D61" w:rsidP="00376ECE">
            <w:pPr>
              <w:spacing w:before="0" w:after="0"/>
              <w:jc w:val="left"/>
              <w:rPr>
                <w:rFonts w:ascii="Arial Narrow" w:hAnsi="Arial Narrow"/>
                <w:sz w:val="18"/>
                <w:szCs w:val="18"/>
              </w:rPr>
            </w:pPr>
            <w:r w:rsidRPr="00376ECE">
              <w:rPr>
                <w:rFonts w:ascii="Arial Narrow" w:hAnsi="Arial Narrow"/>
                <w:sz w:val="18"/>
                <w:szCs w:val="18"/>
              </w:rPr>
              <w:t>swillcuts@field.mercycorps.org</w:t>
            </w:r>
          </w:p>
        </w:tc>
        <w:tc>
          <w:tcPr>
            <w:tcW w:w="724" w:type="pct"/>
            <w:shd w:val="clear" w:color="auto" w:fill="auto"/>
            <w:vAlign w:val="center"/>
          </w:tcPr>
          <w:p w:rsidR="00E81D61" w:rsidRPr="00376ECE" w:rsidRDefault="00E81D61" w:rsidP="00376ECE">
            <w:pPr>
              <w:spacing w:before="0" w:after="0"/>
              <w:jc w:val="left"/>
              <w:rPr>
                <w:rFonts w:ascii="Arial Narrow" w:hAnsi="Arial Narrow"/>
                <w:sz w:val="18"/>
                <w:szCs w:val="18"/>
              </w:rPr>
            </w:pPr>
            <w:r w:rsidRPr="00376ECE">
              <w:rPr>
                <w:rFonts w:ascii="Arial Narrow" w:hAnsi="Arial Narrow"/>
                <w:sz w:val="18"/>
                <w:szCs w:val="18"/>
              </w:rPr>
              <w:t>02 628 4563</w:t>
            </w:r>
          </w:p>
        </w:tc>
        <w:tc>
          <w:tcPr>
            <w:tcW w:w="1200" w:type="pct"/>
            <w:shd w:val="clear" w:color="auto" w:fill="auto"/>
            <w:vAlign w:val="center"/>
          </w:tcPr>
          <w:p w:rsidR="00E81D61" w:rsidRPr="00376ECE" w:rsidRDefault="00E81D61" w:rsidP="00376ECE">
            <w:pPr>
              <w:spacing w:before="0" w:after="0"/>
              <w:jc w:val="left"/>
              <w:rPr>
                <w:rFonts w:ascii="Arial Narrow" w:hAnsi="Arial Narrow"/>
                <w:sz w:val="18"/>
                <w:szCs w:val="18"/>
              </w:rPr>
            </w:pPr>
            <w:r w:rsidRPr="00376ECE">
              <w:rPr>
                <w:rStyle w:val="st"/>
                <w:rFonts w:ascii="Arial Narrow" w:hAnsi="Arial Narrow"/>
                <w:sz w:val="18"/>
                <w:szCs w:val="18"/>
              </w:rPr>
              <w:t>An International Development Organization that helps people around the world survive and thrive after conflict, crisis and natural disaster</w:t>
            </w:r>
          </w:p>
        </w:tc>
      </w:tr>
      <w:bookmarkStart w:id="17" w:name="a_79"/>
      <w:bookmarkEnd w:id="17"/>
      <w:tr w:rsidR="00E81D61" w:rsidRPr="00376ECE" w:rsidTr="00705D33">
        <w:trPr>
          <w:trHeight w:val="742"/>
        </w:trPr>
        <w:tc>
          <w:tcPr>
            <w:tcW w:w="990" w:type="pct"/>
            <w:shd w:val="clear" w:color="auto" w:fill="auto"/>
            <w:vAlign w:val="center"/>
          </w:tcPr>
          <w:p w:rsidR="00E81D61" w:rsidRPr="00376ECE" w:rsidRDefault="00A43E18" w:rsidP="00376ECE">
            <w:pPr>
              <w:spacing w:before="0" w:after="0"/>
              <w:jc w:val="left"/>
              <w:rPr>
                <w:rFonts w:ascii="Arial Narrow" w:hAnsi="Arial Narrow"/>
                <w:sz w:val="18"/>
                <w:szCs w:val="18"/>
              </w:rPr>
            </w:pPr>
            <w:r w:rsidRPr="00376ECE">
              <w:rPr>
                <w:rFonts w:ascii="Arial Narrow" w:hAnsi="Arial Narrow"/>
                <w:sz w:val="18"/>
                <w:szCs w:val="18"/>
              </w:rPr>
              <w:fldChar w:fldCharType="begin"/>
            </w:r>
            <w:r w:rsidR="00E81D61" w:rsidRPr="00376ECE">
              <w:rPr>
                <w:rFonts w:ascii="Arial Narrow" w:hAnsi="Arial Narrow"/>
                <w:sz w:val="18"/>
                <w:szCs w:val="18"/>
              </w:rPr>
              <w:instrText xml:space="preserve"> HYPERLINK "http://www.aidajerusalem.org/in_page.php?action=members" \l "a_79" </w:instrText>
            </w:r>
            <w:r w:rsidRPr="00376ECE">
              <w:rPr>
                <w:rFonts w:ascii="Arial Narrow" w:hAnsi="Arial Narrow"/>
                <w:sz w:val="18"/>
                <w:szCs w:val="18"/>
              </w:rPr>
              <w:fldChar w:fldCharType="separate"/>
            </w:r>
            <w:r w:rsidR="00E81D61" w:rsidRPr="00376ECE">
              <w:rPr>
                <w:rFonts w:ascii="Arial Narrow" w:hAnsi="Arial Narrow"/>
                <w:sz w:val="18"/>
                <w:szCs w:val="18"/>
              </w:rPr>
              <w:t>Norwegian Refugee Council (NRC)</w:t>
            </w:r>
            <w:r w:rsidRPr="00376ECE">
              <w:rPr>
                <w:rFonts w:ascii="Arial Narrow" w:hAnsi="Arial Narrow"/>
                <w:sz w:val="18"/>
                <w:szCs w:val="18"/>
              </w:rPr>
              <w:fldChar w:fldCharType="end"/>
            </w:r>
          </w:p>
        </w:tc>
        <w:tc>
          <w:tcPr>
            <w:tcW w:w="1223" w:type="pct"/>
            <w:shd w:val="clear" w:color="auto" w:fill="auto"/>
            <w:vAlign w:val="center"/>
          </w:tcPr>
          <w:p w:rsidR="00E81D61" w:rsidRPr="00376ECE" w:rsidRDefault="00E81D61" w:rsidP="00376ECE">
            <w:pPr>
              <w:spacing w:before="0" w:after="0"/>
              <w:jc w:val="left"/>
              <w:rPr>
                <w:rFonts w:ascii="Arial Narrow" w:hAnsi="Arial Narrow"/>
                <w:sz w:val="18"/>
                <w:szCs w:val="18"/>
              </w:rPr>
            </w:pPr>
            <w:r w:rsidRPr="00376ECE">
              <w:rPr>
                <w:rFonts w:ascii="Arial Narrow" w:hAnsi="Arial Narrow"/>
                <w:sz w:val="18"/>
                <w:szCs w:val="18"/>
              </w:rPr>
              <w:t xml:space="preserve">Neil </w:t>
            </w:r>
            <w:proofErr w:type="spellStart"/>
            <w:r w:rsidRPr="00376ECE">
              <w:rPr>
                <w:rFonts w:ascii="Arial Narrow" w:hAnsi="Arial Narrow"/>
                <w:sz w:val="18"/>
                <w:szCs w:val="18"/>
              </w:rPr>
              <w:t>Jebb</w:t>
            </w:r>
            <w:proofErr w:type="spellEnd"/>
            <w:r w:rsidRPr="00376ECE">
              <w:rPr>
                <w:rFonts w:ascii="Arial Narrow" w:hAnsi="Arial Narrow"/>
                <w:sz w:val="18"/>
                <w:szCs w:val="18"/>
              </w:rPr>
              <w:t xml:space="preserve"> - Country Director</w:t>
            </w:r>
          </w:p>
        </w:tc>
        <w:tc>
          <w:tcPr>
            <w:tcW w:w="863" w:type="pct"/>
            <w:shd w:val="clear" w:color="auto" w:fill="auto"/>
            <w:vAlign w:val="center"/>
          </w:tcPr>
          <w:p w:rsidR="00E81D61" w:rsidRPr="00376ECE" w:rsidRDefault="00A43E18" w:rsidP="00376ECE">
            <w:pPr>
              <w:spacing w:before="0" w:after="0"/>
              <w:jc w:val="left"/>
              <w:rPr>
                <w:rFonts w:ascii="Arial Narrow" w:hAnsi="Arial Narrow"/>
                <w:sz w:val="18"/>
                <w:szCs w:val="18"/>
              </w:rPr>
            </w:pPr>
            <w:hyperlink r:id="rId65" w:history="1">
              <w:r w:rsidR="00E81D61" w:rsidRPr="00376ECE">
                <w:rPr>
                  <w:rFonts w:ascii="Arial Narrow" w:hAnsi="Arial Narrow"/>
                  <w:sz w:val="18"/>
                  <w:szCs w:val="18"/>
                </w:rPr>
                <w:t>neil.jebb@nrc.no</w:t>
              </w:r>
            </w:hyperlink>
          </w:p>
        </w:tc>
        <w:tc>
          <w:tcPr>
            <w:tcW w:w="724" w:type="pct"/>
            <w:shd w:val="clear" w:color="auto" w:fill="auto"/>
            <w:vAlign w:val="center"/>
          </w:tcPr>
          <w:p w:rsidR="00E81D61" w:rsidRPr="00376ECE" w:rsidRDefault="00E81D61" w:rsidP="00376ECE">
            <w:pPr>
              <w:spacing w:before="0" w:after="0"/>
              <w:jc w:val="left"/>
              <w:rPr>
                <w:rFonts w:ascii="Arial Narrow" w:hAnsi="Arial Narrow"/>
                <w:sz w:val="18"/>
                <w:szCs w:val="18"/>
              </w:rPr>
            </w:pPr>
          </w:p>
        </w:tc>
        <w:tc>
          <w:tcPr>
            <w:tcW w:w="1200" w:type="pct"/>
            <w:shd w:val="clear" w:color="auto" w:fill="auto"/>
            <w:vAlign w:val="center"/>
          </w:tcPr>
          <w:p w:rsidR="00E81D61" w:rsidRPr="00376ECE" w:rsidRDefault="00E81D61" w:rsidP="00376ECE">
            <w:pPr>
              <w:spacing w:before="0" w:after="0"/>
              <w:jc w:val="left"/>
              <w:rPr>
                <w:rFonts w:ascii="Arial Narrow" w:hAnsi="Arial Narrow"/>
                <w:sz w:val="18"/>
                <w:szCs w:val="18"/>
              </w:rPr>
            </w:pPr>
            <w:r w:rsidRPr="00376ECE">
              <w:rPr>
                <w:rStyle w:val="st"/>
                <w:rFonts w:ascii="Arial Narrow" w:hAnsi="Arial Narrow"/>
                <w:sz w:val="18"/>
                <w:szCs w:val="18"/>
              </w:rPr>
              <w:t xml:space="preserve">Humanitarian non-governmental organization </w:t>
            </w:r>
            <w:r w:rsidRPr="00376ECE">
              <w:rPr>
                <w:rFonts w:ascii="Arial Narrow" w:hAnsi="Arial Narrow"/>
                <w:sz w:val="18"/>
                <w:szCs w:val="18"/>
              </w:rPr>
              <w:t>which provides assistance, protection and durable solutions to refugees and internally displaced persons worldwide</w:t>
            </w:r>
          </w:p>
        </w:tc>
      </w:tr>
      <w:bookmarkStart w:id="18" w:name="a_53"/>
      <w:bookmarkEnd w:id="18"/>
      <w:tr w:rsidR="00E81D61" w:rsidRPr="00376ECE" w:rsidTr="00705D33">
        <w:trPr>
          <w:trHeight w:val="364"/>
        </w:trPr>
        <w:tc>
          <w:tcPr>
            <w:tcW w:w="990" w:type="pct"/>
            <w:shd w:val="clear" w:color="auto" w:fill="auto"/>
            <w:vAlign w:val="center"/>
          </w:tcPr>
          <w:p w:rsidR="00E81D61" w:rsidRPr="00376ECE" w:rsidRDefault="00A43E18" w:rsidP="00376ECE">
            <w:pPr>
              <w:spacing w:before="0" w:after="0"/>
              <w:jc w:val="left"/>
              <w:rPr>
                <w:rFonts w:ascii="Arial Narrow" w:hAnsi="Arial Narrow"/>
                <w:sz w:val="18"/>
                <w:szCs w:val="18"/>
              </w:rPr>
            </w:pPr>
            <w:r w:rsidRPr="00376ECE">
              <w:rPr>
                <w:rFonts w:ascii="Arial Narrow" w:hAnsi="Arial Narrow"/>
                <w:sz w:val="18"/>
                <w:szCs w:val="18"/>
              </w:rPr>
              <w:fldChar w:fldCharType="begin"/>
            </w:r>
            <w:r w:rsidR="00E81D61" w:rsidRPr="00376ECE">
              <w:rPr>
                <w:rFonts w:ascii="Arial Narrow" w:hAnsi="Arial Narrow"/>
                <w:sz w:val="18"/>
                <w:szCs w:val="18"/>
              </w:rPr>
              <w:instrText xml:space="preserve"> HYPERLINK "http://www.aidajerusalem.org/in_page.php?action=members" \l "a_53" </w:instrText>
            </w:r>
            <w:r w:rsidRPr="00376ECE">
              <w:rPr>
                <w:rFonts w:ascii="Arial Narrow" w:hAnsi="Arial Narrow"/>
                <w:sz w:val="18"/>
                <w:szCs w:val="18"/>
              </w:rPr>
              <w:fldChar w:fldCharType="separate"/>
            </w:r>
            <w:r w:rsidR="00E81D61" w:rsidRPr="00376ECE">
              <w:rPr>
                <w:rFonts w:ascii="Arial Narrow" w:hAnsi="Arial Narrow"/>
                <w:sz w:val="18"/>
                <w:szCs w:val="18"/>
              </w:rPr>
              <w:t>Oxfam Great Britain (Oxfam GB)</w:t>
            </w:r>
            <w:r w:rsidRPr="00376ECE">
              <w:rPr>
                <w:rFonts w:ascii="Arial Narrow" w:hAnsi="Arial Narrow"/>
                <w:sz w:val="18"/>
                <w:szCs w:val="18"/>
              </w:rPr>
              <w:fldChar w:fldCharType="end"/>
            </w:r>
          </w:p>
        </w:tc>
        <w:tc>
          <w:tcPr>
            <w:tcW w:w="1223" w:type="pct"/>
            <w:shd w:val="clear" w:color="auto" w:fill="auto"/>
            <w:vAlign w:val="center"/>
          </w:tcPr>
          <w:p w:rsidR="00E81D61" w:rsidRPr="00376ECE" w:rsidRDefault="00E81D61" w:rsidP="00376ECE">
            <w:pPr>
              <w:spacing w:before="0" w:after="0"/>
              <w:jc w:val="left"/>
              <w:rPr>
                <w:rFonts w:ascii="Arial Narrow" w:hAnsi="Arial Narrow"/>
                <w:sz w:val="18"/>
                <w:szCs w:val="18"/>
              </w:rPr>
            </w:pPr>
            <w:r w:rsidRPr="00376ECE">
              <w:rPr>
                <w:rFonts w:ascii="Arial Narrow" w:hAnsi="Arial Narrow"/>
                <w:sz w:val="18"/>
                <w:szCs w:val="18"/>
              </w:rPr>
              <w:t>Tim Holmes - Country Director</w:t>
            </w:r>
          </w:p>
        </w:tc>
        <w:tc>
          <w:tcPr>
            <w:tcW w:w="863" w:type="pct"/>
            <w:shd w:val="clear" w:color="auto" w:fill="auto"/>
            <w:vAlign w:val="center"/>
          </w:tcPr>
          <w:p w:rsidR="00E81D61" w:rsidRPr="00376ECE" w:rsidRDefault="00A43E18" w:rsidP="00376ECE">
            <w:pPr>
              <w:spacing w:before="0" w:after="0"/>
              <w:jc w:val="left"/>
              <w:rPr>
                <w:rFonts w:ascii="Arial Narrow" w:hAnsi="Arial Narrow"/>
                <w:sz w:val="18"/>
                <w:szCs w:val="18"/>
              </w:rPr>
            </w:pPr>
            <w:hyperlink r:id="rId66" w:history="1">
              <w:r w:rsidR="006D392E" w:rsidRPr="00376ECE">
                <w:rPr>
                  <w:rFonts w:ascii="Arial Narrow" w:hAnsi="Arial Narrow"/>
                  <w:smallCaps/>
                  <w:sz w:val="18"/>
                  <w:szCs w:val="18"/>
                </w:rPr>
                <w:t>THolmes@oxfam.org.uk</w:t>
              </w:r>
            </w:hyperlink>
          </w:p>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jerusalem@oxfam.org.uk</w:t>
            </w:r>
          </w:p>
        </w:tc>
        <w:tc>
          <w:tcPr>
            <w:tcW w:w="724" w:type="pct"/>
            <w:shd w:val="clear" w:color="auto" w:fill="auto"/>
            <w:vAlign w:val="center"/>
          </w:tcPr>
          <w:p w:rsidR="00E81D61" w:rsidRPr="00376ECE" w:rsidRDefault="00E81D61" w:rsidP="00376ECE">
            <w:pPr>
              <w:spacing w:before="0" w:after="0"/>
              <w:jc w:val="left"/>
              <w:rPr>
                <w:rFonts w:ascii="Arial Narrow" w:hAnsi="Arial Narrow"/>
                <w:sz w:val="18"/>
                <w:szCs w:val="18"/>
              </w:rPr>
            </w:pPr>
            <w:r w:rsidRPr="00376ECE">
              <w:rPr>
                <w:rFonts w:ascii="Arial Narrow" w:hAnsi="Arial Narrow"/>
                <w:sz w:val="18"/>
                <w:szCs w:val="18"/>
              </w:rPr>
              <w:t>+972 2 6566234/5</w:t>
            </w:r>
          </w:p>
        </w:tc>
        <w:tc>
          <w:tcPr>
            <w:tcW w:w="1200" w:type="pct"/>
            <w:shd w:val="clear" w:color="auto" w:fill="auto"/>
            <w:vAlign w:val="center"/>
          </w:tcPr>
          <w:p w:rsidR="00E81D61" w:rsidRPr="00376ECE" w:rsidRDefault="00E81D61" w:rsidP="00376ECE">
            <w:pPr>
              <w:spacing w:before="0" w:after="0"/>
              <w:jc w:val="left"/>
              <w:rPr>
                <w:rFonts w:ascii="Arial Narrow" w:hAnsi="Arial Narrow"/>
                <w:sz w:val="18"/>
                <w:szCs w:val="18"/>
              </w:rPr>
            </w:pPr>
            <w:r w:rsidRPr="00376ECE">
              <w:rPr>
                <w:rStyle w:val="st"/>
                <w:rFonts w:ascii="Arial Narrow" w:hAnsi="Arial Narrow"/>
                <w:sz w:val="18"/>
                <w:szCs w:val="18"/>
              </w:rPr>
              <w:t>Aid and Development Charity</w:t>
            </w:r>
          </w:p>
        </w:tc>
      </w:tr>
      <w:bookmarkStart w:id="19" w:name="a_114"/>
      <w:bookmarkEnd w:id="19"/>
      <w:tr w:rsidR="00E81D61" w:rsidRPr="00376ECE" w:rsidTr="00705D33">
        <w:trPr>
          <w:trHeight w:val="189"/>
        </w:trPr>
        <w:tc>
          <w:tcPr>
            <w:tcW w:w="990" w:type="pct"/>
            <w:shd w:val="clear" w:color="auto" w:fill="auto"/>
            <w:vAlign w:val="center"/>
          </w:tcPr>
          <w:p w:rsidR="00E81D61" w:rsidRPr="00376ECE" w:rsidRDefault="00A43E18" w:rsidP="00376ECE">
            <w:pPr>
              <w:spacing w:before="0" w:after="0"/>
              <w:jc w:val="left"/>
              <w:rPr>
                <w:rFonts w:ascii="Arial Narrow" w:hAnsi="Arial Narrow"/>
                <w:sz w:val="18"/>
                <w:szCs w:val="18"/>
              </w:rPr>
            </w:pPr>
            <w:r w:rsidRPr="00376ECE">
              <w:rPr>
                <w:rFonts w:ascii="Arial Narrow" w:hAnsi="Arial Narrow"/>
                <w:sz w:val="18"/>
                <w:szCs w:val="18"/>
              </w:rPr>
              <w:fldChar w:fldCharType="begin"/>
            </w:r>
            <w:r w:rsidR="00E81D61" w:rsidRPr="00376ECE">
              <w:rPr>
                <w:rFonts w:ascii="Arial Narrow" w:hAnsi="Arial Narrow"/>
                <w:sz w:val="18"/>
                <w:szCs w:val="18"/>
              </w:rPr>
              <w:instrText xml:space="preserve"> HYPERLINK "http://www.aidajerusalem.org/in_page.php?action=members" \l "a_114" </w:instrText>
            </w:r>
            <w:r w:rsidRPr="00376ECE">
              <w:rPr>
                <w:rFonts w:ascii="Arial Narrow" w:hAnsi="Arial Narrow"/>
                <w:sz w:val="18"/>
                <w:szCs w:val="18"/>
              </w:rPr>
              <w:fldChar w:fldCharType="separate"/>
            </w:r>
            <w:r w:rsidR="00E81D61" w:rsidRPr="00376ECE">
              <w:rPr>
                <w:rFonts w:ascii="Arial Narrow" w:hAnsi="Arial Narrow"/>
                <w:sz w:val="18"/>
                <w:szCs w:val="18"/>
              </w:rPr>
              <w:t>Oxfam Italia (OIT)</w:t>
            </w:r>
            <w:r w:rsidRPr="00376ECE">
              <w:rPr>
                <w:rFonts w:ascii="Arial Narrow" w:hAnsi="Arial Narrow"/>
                <w:sz w:val="18"/>
                <w:szCs w:val="18"/>
              </w:rPr>
              <w:fldChar w:fldCharType="end"/>
            </w:r>
          </w:p>
        </w:tc>
        <w:tc>
          <w:tcPr>
            <w:tcW w:w="1223" w:type="pct"/>
            <w:shd w:val="clear" w:color="auto" w:fill="auto"/>
            <w:vAlign w:val="center"/>
          </w:tcPr>
          <w:p w:rsidR="00E81D61" w:rsidRPr="00376ECE" w:rsidRDefault="00E81D61" w:rsidP="00376ECE">
            <w:pPr>
              <w:spacing w:before="0" w:after="0"/>
              <w:jc w:val="left"/>
              <w:rPr>
                <w:rFonts w:ascii="Arial Narrow" w:hAnsi="Arial Narrow"/>
                <w:sz w:val="18"/>
                <w:szCs w:val="18"/>
              </w:rPr>
            </w:pPr>
            <w:r w:rsidRPr="00376ECE">
              <w:rPr>
                <w:rFonts w:ascii="Arial Narrow" w:hAnsi="Arial Narrow"/>
                <w:sz w:val="18"/>
                <w:szCs w:val="18"/>
              </w:rPr>
              <w:t xml:space="preserve">Peter </w:t>
            </w:r>
            <w:proofErr w:type="spellStart"/>
            <w:r w:rsidRPr="00376ECE">
              <w:rPr>
                <w:rFonts w:ascii="Arial Narrow" w:hAnsi="Arial Narrow"/>
                <w:sz w:val="18"/>
                <w:szCs w:val="18"/>
              </w:rPr>
              <w:t>Laban</w:t>
            </w:r>
            <w:proofErr w:type="spellEnd"/>
            <w:r w:rsidRPr="00376ECE">
              <w:rPr>
                <w:rFonts w:ascii="Arial Narrow" w:hAnsi="Arial Narrow"/>
                <w:sz w:val="18"/>
                <w:szCs w:val="18"/>
              </w:rPr>
              <w:t xml:space="preserve"> - Associate Country Director</w:t>
            </w:r>
          </w:p>
        </w:tc>
        <w:tc>
          <w:tcPr>
            <w:tcW w:w="863" w:type="pct"/>
            <w:shd w:val="clear" w:color="auto" w:fill="auto"/>
            <w:vAlign w:val="center"/>
          </w:tcPr>
          <w:p w:rsidR="00E81D61" w:rsidRPr="00376ECE" w:rsidRDefault="00E81D61" w:rsidP="00376ECE">
            <w:pPr>
              <w:spacing w:before="0" w:after="0"/>
              <w:jc w:val="left"/>
              <w:rPr>
                <w:rFonts w:ascii="Arial Narrow" w:hAnsi="Arial Narrow"/>
                <w:sz w:val="18"/>
                <w:szCs w:val="18"/>
              </w:rPr>
            </w:pPr>
            <w:r w:rsidRPr="00376ECE">
              <w:rPr>
                <w:rFonts w:ascii="Arial Narrow" w:hAnsi="Arial Narrow"/>
                <w:sz w:val="18"/>
                <w:szCs w:val="18"/>
              </w:rPr>
              <w:t>jerusalem@oxfamitalia.org</w:t>
            </w:r>
          </w:p>
        </w:tc>
        <w:tc>
          <w:tcPr>
            <w:tcW w:w="724" w:type="pct"/>
            <w:shd w:val="clear" w:color="auto" w:fill="auto"/>
            <w:vAlign w:val="center"/>
          </w:tcPr>
          <w:p w:rsidR="00E81D61" w:rsidRPr="00376ECE" w:rsidRDefault="00E81D61" w:rsidP="00376ECE">
            <w:pPr>
              <w:spacing w:before="0" w:after="0"/>
              <w:jc w:val="left"/>
              <w:rPr>
                <w:rFonts w:ascii="Arial Narrow" w:hAnsi="Arial Narrow"/>
                <w:sz w:val="18"/>
                <w:szCs w:val="18"/>
              </w:rPr>
            </w:pPr>
            <w:r w:rsidRPr="00376ECE">
              <w:rPr>
                <w:rFonts w:ascii="Arial Narrow" w:hAnsi="Arial Narrow"/>
                <w:sz w:val="18"/>
                <w:szCs w:val="18"/>
              </w:rPr>
              <w:t>+972(0) 2 6727805</w:t>
            </w:r>
          </w:p>
        </w:tc>
        <w:tc>
          <w:tcPr>
            <w:tcW w:w="1200" w:type="pct"/>
            <w:shd w:val="clear" w:color="auto" w:fill="auto"/>
            <w:vAlign w:val="center"/>
          </w:tcPr>
          <w:p w:rsidR="00E81D61" w:rsidRPr="00376ECE" w:rsidRDefault="00E81D61" w:rsidP="00376ECE">
            <w:pPr>
              <w:spacing w:before="0" w:after="0"/>
              <w:jc w:val="left"/>
              <w:rPr>
                <w:rFonts w:ascii="Arial Narrow" w:hAnsi="Arial Narrow"/>
                <w:sz w:val="18"/>
                <w:szCs w:val="18"/>
              </w:rPr>
            </w:pPr>
            <w:r w:rsidRPr="00376ECE">
              <w:rPr>
                <w:rStyle w:val="st"/>
                <w:rFonts w:ascii="Arial Narrow" w:hAnsi="Arial Narrow"/>
                <w:sz w:val="18"/>
                <w:szCs w:val="18"/>
              </w:rPr>
              <w:t>Aid and Development</w:t>
            </w:r>
          </w:p>
        </w:tc>
      </w:tr>
      <w:bookmarkStart w:id="20" w:name="a_63"/>
      <w:bookmarkEnd w:id="20"/>
      <w:tr w:rsidR="00E81D61" w:rsidRPr="00376ECE" w:rsidTr="00705D33">
        <w:trPr>
          <w:trHeight w:val="553"/>
        </w:trPr>
        <w:tc>
          <w:tcPr>
            <w:tcW w:w="990" w:type="pct"/>
            <w:shd w:val="clear" w:color="auto" w:fill="auto"/>
            <w:vAlign w:val="center"/>
          </w:tcPr>
          <w:p w:rsidR="00E81D61" w:rsidRPr="00376ECE" w:rsidRDefault="00A43E18" w:rsidP="00376ECE">
            <w:pPr>
              <w:spacing w:before="0" w:after="0"/>
              <w:jc w:val="left"/>
              <w:rPr>
                <w:rFonts w:ascii="Arial Narrow" w:hAnsi="Arial Narrow"/>
                <w:sz w:val="18"/>
                <w:szCs w:val="18"/>
              </w:rPr>
            </w:pPr>
            <w:r w:rsidRPr="00376ECE">
              <w:rPr>
                <w:rFonts w:ascii="Arial Narrow" w:hAnsi="Arial Narrow"/>
                <w:sz w:val="18"/>
                <w:szCs w:val="18"/>
              </w:rPr>
              <w:fldChar w:fldCharType="begin"/>
            </w:r>
            <w:r w:rsidR="00E81D61" w:rsidRPr="00376ECE">
              <w:rPr>
                <w:rFonts w:ascii="Arial Narrow" w:hAnsi="Arial Narrow"/>
                <w:sz w:val="18"/>
                <w:szCs w:val="18"/>
              </w:rPr>
              <w:instrText xml:space="preserve"> HYPERLINK "http://www.aidajerusalem.org/in_page.php?action=members" \l "a_63" </w:instrText>
            </w:r>
            <w:r w:rsidRPr="00376ECE">
              <w:rPr>
                <w:rFonts w:ascii="Arial Narrow" w:hAnsi="Arial Narrow"/>
                <w:sz w:val="18"/>
                <w:szCs w:val="18"/>
              </w:rPr>
              <w:fldChar w:fldCharType="separate"/>
            </w:r>
            <w:r w:rsidR="00E81D61" w:rsidRPr="00376ECE">
              <w:rPr>
                <w:rFonts w:ascii="Arial Narrow" w:hAnsi="Arial Narrow"/>
                <w:sz w:val="18"/>
                <w:szCs w:val="18"/>
              </w:rPr>
              <w:t>Save the Children - International (SCI)</w:t>
            </w:r>
            <w:r w:rsidRPr="00376ECE">
              <w:rPr>
                <w:rFonts w:ascii="Arial Narrow" w:hAnsi="Arial Narrow"/>
                <w:sz w:val="18"/>
                <w:szCs w:val="18"/>
              </w:rPr>
              <w:fldChar w:fldCharType="end"/>
            </w:r>
          </w:p>
        </w:tc>
        <w:tc>
          <w:tcPr>
            <w:tcW w:w="1223" w:type="pct"/>
            <w:shd w:val="clear" w:color="auto" w:fill="auto"/>
            <w:vAlign w:val="center"/>
          </w:tcPr>
          <w:p w:rsidR="00E81D61" w:rsidRPr="00376ECE" w:rsidRDefault="00E81D61" w:rsidP="00376ECE">
            <w:pPr>
              <w:spacing w:before="0" w:after="0"/>
              <w:jc w:val="left"/>
              <w:rPr>
                <w:rFonts w:ascii="Arial Narrow" w:hAnsi="Arial Narrow"/>
                <w:sz w:val="18"/>
                <w:szCs w:val="18"/>
              </w:rPr>
            </w:pPr>
            <w:r w:rsidRPr="00376ECE">
              <w:rPr>
                <w:rFonts w:ascii="Arial Narrow" w:hAnsi="Arial Narrow"/>
                <w:sz w:val="18"/>
                <w:szCs w:val="18"/>
              </w:rPr>
              <w:t>Alex Schein - Country Director</w:t>
            </w:r>
          </w:p>
        </w:tc>
        <w:tc>
          <w:tcPr>
            <w:tcW w:w="863" w:type="pct"/>
            <w:shd w:val="clear" w:color="auto" w:fill="auto"/>
            <w:vAlign w:val="center"/>
          </w:tcPr>
          <w:p w:rsidR="00E81D61" w:rsidRPr="00376ECE" w:rsidRDefault="00E81D61" w:rsidP="00376ECE">
            <w:pPr>
              <w:spacing w:before="0" w:after="0"/>
              <w:jc w:val="left"/>
              <w:rPr>
                <w:rFonts w:ascii="Arial Narrow" w:hAnsi="Arial Narrow"/>
                <w:sz w:val="18"/>
                <w:szCs w:val="18"/>
              </w:rPr>
            </w:pPr>
            <w:r w:rsidRPr="00376ECE">
              <w:rPr>
                <w:rFonts w:ascii="Arial Narrow" w:hAnsi="Arial Narrow"/>
                <w:sz w:val="18"/>
                <w:szCs w:val="18"/>
              </w:rPr>
              <w:t>alex.schein@savethechildren.org</w:t>
            </w:r>
          </w:p>
        </w:tc>
        <w:tc>
          <w:tcPr>
            <w:tcW w:w="724" w:type="pct"/>
            <w:shd w:val="clear" w:color="auto" w:fill="auto"/>
            <w:vAlign w:val="center"/>
          </w:tcPr>
          <w:p w:rsidR="00E81D61" w:rsidRPr="00376ECE" w:rsidRDefault="00E81D61" w:rsidP="00376ECE">
            <w:pPr>
              <w:spacing w:before="0" w:after="0"/>
              <w:jc w:val="left"/>
              <w:rPr>
                <w:rFonts w:ascii="Arial Narrow" w:hAnsi="Arial Narrow"/>
                <w:sz w:val="18"/>
                <w:szCs w:val="18"/>
              </w:rPr>
            </w:pPr>
            <w:r w:rsidRPr="00376ECE">
              <w:rPr>
                <w:rFonts w:ascii="Arial Narrow" w:hAnsi="Arial Narrow"/>
                <w:sz w:val="18"/>
                <w:szCs w:val="18"/>
              </w:rPr>
              <w:t>Jerusalem office: 02-583 8593 / 4 |Ramallah office: 02-2973631</w:t>
            </w:r>
          </w:p>
        </w:tc>
        <w:tc>
          <w:tcPr>
            <w:tcW w:w="1200" w:type="pct"/>
            <w:shd w:val="clear" w:color="auto" w:fill="auto"/>
            <w:vAlign w:val="center"/>
          </w:tcPr>
          <w:p w:rsidR="00E81D61" w:rsidRPr="00376ECE" w:rsidRDefault="00E81D61" w:rsidP="00376ECE">
            <w:pPr>
              <w:spacing w:before="0" w:after="0"/>
              <w:jc w:val="left"/>
              <w:rPr>
                <w:rFonts w:ascii="Arial Narrow" w:hAnsi="Arial Narrow"/>
                <w:sz w:val="18"/>
                <w:szCs w:val="18"/>
              </w:rPr>
            </w:pPr>
            <w:r w:rsidRPr="00376ECE">
              <w:rPr>
                <w:rFonts w:ascii="Arial Narrow" w:hAnsi="Arial Narrow"/>
                <w:sz w:val="18"/>
                <w:szCs w:val="18"/>
              </w:rPr>
              <w:t>Independent organization for children</w:t>
            </w:r>
          </w:p>
        </w:tc>
      </w:tr>
      <w:tr w:rsidR="00E81D61" w:rsidRPr="00376ECE" w:rsidTr="00705D33">
        <w:trPr>
          <w:trHeight w:val="553"/>
        </w:trPr>
        <w:tc>
          <w:tcPr>
            <w:tcW w:w="990" w:type="pct"/>
            <w:shd w:val="clear" w:color="auto" w:fill="auto"/>
            <w:vAlign w:val="center"/>
          </w:tcPr>
          <w:p w:rsidR="00E81D61" w:rsidRPr="00376ECE" w:rsidRDefault="00E81D61" w:rsidP="00376ECE">
            <w:pPr>
              <w:spacing w:before="0" w:after="0"/>
              <w:jc w:val="left"/>
              <w:rPr>
                <w:rFonts w:ascii="Arial Narrow" w:hAnsi="Arial Narrow"/>
                <w:sz w:val="18"/>
                <w:szCs w:val="18"/>
              </w:rPr>
            </w:pPr>
            <w:r w:rsidRPr="00376ECE">
              <w:rPr>
                <w:rFonts w:ascii="Arial Narrow" w:hAnsi="Arial Narrow"/>
                <w:sz w:val="18"/>
                <w:szCs w:val="18"/>
              </w:rPr>
              <w:t>The Swedish Cooperative Centre (SCC)</w:t>
            </w:r>
          </w:p>
        </w:tc>
        <w:tc>
          <w:tcPr>
            <w:tcW w:w="1223" w:type="pct"/>
            <w:shd w:val="clear" w:color="auto" w:fill="auto"/>
            <w:vAlign w:val="center"/>
          </w:tcPr>
          <w:p w:rsidR="00E81D61" w:rsidRPr="00376ECE" w:rsidRDefault="00E81D61" w:rsidP="00376ECE">
            <w:pPr>
              <w:spacing w:before="0" w:after="0"/>
              <w:jc w:val="left"/>
              <w:rPr>
                <w:rFonts w:ascii="Arial Narrow" w:hAnsi="Arial Narrow"/>
                <w:sz w:val="18"/>
                <w:szCs w:val="18"/>
              </w:rPr>
            </w:pPr>
            <w:r w:rsidRPr="00376ECE">
              <w:rPr>
                <w:rFonts w:ascii="Arial Narrow" w:hAnsi="Arial Narrow"/>
                <w:sz w:val="18"/>
                <w:szCs w:val="18"/>
              </w:rPr>
              <w:t xml:space="preserve">Mohammed </w:t>
            </w:r>
            <w:proofErr w:type="spellStart"/>
            <w:r w:rsidRPr="00376ECE">
              <w:rPr>
                <w:rFonts w:ascii="Arial Narrow" w:hAnsi="Arial Narrow"/>
                <w:sz w:val="18"/>
                <w:szCs w:val="18"/>
              </w:rPr>
              <w:t>Khaled</w:t>
            </w:r>
            <w:proofErr w:type="spellEnd"/>
          </w:p>
        </w:tc>
        <w:tc>
          <w:tcPr>
            <w:tcW w:w="863" w:type="pct"/>
            <w:shd w:val="clear" w:color="auto" w:fill="auto"/>
            <w:vAlign w:val="center"/>
          </w:tcPr>
          <w:p w:rsidR="00E81D61" w:rsidRPr="00376ECE" w:rsidRDefault="00E81D61" w:rsidP="00376ECE">
            <w:pPr>
              <w:spacing w:before="0" w:after="0"/>
              <w:jc w:val="left"/>
              <w:rPr>
                <w:rFonts w:ascii="Arial Narrow" w:hAnsi="Arial Narrow"/>
                <w:sz w:val="18"/>
                <w:szCs w:val="18"/>
              </w:rPr>
            </w:pPr>
            <w:r w:rsidRPr="00376ECE">
              <w:rPr>
                <w:rFonts w:ascii="Arial Narrow" w:hAnsi="Arial Narrow"/>
                <w:sz w:val="18"/>
                <w:szCs w:val="18"/>
              </w:rPr>
              <w:t>Mohammed.Khaled@utangranser.se</w:t>
            </w:r>
          </w:p>
          <w:p w:rsidR="00E81D61" w:rsidRPr="00376ECE" w:rsidRDefault="00E81D61" w:rsidP="00376ECE">
            <w:pPr>
              <w:spacing w:before="0" w:after="0"/>
              <w:jc w:val="left"/>
              <w:rPr>
                <w:rFonts w:ascii="Arial Narrow" w:hAnsi="Arial Narrow"/>
                <w:sz w:val="18"/>
                <w:szCs w:val="18"/>
              </w:rPr>
            </w:pPr>
          </w:p>
        </w:tc>
        <w:tc>
          <w:tcPr>
            <w:tcW w:w="724" w:type="pct"/>
            <w:shd w:val="clear" w:color="auto" w:fill="auto"/>
            <w:vAlign w:val="center"/>
          </w:tcPr>
          <w:p w:rsidR="00E81D61" w:rsidRPr="00376ECE" w:rsidRDefault="00E81D61" w:rsidP="00376ECE">
            <w:pPr>
              <w:spacing w:before="0" w:after="0"/>
              <w:jc w:val="left"/>
              <w:rPr>
                <w:rFonts w:ascii="Arial Narrow" w:hAnsi="Arial Narrow"/>
                <w:sz w:val="18"/>
                <w:szCs w:val="18"/>
              </w:rPr>
            </w:pPr>
            <w:r w:rsidRPr="00376ECE">
              <w:rPr>
                <w:rFonts w:ascii="Arial Narrow" w:hAnsi="Arial Narrow"/>
                <w:sz w:val="18"/>
                <w:szCs w:val="18"/>
              </w:rPr>
              <w:t>02 2413950 |00970597840480</w:t>
            </w:r>
          </w:p>
        </w:tc>
        <w:tc>
          <w:tcPr>
            <w:tcW w:w="1200" w:type="pct"/>
            <w:shd w:val="clear" w:color="auto" w:fill="auto"/>
            <w:vAlign w:val="center"/>
          </w:tcPr>
          <w:p w:rsidR="00E81D61" w:rsidRPr="00376ECE" w:rsidRDefault="00705D33" w:rsidP="00705D33">
            <w:pPr>
              <w:spacing w:before="0" w:after="0"/>
              <w:jc w:val="left"/>
              <w:rPr>
                <w:rFonts w:ascii="Arial Narrow" w:hAnsi="Arial Narrow"/>
                <w:sz w:val="18"/>
                <w:szCs w:val="18"/>
              </w:rPr>
            </w:pPr>
            <w:r>
              <w:rPr>
                <w:rFonts w:ascii="Arial Narrow" w:hAnsi="Arial Narrow"/>
                <w:sz w:val="18"/>
                <w:szCs w:val="18"/>
              </w:rPr>
              <w:t>Poverty, Development, Cooperation</w:t>
            </w:r>
          </w:p>
        </w:tc>
      </w:tr>
      <w:bookmarkStart w:id="21" w:name="a_72"/>
      <w:bookmarkEnd w:id="21"/>
      <w:tr w:rsidR="00E81D61" w:rsidRPr="00376ECE" w:rsidTr="00705D33">
        <w:trPr>
          <w:trHeight w:val="364"/>
        </w:trPr>
        <w:tc>
          <w:tcPr>
            <w:tcW w:w="990" w:type="pct"/>
            <w:shd w:val="clear" w:color="auto" w:fill="auto"/>
            <w:vAlign w:val="center"/>
          </w:tcPr>
          <w:p w:rsidR="00E81D61" w:rsidRPr="00376ECE" w:rsidRDefault="00A43E18" w:rsidP="00376ECE">
            <w:pPr>
              <w:spacing w:before="0" w:after="0"/>
              <w:jc w:val="left"/>
              <w:rPr>
                <w:rFonts w:ascii="Arial Narrow" w:hAnsi="Arial Narrow"/>
                <w:sz w:val="18"/>
                <w:szCs w:val="18"/>
              </w:rPr>
            </w:pPr>
            <w:r w:rsidRPr="00376ECE">
              <w:rPr>
                <w:rFonts w:ascii="Arial Narrow" w:hAnsi="Arial Narrow"/>
                <w:sz w:val="18"/>
                <w:szCs w:val="18"/>
              </w:rPr>
              <w:fldChar w:fldCharType="begin"/>
            </w:r>
            <w:r w:rsidR="00E81D61" w:rsidRPr="00376ECE">
              <w:rPr>
                <w:rFonts w:ascii="Arial Narrow" w:hAnsi="Arial Narrow"/>
                <w:sz w:val="18"/>
                <w:szCs w:val="18"/>
              </w:rPr>
              <w:instrText xml:space="preserve"> HYPERLINK "http://www.aidajerusalem.org/in_page.php?action=members" \l "a_72" </w:instrText>
            </w:r>
            <w:r w:rsidRPr="00376ECE">
              <w:rPr>
                <w:rFonts w:ascii="Arial Narrow" w:hAnsi="Arial Narrow"/>
                <w:sz w:val="18"/>
                <w:szCs w:val="18"/>
              </w:rPr>
              <w:fldChar w:fldCharType="separate"/>
            </w:r>
            <w:r w:rsidR="00E81D61" w:rsidRPr="00376ECE">
              <w:rPr>
                <w:rFonts w:ascii="Arial Narrow" w:hAnsi="Arial Narrow"/>
                <w:sz w:val="18"/>
                <w:szCs w:val="18"/>
              </w:rPr>
              <w:t>United Nations Association International Service (UNAIS)</w:t>
            </w:r>
            <w:r w:rsidRPr="00376ECE">
              <w:rPr>
                <w:rFonts w:ascii="Arial Narrow" w:hAnsi="Arial Narrow"/>
                <w:sz w:val="18"/>
                <w:szCs w:val="18"/>
              </w:rPr>
              <w:fldChar w:fldCharType="end"/>
            </w:r>
          </w:p>
        </w:tc>
        <w:tc>
          <w:tcPr>
            <w:tcW w:w="1223" w:type="pct"/>
            <w:shd w:val="clear" w:color="auto" w:fill="auto"/>
            <w:vAlign w:val="center"/>
          </w:tcPr>
          <w:p w:rsidR="00E81D61" w:rsidRPr="00376ECE" w:rsidRDefault="00E81D61" w:rsidP="00376ECE">
            <w:pPr>
              <w:spacing w:before="0" w:after="0"/>
              <w:jc w:val="left"/>
              <w:rPr>
                <w:rFonts w:ascii="Arial Narrow" w:hAnsi="Arial Narrow"/>
                <w:sz w:val="18"/>
                <w:szCs w:val="18"/>
              </w:rPr>
            </w:pPr>
            <w:proofErr w:type="spellStart"/>
            <w:r w:rsidRPr="00376ECE">
              <w:rPr>
                <w:rFonts w:ascii="Arial Narrow" w:hAnsi="Arial Narrow"/>
                <w:sz w:val="18"/>
                <w:szCs w:val="18"/>
              </w:rPr>
              <w:t>KhaledHusseini</w:t>
            </w:r>
            <w:proofErr w:type="spellEnd"/>
            <w:r w:rsidRPr="00376ECE">
              <w:rPr>
                <w:rFonts w:ascii="Arial Narrow" w:hAnsi="Arial Narrow"/>
                <w:sz w:val="18"/>
                <w:szCs w:val="18"/>
              </w:rPr>
              <w:t xml:space="preserve"> - Country Director</w:t>
            </w:r>
          </w:p>
        </w:tc>
        <w:tc>
          <w:tcPr>
            <w:tcW w:w="863" w:type="pct"/>
            <w:shd w:val="clear" w:color="auto" w:fill="auto"/>
            <w:vAlign w:val="center"/>
          </w:tcPr>
          <w:p w:rsidR="00E81D61" w:rsidRPr="00376ECE" w:rsidRDefault="00E81D61" w:rsidP="00376ECE">
            <w:pPr>
              <w:spacing w:before="0" w:after="0"/>
              <w:jc w:val="left"/>
              <w:rPr>
                <w:rFonts w:ascii="Arial Narrow" w:hAnsi="Arial Narrow"/>
                <w:sz w:val="18"/>
                <w:szCs w:val="18"/>
              </w:rPr>
            </w:pPr>
            <w:r w:rsidRPr="00376ECE">
              <w:rPr>
                <w:rFonts w:ascii="Arial Narrow" w:hAnsi="Arial Narrow"/>
                <w:sz w:val="18"/>
                <w:szCs w:val="18"/>
              </w:rPr>
              <w:t>k.husseini@unais.org</w:t>
            </w:r>
          </w:p>
        </w:tc>
        <w:tc>
          <w:tcPr>
            <w:tcW w:w="724" w:type="pct"/>
            <w:shd w:val="clear" w:color="auto" w:fill="auto"/>
            <w:vAlign w:val="center"/>
          </w:tcPr>
          <w:p w:rsidR="00E81D61" w:rsidRPr="00376ECE" w:rsidRDefault="00E81D61" w:rsidP="00376ECE">
            <w:pPr>
              <w:spacing w:before="0" w:after="0"/>
              <w:jc w:val="left"/>
              <w:rPr>
                <w:rFonts w:ascii="Arial Narrow" w:hAnsi="Arial Narrow"/>
                <w:sz w:val="18"/>
                <w:szCs w:val="18"/>
              </w:rPr>
            </w:pPr>
            <w:r w:rsidRPr="00376ECE">
              <w:rPr>
                <w:rFonts w:ascii="Arial Narrow" w:hAnsi="Arial Narrow"/>
                <w:sz w:val="18"/>
                <w:szCs w:val="18"/>
              </w:rPr>
              <w:t>02-5823941 info@unais.org</w:t>
            </w:r>
          </w:p>
        </w:tc>
        <w:tc>
          <w:tcPr>
            <w:tcW w:w="1200" w:type="pct"/>
            <w:shd w:val="clear" w:color="auto" w:fill="auto"/>
            <w:vAlign w:val="center"/>
          </w:tcPr>
          <w:p w:rsidR="00E81D61" w:rsidRPr="00376ECE" w:rsidRDefault="00E81D61" w:rsidP="00376ECE">
            <w:pPr>
              <w:spacing w:before="0" w:after="0"/>
              <w:jc w:val="left"/>
              <w:rPr>
                <w:rStyle w:val="st"/>
                <w:rFonts w:ascii="Arial Narrow" w:hAnsi="Arial Narrow"/>
                <w:sz w:val="18"/>
                <w:szCs w:val="18"/>
              </w:rPr>
            </w:pPr>
            <w:r w:rsidRPr="00376ECE">
              <w:rPr>
                <w:rStyle w:val="st"/>
                <w:rFonts w:ascii="Arial Narrow" w:hAnsi="Arial Narrow"/>
                <w:sz w:val="18"/>
                <w:szCs w:val="18"/>
              </w:rPr>
              <w:t>Women, Disabled people, Children and Young people</w:t>
            </w:r>
          </w:p>
        </w:tc>
      </w:tr>
      <w:bookmarkStart w:id="22" w:name="a_74"/>
      <w:bookmarkEnd w:id="22"/>
      <w:tr w:rsidR="00E81D61" w:rsidRPr="00376ECE" w:rsidTr="00705D33">
        <w:trPr>
          <w:trHeight w:val="378"/>
        </w:trPr>
        <w:tc>
          <w:tcPr>
            <w:tcW w:w="990" w:type="pct"/>
            <w:shd w:val="clear" w:color="auto" w:fill="auto"/>
            <w:vAlign w:val="center"/>
          </w:tcPr>
          <w:p w:rsidR="00E81D61" w:rsidRPr="00376ECE" w:rsidRDefault="00A43E18" w:rsidP="00376ECE">
            <w:pPr>
              <w:spacing w:before="0" w:after="0"/>
              <w:jc w:val="left"/>
              <w:rPr>
                <w:rFonts w:ascii="Arial Narrow" w:hAnsi="Arial Narrow"/>
                <w:sz w:val="18"/>
                <w:szCs w:val="18"/>
              </w:rPr>
            </w:pPr>
            <w:r w:rsidRPr="00376ECE">
              <w:rPr>
                <w:rFonts w:ascii="Arial Narrow" w:hAnsi="Arial Narrow"/>
                <w:sz w:val="18"/>
                <w:szCs w:val="18"/>
              </w:rPr>
              <w:fldChar w:fldCharType="begin"/>
            </w:r>
            <w:r w:rsidR="00E81D61" w:rsidRPr="00376ECE">
              <w:rPr>
                <w:rFonts w:ascii="Arial Narrow" w:hAnsi="Arial Narrow"/>
                <w:sz w:val="18"/>
                <w:szCs w:val="18"/>
              </w:rPr>
              <w:instrText xml:space="preserve"> HYPERLINK "http://www.aidajerusalem.org/in_page.php?action=members" \l "a_74" </w:instrText>
            </w:r>
            <w:r w:rsidRPr="00376ECE">
              <w:rPr>
                <w:rFonts w:ascii="Arial Narrow" w:hAnsi="Arial Narrow"/>
                <w:sz w:val="18"/>
                <w:szCs w:val="18"/>
              </w:rPr>
              <w:fldChar w:fldCharType="separate"/>
            </w:r>
            <w:r w:rsidR="00E81D61" w:rsidRPr="00376ECE">
              <w:rPr>
                <w:rFonts w:ascii="Arial Narrow" w:hAnsi="Arial Narrow"/>
                <w:sz w:val="18"/>
                <w:szCs w:val="18"/>
              </w:rPr>
              <w:t>War Child Holland (WCH)</w:t>
            </w:r>
            <w:r w:rsidRPr="00376ECE">
              <w:rPr>
                <w:rFonts w:ascii="Arial Narrow" w:hAnsi="Arial Narrow"/>
                <w:sz w:val="18"/>
                <w:szCs w:val="18"/>
              </w:rPr>
              <w:fldChar w:fldCharType="end"/>
            </w:r>
          </w:p>
        </w:tc>
        <w:tc>
          <w:tcPr>
            <w:tcW w:w="1223" w:type="pct"/>
            <w:shd w:val="clear" w:color="auto" w:fill="auto"/>
            <w:vAlign w:val="center"/>
          </w:tcPr>
          <w:p w:rsidR="00E81D61" w:rsidRPr="00376ECE" w:rsidRDefault="00E81D61" w:rsidP="00376ECE">
            <w:pPr>
              <w:spacing w:before="0" w:after="0"/>
              <w:jc w:val="left"/>
              <w:rPr>
                <w:rFonts w:ascii="Arial Narrow" w:hAnsi="Arial Narrow"/>
                <w:sz w:val="18"/>
                <w:szCs w:val="18"/>
                <w:lang w:val="es-ES"/>
              </w:rPr>
            </w:pPr>
            <w:r w:rsidRPr="00376ECE">
              <w:rPr>
                <w:rFonts w:ascii="Arial Narrow" w:hAnsi="Arial Narrow"/>
                <w:sz w:val="18"/>
                <w:szCs w:val="18"/>
                <w:lang w:val="es-ES"/>
              </w:rPr>
              <w:t xml:space="preserve">Javier Pérez Salmerón - Israel-OPT </w:t>
            </w:r>
            <w:proofErr w:type="spellStart"/>
            <w:r w:rsidRPr="00376ECE">
              <w:rPr>
                <w:rFonts w:ascii="Arial Narrow" w:hAnsi="Arial Narrow"/>
                <w:sz w:val="18"/>
                <w:szCs w:val="18"/>
                <w:lang w:val="es-ES"/>
              </w:rPr>
              <w:t>Representative</w:t>
            </w:r>
            <w:proofErr w:type="spellEnd"/>
          </w:p>
        </w:tc>
        <w:tc>
          <w:tcPr>
            <w:tcW w:w="863" w:type="pct"/>
            <w:shd w:val="clear" w:color="auto" w:fill="auto"/>
            <w:vAlign w:val="center"/>
          </w:tcPr>
          <w:p w:rsidR="00E81D61" w:rsidRPr="00376ECE" w:rsidRDefault="00E81D61" w:rsidP="00376ECE">
            <w:pPr>
              <w:spacing w:before="0" w:after="0"/>
              <w:jc w:val="left"/>
              <w:rPr>
                <w:rFonts w:ascii="Arial Narrow" w:hAnsi="Arial Narrow"/>
                <w:sz w:val="18"/>
                <w:szCs w:val="18"/>
              </w:rPr>
            </w:pPr>
            <w:r w:rsidRPr="00376ECE">
              <w:rPr>
                <w:rFonts w:ascii="Arial Narrow" w:hAnsi="Arial Narrow"/>
                <w:sz w:val="18"/>
                <w:szCs w:val="18"/>
              </w:rPr>
              <w:t>Javier.Salmeron@warchild.nl</w:t>
            </w:r>
          </w:p>
        </w:tc>
        <w:tc>
          <w:tcPr>
            <w:tcW w:w="724" w:type="pct"/>
            <w:shd w:val="clear" w:color="auto" w:fill="auto"/>
            <w:vAlign w:val="center"/>
          </w:tcPr>
          <w:p w:rsidR="00E81D61" w:rsidRPr="00376ECE" w:rsidRDefault="00E81D61" w:rsidP="00376ECE">
            <w:pPr>
              <w:spacing w:before="0" w:after="0"/>
              <w:jc w:val="left"/>
              <w:rPr>
                <w:rFonts w:ascii="Arial Narrow" w:hAnsi="Arial Narrow"/>
                <w:sz w:val="18"/>
                <w:szCs w:val="18"/>
              </w:rPr>
            </w:pPr>
            <w:r w:rsidRPr="00376ECE">
              <w:rPr>
                <w:rFonts w:ascii="Arial Narrow" w:hAnsi="Arial Narrow"/>
                <w:sz w:val="18"/>
                <w:szCs w:val="18"/>
              </w:rPr>
              <w:t>025853952</w:t>
            </w:r>
          </w:p>
        </w:tc>
        <w:tc>
          <w:tcPr>
            <w:tcW w:w="1200" w:type="pct"/>
            <w:shd w:val="clear" w:color="auto" w:fill="auto"/>
            <w:vAlign w:val="center"/>
          </w:tcPr>
          <w:p w:rsidR="00E81D61" w:rsidRPr="00376ECE" w:rsidRDefault="00E81D61" w:rsidP="00376ECE">
            <w:pPr>
              <w:spacing w:before="0" w:after="0"/>
              <w:jc w:val="left"/>
              <w:rPr>
                <w:rFonts w:ascii="Arial Narrow" w:hAnsi="Arial Narrow"/>
                <w:sz w:val="18"/>
                <w:szCs w:val="18"/>
              </w:rPr>
            </w:pPr>
            <w:r w:rsidRPr="00376ECE">
              <w:rPr>
                <w:rFonts w:ascii="Arial Narrow" w:hAnsi="Arial Narrow"/>
                <w:sz w:val="18"/>
                <w:szCs w:val="18"/>
              </w:rPr>
              <w:t>Children and Young people</w:t>
            </w:r>
          </w:p>
        </w:tc>
      </w:tr>
    </w:tbl>
    <w:p w:rsidR="00E81D61" w:rsidRPr="00376ECE" w:rsidRDefault="00E81D61" w:rsidP="00376ECE">
      <w:pPr>
        <w:spacing w:before="0" w:after="0"/>
        <w:rPr>
          <w:rFonts w:ascii="Arial Narrow" w:hAnsi="Arial Narrow"/>
          <w:b/>
          <w:bCs/>
          <w:color w:val="1F497D" w:themeColor="text2"/>
          <w:sz w:val="20"/>
          <w:lang w:bidi="ar-JO"/>
        </w:rPr>
      </w:pPr>
      <w:r w:rsidRPr="00376ECE">
        <w:rPr>
          <w:rFonts w:ascii="Arial Narrow" w:hAnsi="Arial Narrow"/>
          <w:b/>
          <w:bCs/>
          <w:color w:val="1F497D" w:themeColor="text2"/>
          <w:sz w:val="20"/>
          <w:lang w:bidi="ar-JO"/>
        </w:rPr>
        <w:lastRenderedPageBreak/>
        <w:t>NGOs Ramallah</w:t>
      </w:r>
    </w:p>
    <w:tbl>
      <w:tblPr>
        <w:tblW w:w="5035" w:type="pct"/>
        <w:tblBorders>
          <w:top w:val="single" w:sz="4" w:space="0" w:color="auto"/>
          <w:left w:val="single" w:sz="4" w:space="0" w:color="auto"/>
          <w:bottom w:val="single" w:sz="4" w:space="0" w:color="auto"/>
          <w:right w:val="single" w:sz="4" w:space="0" w:color="auto"/>
        </w:tblBorders>
        <w:tblLayout w:type="fixed"/>
        <w:tblLook w:val="01E0"/>
      </w:tblPr>
      <w:tblGrid>
        <w:gridCol w:w="2964"/>
        <w:gridCol w:w="2813"/>
        <w:gridCol w:w="3120"/>
        <w:gridCol w:w="2346"/>
        <w:gridCol w:w="3362"/>
      </w:tblGrid>
      <w:tr w:rsidR="006D392E" w:rsidRPr="00376ECE" w:rsidTr="00331008">
        <w:trPr>
          <w:trHeight w:val="133"/>
        </w:trPr>
        <w:tc>
          <w:tcPr>
            <w:tcW w:w="1015" w:type="pct"/>
            <w:tcBorders>
              <w:top w:val="single" w:sz="4" w:space="0" w:color="auto"/>
              <w:left w:val="single" w:sz="4" w:space="0" w:color="auto"/>
              <w:bottom w:val="single" w:sz="4" w:space="0" w:color="auto"/>
              <w:right w:val="single" w:sz="4" w:space="0" w:color="auto"/>
            </w:tcBorders>
            <w:shd w:val="clear" w:color="auto" w:fill="4F81BD" w:themeFill="accent1"/>
            <w:vAlign w:val="center"/>
            <w:hideMark/>
          </w:tcPr>
          <w:p w:rsidR="006D392E" w:rsidRPr="00376ECE" w:rsidRDefault="006D392E" w:rsidP="00376ECE">
            <w:pPr>
              <w:spacing w:before="0" w:after="0"/>
              <w:jc w:val="left"/>
              <w:rPr>
                <w:rFonts w:ascii="Arial Narrow" w:hAnsi="Arial Narrow"/>
                <w:b/>
                <w:bCs/>
                <w:color w:val="FFFFFF" w:themeColor="background1"/>
                <w:sz w:val="18"/>
                <w:szCs w:val="18"/>
              </w:rPr>
            </w:pPr>
            <w:r w:rsidRPr="00376ECE">
              <w:rPr>
                <w:rFonts w:ascii="Arial Narrow" w:hAnsi="Arial Narrow"/>
                <w:b/>
                <w:bCs/>
                <w:color w:val="FFFFFF" w:themeColor="background1"/>
                <w:sz w:val="18"/>
                <w:szCs w:val="18"/>
              </w:rPr>
              <w:t>NGOs</w:t>
            </w:r>
          </w:p>
        </w:tc>
        <w:tc>
          <w:tcPr>
            <w:tcW w:w="963" w:type="pct"/>
            <w:tcBorders>
              <w:top w:val="single" w:sz="4" w:space="0" w:color="auto"/>
              <w:left w:val="single" w:sz="4" w:space="0" w:color="auto"/>
              <w:bottom w:val="single" w:sz="4" w:space="0" w:color="auto"/>
              <w:right w:val="single" w:sz="4" w:space="0" w:color="auto"/>
            </w:tcBorders>
            <w:shd w:val="clear" w:color="auto" w:fill="4F81BD" w:themeFill="accent1"/>
            <w:vAlign w:val="center"/>
            <w:hideMark/>
          </w:tcPr>
          <w:p w:rsidR="006D392E" w:rsidRPr="00376ECE" w:rsidRDefault="006D392E" w:rsidP="00376ECE">
            <w:pPr>
              <w:spacing w:before="0" w:after="0"/>
              <w:rPr>
                <w:rFonts w:ascii="Arial Narrow" w:hAnsi="Arial Narrow"/>
                <w:b/>
                <w:bCs/>
                <w:color w:val="FFFFFF" w:themeColor="background1"/>
                <w:sz w:val="18"/>
                <w:szCs w:val="18"/>
              </w:rPr>
            </w:pPr>
            <w:r w:rsidRPr="00376ECE">
              <w:rPr>
                <w:rFonts w:ascii="Arial Narrow" w:hAnsi="Arial Narrow"/>
                <w:b/>
                <w:bCs/>
                <w:color w:val="FFFFFF" w:themeColor="background1"/>
                <w:sz w:val="18"/>
                <w:szCs w:val="18"/>
              </w:rPr>
              <w:t>Contact Name</w:t>
            </w:r>
          </w:p>
        </w:tc>
        <w:tc>
          <w:tcPr>
            <w:tcW w:w="1068" w:type="pct"/>
            <w:tcBorders>
              <w:top w:val="single" w:sz="4" w:space="0" w:color="auto"/>
              <w:left w:val="single" w:sz="4" w:space="0" w:color="auto"/>
              <w:bottom w:val="single" w:sz="4" w:space="0" w:color="auto"/>
              <w:right w:val="single" w:sz="4" w:space="0" w:color="auto"/>
            </w:tcBorders>
            <w:shd w:val="clear" w:color="auto" w:fill="4F81BD" w:themeFill="accent1"/>
            <w:vAlign w:val="center"/>
            <w:hideMark/>
          </w:tcPr>
          <w:p w:rsidR="006D392E" w:rsidRPr="00376ECE" w:rsidRDefault="006D392E" w:rsidP="00376ECE">
            <w:pPr>
              <w:spacing w:before="0" w:after="0"/>
              <w:jc w:val="left"/>
              <w:rPr>
                <w:rFonts w:ascii="Arial Narrow" w:hAnsi="Arial Narrow"/>
                <w:b/>
                <w:bCs/>
                <w:color w:val="FFFFFF" w:themeColor="background1"/>
                <w:sz w:val="18"/>
                <w:szCs w:val="18"/>
              </w:rPr>
            </w:pPr>
            <w:r w:rsidRPr="00376ECE">
              <w:rPr>
                <w:rFonts w:ascii="Arial Narrow" w:hAnsi="Arial Narrow"/>
                <w:b/>
                <w:bCs/>
                <w:color w:val="FFFFFF" w:themeColor="background1"/>
                <w:sz w:val="18"/>
                <w:szCs w:val="18"/>
              </w:rPr>
              <w:t>Phone</w:t>
            </w:r>
          </w:p>
        </w:tc>
        <w:tc>
          <w:tcPr>
            <w:tcW w:w="803" w:type="pct"/>
            <w:tcBorders>
              <w:top w:val="single" w:sz="4" w:space="0" w:color="auto"/>
              <w:left w:val="single" w:sz="4" w:space="0" w:color="auto"/>
              <w:bottom w:val="single" w:sz="4" w:space="0" w:color="auto"/>
              <w:right w:val="single" w:sz="4" w:space="0" w:color="auto"/>
            </w:tcBorders>
            <w:shd w:val="clear" w:color="auto" w:fill="4F81BD" w:themeFill="accent1"/>
            <w:vAlign w:val="center"/>
            <w:hideMark/>
          </w:tcPr>
          <w:p w:rsidR="006D392E" w:rsidRPr="00376ECE" w:rsidRDefault="006D392E" w:rsidP="00376ECE">
            <w:pPr>
              <w:spacing w:before="0" w:after="0"/>
              <w:jc w:val="left"/>
              <w:rPr>
                <w:rFonts w:ascii="Arial Narrow" w:hAnsi="Arial Narrow"/>
                <w:b/>
                <w:bCs/>
                <w:color w:val="FFFFFF" w:themeColor="background1"/>
                <w:sz w:val="18"/>
                <w:szCs w:val="18"/>
              </w:rPr>
            </w:pPr>
            <w:r w:rsidRPr="00376ECE">
              <w:rPr>
                <w:rFonts w:ascii="Arial Narrow" w:hAnsi="Arial Narrow"/>
                <w:b/>
                <w:bCs/>
                <w:color w:val="FFFFFF" w:themeColor="background1"/>
                <w:sz w:val="18"/>
                <w:szCs w:val="18"/>
              </w:rPr>
              <w:t>Email</w:t>
            </w:r>
          </w:p>
        </w:tc>
        <w:tc>
          <w:tcPr>
            <w:tcW w:w="1151" w:type="pct"/>
            <w:tcBorders>
              <w:top w:val="single" w:sz="4" w:space="0" w:color="auto"/>
              <w:left w:val="single" w:sz="4" w:space="0" w:color="auto"/>
              <w:bottom w:val="single" w:sz="4" w:space="0" w:color="auto"/>
              <w:right w:val="single" w:sz="4" w:space="0" w:color="auto"/>
            </w:tcBorders>
            <w:shd w:val="clear" w:color="auto" w:fill="4F81BD" w:themeFill="accent1"/>
            <w:vAlign w:val="center"/>
          </w:tcPr>
          <w:p w:rsidR="006D392E" w:rsidRPr="00376ECE" w:rsidRDefault="006D392E" w:rsidP="00376ECE">
            <w:pPr>
              <w:spacing w:before="0" w:after="0"/>
              <w:jc w:val="left"/>
              <w:rPr>
                <w:rFonts w:ascii="Arial Narrow" w:hAnsi="Arial Narrow"/>
                <w:b/>
                <w:bCs/>
                <w:color w:val="FFFFFF" w:themeColor="background1"/>
                <w:sz w:val="18"/>
                <w:szCs w:val="18"/>
              </w:rPr>
            </w:pPr>
            <w:r w:rsidRPr="00376ECE">
              <w:rPr>
                <w:rFonts w:ascii="Arial Narrow" w:hAnsi="Arial Narrow"/>
                <w:b/>
                <w:bCs/>
                <w:color w:val="FFFFFF" w:themeColor="background1"/>
                <w:sz w:val="18"/>
                <w:szCs w:val="18"/>
              </w:rPr>
              <w:t>Sector</w:t>
            </w:r>
          </w:p>
        </w:tc>
      </w:tr>
      <w:tr w:rsidR="006D392E" w:rsidRPr="00376ECE" w:rsidTr="00705D33">
        <w:trPr>
          <w:trHeight w:val="557"/>
        </w:trPr>
        <w:tc>
          <w:tcPr>
            <w:tcW w:w="1015" w:type="pct"/>
            <w:tcBorders>
              <w:top w:val="single" w:sz="4" w:space="0" w:color="auto"/>
              <w:left w:val="single" w:sz="4" w:space="0" w:color="auto"/>
              <w:bottom w:val="single" w:sz="4" w:space="0" w:color="auto"/>
              <w:right w:val="single" w:sz="4" w:space="0" w:color="auto"/>
            </w:tcBorders>
            <w:shd w:val="clear" w:color="auto" w:fill="auto"/>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Al-</w:t>
            </w:r>
            <w:proofErr w:type="spellStart"/>
            <w:r w:rsidRPr="00376ECE">
              <w:rPr>
                <w:rFonts w:ascii="Arial Narrow" w:hAnsi="Arial Narrow"/>
                <w:sz w:val="18"/>
                <w:szCs w:val="18"/>
              </w:rPr>
              <w:t>Haq</w:t>
            </w:r>
            <w:proofErr w:type="spellEnd"/>
            <w:r w:rsidRPr="00376ECE">
              <w:rPr>
                <w:rFonts w:ascii="Arial Narrow" w:hAnsi="Arial Narrow"/>
                <w:sz w:val="18"/>
                <w:szCs w:val="18"/>
              </w:rPr>
              <w:t xml:space="preserve"> Institute</w:t>
            </w:r>
          </w:p>
        </w:tc>
        <w:tc>
          <w:tcPr>
            <w:tcW w:w="963" w:type="pct"/>
            <w:tcBorders>
              <w:top w:val="single" w:sz="4" w:space="0" w:color="auto"/>
              <w:left w:val="single" w:sz="4" w:space="0" w:color="auto"/>
              <w:bottom w:val="single" w:sz="4" w:space="0" w:color="auto"/>
              <w:right w:val="single" w:sz="4" w:space="0" w:color="auto"/>
            </w:tcBorders>
            <w:shd w:val="clear" w:color="auto" w:fill="auto"/>
            <w:vAlign w:val="center"/>
          </w:tcPr>
          <w:p w:rsidR="006D392E" w:rsidRPr="00376ECE" w:rsidRDefault="006D392E" w:rsidP="00376ECE">
            <w:pPr>
              <w:spacing w:before="0" w:after="0"/>
              <w:jc w:val="left"/>
              <w:rPr>
                <w:rFonts w:ascii="Arial Narrow" w:hAnsi="Arial Narrow"/>
                <w:sz w:val="18"/>
                <w:szCs w:val="18"/>
              </w:rPr>
            </w:pPr>
            <w:proofErr w:type="spellStart"/>
            <w:r w:rsidRPr="00376ECE">
              <w:rPr>
                <w:rFonts w:ascii="Arial Narrow" w:hAnsi="Arial Narrow"/>
                <w:sz w:val="18"/>
                <w:szCs w:val="18"/>
              </w:rPr>
              <w:t>Sha'wan</w:t>
            </w:r>
            <w:proofErr w:type="spellEnd"/>
            <w:r w:rsidRPr="00376ECE">
              <w:rPr>
                <w:rFonts w:ascii="Arial Narrow" w:hAnsi="Arial Narrow"/>
                <w:sz w:val="18"/>
                <w:szCs w:val="18"/>
              </w:rPr>
              <w:t xml:space="preserve"> </w:t>
            </w:r>
            <w:proofErr w:type="spellStart"/>
            <w:r w:rsidRPr="00376ECE">
              <w:rPr>
                <w:rFonts w:ascii="Arial Narrow" w:hAnsi="Arial Narrow"/>
                <w:sz w:val="18"/>
                <w:szCs w:val="18"/>
              </w:rPr>
              <w:t>Jabareen</w:t>
            </w:r>
            <w:proofErr w:type="spellEnd"/>
          </w:p>
        </w:tc>
        <w:tc>
          <w:tcPr>
            <w:tcW w:w="1068" w:type="pct"/>
            <w:tcBorders>
              <w:top w:val="single" w:sz="4" w:space="0" w:color="auto"/>
              <w:left w:val="single" w:sz="4" w:space="0" w:color="auto"/>
              <w:bottom w:val="single" w:sz="4" w:space="0" w:color="auto"/>
              <w:right w:val="single" w:sz="4" w:space="0" w:color="auto"/>
            </w:tcBorders>
            <w:shd w:val="clear" w:color="auto" w:fill="auto"/>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02-2956421</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haq@alhaq.org</w:t>
            </w:r>
          </w:p>
          <w:p w:rsidR="006D392E" w:rsidRPr="00376ECE" w:rsidRDefault="00A43E18" w:rsidP="00376ECE">
            <w:pPr>
              <w:spacing w:before="0" w:after="0"/>
              <w:jc w:val="left"/>
              <w:rPr>
                <w:rFonts w:ascii="Arial Narrow" w:hAnsi="Arial Narrow"/>
                <w:sz w:val="18"/>
                <w:szCs w:val="18"/>
              </w:rPr>
            </w:pPr>
            <w:hyperlink r:id="rId67" w:history="1">
              <w:r w:rsidR="006D392E" w:rsidRPr="00376ECE">
                <w:rPr>
                  <w:rFonts w:ascii="Arial Narrow" w:hAnsi="Arial Narrow"/>
                  <w:sz w:val="18"/>
                  <w:szCs w:val="18"/>
                </w:rPr>
                <w:t>admin@alhaq.org</w:t>
              </w:r>
            </w:hyperlink>
          </w:p>
        </w:tc>
        <w:tc>
          <w:tcPr>
            <w:tcW w:w="1151" w:type="pct"/>
            <w:tcBorders>
              <w:top w:val="single" w:sz="4" w:space="0" w:color="auto"/>
              <w:left w:val="single" w:sz="4" w:space="0" w:color="auto"/>
              <w:bottom w:val="single" w:sz="4" w:space="0" w:color="auto"/>
              <w:right w:val="single" w:sz="4" w:space="0" w:color="auto"/>
            </w:tcBorders>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International Human Rights and the Rule of Law</w:t>
            </w:r>
          </w:p>
        </w:tc>
      </w:tr>
      <w:tr w:rsidR="006D392E" w:rsidRPr="00376ECE" w:rsidTr="00705D33">
        <w:trPr>
          <w:trHeight w:val="385"/>
        </w:trPr>
        <w:tc>
          <w:tcPr>
            <w:tcW w:w="101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Arab agronomists association</w:t>
            </w:r>
          </w:p>
        </w:tc>
        <w:tc>
          <w:tcPr>
            <w:tcW w:w="96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D392E" w:rsidRPr="00376ECE" w:rsidRDefault="006D392E" w:rsidP="00376ECE">
            <w:pPr>
              <w:spacing w:before="0" w:after="0"/>
              <w:jc w:val="left"/>
              <w:rPr>
                <w:rFonts w:ascii="Arial Narrow" w:hAnsi="Arial Narrow"/>
                <w:sz w:val="18"/>
                <w:szCs w:val="18"/>
              </w:rPr>
            </w:pPr>
            <w:proofErr w:type="spellStart"/>
            <w:r w:rsidRPr="00376ECE">
              <w:rPr>
                <w:rFonts w:ascii="Arial Narrow" w:hAnsi="Arial Narrow"/>
                <w:sz w:val="18"/>
                <w:szCs w:val="18"/>
              </w:rPr>
              <w:t>Saad</w:t>
            </w:r>
            <w:proofErr w:type="spellEnd"/>
            <w:r w:rsidRPr="00376ECE">
              <w:rPr>
                <w:rFonts w:ascii="Arial Narrow" w:hAnsi="Arial Narrow"/>
                <w:sz w:val="18"/>
                <w:szCs w:val="18"/>
              </w:rPr>
              <w:t xml:space="preserve"> </w:t>
            </w:r>
            <w:proofErr w:type="spellStart"/>
            <w:r w:rsidRPr="00376ECE">
              <w:rPr>
                <w:rFonts w:ascii="Arial Narrow" w:hAnsi="Arial Narrow"/>
                <w:sz w:val="18"/>
                <w:szCs w:val="18"/>
              </w:rPr>
              <w:t>dagher</w:t>
            </w:r>
            <w:proofErr w:type="spellEnd"/>
          </w:p>
        </w:tc>
        <w:tc>
          <w:tcPr>
            <w:tcW w:w="10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02-2413051/2</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info@aaa-arc.org</w:t>
            </w:r>
          </w:p>
        </w:tc>
        <w:tc>
          <w:tcPr>
            <w:tcW w:w="1151" w:type="pct"/>
            <w:tcBorders>
              <w:top w:val="single" w:sz="4" w:space="0" w:color="auto"/>
              <w:left w:val="single" w:sz="4" w:space="0" w:color="auto"/>
              <w:bottom w:val="single" w:sz="4" w:space="0" w:color="auto"/>
              <w:right w:val="single" w:sz="4" w:space="0" w:color="auto"/>
            </w:tcBorders>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 xml:space="preserve">Agriculture </w:t>
            </w:r>
          </w:p>
        </w:tc>
      </w:tr>
      <w:tr w:rsidR="006D392E" w:rsidRPr="00376ECE" w:rsidTr="00705D33">
        <w:trPr>
          <w:trHeight w:val="575"/>
        </w:trPr>
        <w:tc>
          <w:tcPr>
            <w:tcW w:w="101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Arab Center for Agricultural Development (ACAD)/ Ramallah</w:t>
            </w:r>
          </w:p>
        </w:tc>
        <w:tc>
          <w:tcPr>
            <w:tcW w:w="96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D392E" w:rsidRPr="00376ECE" w:rsidRDefault="006D392E" w:rsidP="00376ECE">
            <w:pPr>
              <w:spacing w:before="0" w:after="0"/>
              <w:jc w:val="left"/>
              <w:rPr>
                <w:rFonts w:ascii="Arial Narrow" w:hAnsi="Arial Narrow"/>
                <w:sz w:val="18"/>
                <w:szCs w:val="18"/>
              </w:rPr>
            </w:pPr>
            <w:proofErr w:type="spellStart"/>
            <w:r w:rsidRPr="00376ECE">
              <w:rPr>
                <w:rFonts w:ascii="Arial Narrow" w:hAnsi="Arial Narrow"/>
                <w:sz w:val="18"/>
                <w:szCs w:val="18"/>
              </w:rPr>
              <w:t>Mr</w:t>
            </w:r>
            <w:proofErr w:type="spellEnd"/>
            <w:r w:rsidRPr="00376ECE">
              <w:rPr>
                <w:rFonts w:ascii="Arial Narrow" w:hAnsi="Arial Narrow"/>
                <w:sz w:val="18"/>
                <w:szCs w:val="18"/>
              </w:rPr>
              <w:t xml:space="preserve"> </w:t>
            </w:r>
            <w:proofErr w:type="spellStart"/>
            <w:r w:rsidRPr="00376ECE">
              <w:rPr>
                <w:rFonts w:ascii="Arial Narrow" w:hAnsi="Arial Narrow"/>
                <w:sz w:val="18"/>
                <w:szCs w:val="18"/>
              </w:rPr>
              <w:t>Samir</w:t>
            </w:r>
            <w:proofErr w:type="spellEnd"/>
            <w:r w:rsidRPr="00376ECE">
              <w:rPr>
                <w:rFonts w:ascii="Arial Narrow" w:hAnsi="Arial Narrow"/>
                <w:sz w:val="18"/>
                <w:szCs w:val="18"/>
              </w:rPr>
              <w:t xml:space="preserve">  </w:t>
            </w:r>
            <w:proofErr w:type="spellStart"/>
            <w:r w:rsidRPr="00376ECE">
              <w:rPr>
                <w:rFonts w:ascii="Arial Narrow" w:hAnsi="Arial Narrow"/>
                <w:sz w:val="18"/>
                <w:szCs w:val="18"/>
              </w:rPr>
              <w:t>Barghouthi</w:t>
            </w:r>
            <w:proofErr w:type="spellEnd"/>
          </w:p>
        </w:tc>
        <w:tc>
          <w:tcPr>
            <w:tcW w:w="10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02-2409650</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acad@palnet.com</w:t>
            </w:r>
          </w:p>
        </w:tc>
        <w:tc>
          <w:tcPr>
            <w:tcW w:w="1151" w:type="pct"/>
            <w:tcBorders>
              <w:top w:val="single" w:sz="4" w:space="0" w:color="auto"/>
              <w:left w:val="single" w:sz="4" w:space="0" w:color="auto"/>
              <w:bottom w:val="single" w:sz="4" w:space="0" w:color="auto"/>
              <w:right w:val="single" w:sz="4" w:space="0" w:color="auto"/>
            </w:tcBorders>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 xml:space="preserve">Agriculture </w:t>
            </w:r>
          </w:p>
        </w:tc>
      </w:tr>
      <w:tr w:rsidR="006D392E" w:rsidRPr="00376ECE" w:rsidTr="00705D33">
        <w:trPr>
          <w:trHeight w:val="413"/>
        </w:trPr>
        <w:tc>
          <w:tcPr>
            <w:tcW w:w="1015" w:type="pct"/>
            <w:tcBorders>
              <w:top w:val="single" w:sz="4" w:space="0" w:color="auto"/>
              <w:left w:val="single" w:sz="4" w:space="0" w:color="auto"/>
              <w:bottom w:val="single" w:sz="4" w:space="0" w:color="auto"/>
              <w:right w:val="single" w:sz="4" w:space="0" w:color="auto"/>
            </w:tcBorders>
            <w:shd w:val="clear" w:color="auto" w:fill="auto"/>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Arab Women Union Society</w:t>
            </w:r>
          </w:p>
        </w:tc>
        <w:tc>
          <w:tcPr>
            <w:tcW w:w="963" w:type="pct"/>
            <w:tcBorders>
              <w:top w:val="single" w:sz="4" w:space="0" w:color="auto"/>
              <w:left w:val="single" w:sz="4" w:space="0" w:color="auto"/>
              <w:bottom w:val="single" w:sz="4" w:space="0" w:color="auto"/>
              <w:right w:val="single" w:sz="4" w:space="0" w:color="auto"/>
            </w:tcBorders>
            <w:shd w:val="clear" w:color="auto" w:fill="auto"/>
            <w:vAlign w:val="center"/>
          </w:tcPr>
          <w:p w:rsidR="006D392E" w:rsidRPr="00376ECE" w:rsidRDefault="006D392E" w:rsidP="00376ECE">
            <w:pPr>
              <w:spacing w:before="0" w:after="0"/>
              <w:jc w:val="left"/>
              <w:rPr>
                <w:rFonts w:ascii="Arial Narrow" w:hAnsi="Arial Narrow"/>
                <w:sz w:val="18"/>
                <w:szCs w:val="18"/>
              </w:rPr>
            </w:pPr>
            <w:proofErr w:type="spellStart"/>
            <w:r w:rsidRPr="00376ECE">
              <w:rPr>
                <w:rFonts w:ascii="Arial Narrow" w:hAnsi="Arial Narrow"/>
                <w:sz w:val="18"/>
                <w:szCs w:val="18"/>
              </w:rPr>
              <w:t>O’houd</w:t>
            </w:r>
            <w:proofErr w:type="spellEnd"/>
            <w:r w:rsidRPr="00376ECE">
              <w:rPr>
                <w:rFonts w:ascii="Arial Narrow" w:hAnsi="Arial Narrow"/>
                <w:sz w:val="18"/>
                <w:szCs w:val="18"/>
              </w:rPr>
              <w:t xml:space="preserve"> </w:t>
            </w:r>
            <w:proofErr w:type="spellStart"/>
            <w:r w:rsidRPr="00376ECE">
              <w:rPr>
                <w:rFonts w:ascii="Arial Narrow" w:hAnsi="Arial Narrow"/>
                <w:sz w:val="18"/>
                <w:szCs w:val="18"/>
              </w:rPr>
              <w:t>Yaeesh</w:t>
            </w:r>
            <w:proofErr w:type="spellEnd"/>
          </w:p>
        </w:tc>
        <w:tc>
          <w:tcPr>
            <w:tcW w:w="1068" w:type="pct"/>
            <w:tcBorders>
              <w:top w:val="single" w:sz="4" w:space="0" w:color="auto"/>
              <w:left w:val="single" w:sz="4" w:space="0" w:color="auto"/>
              <w:bottom w:val="single" w:sz="4" w:space="0" w:color="auto"/>
              <w:right w:val="single" w:sz="4" w:space="0" w:color="auto"/>
            </w:tcBorders>
            <w:shd w:val="clear" w:color="auto" w:fill="auto"/>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09-2389104</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ohoudyq@yahoo.com</w:t>
            </w:r>
          </w:p>
        </w:tc>
        <w:tc>
          <w:tcPr>
            <w:tcW w:w="1151" w:type="pct"/>
            <w:tcBorders>
              <w:top w:val="single" w:sz="4" w:space="0" w:color="auto"/>
              <w:left w:val="single" w:sz="4" w:space="0" w:color="auto"/>
              <w:bottom w:val="single" w:sz="4" w:space="0" w:color="auto"/>
              <w:right w:val="single" w:sz="4" w:space="0" w:color="auto"/>
            </w:tcBorders>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Women</w:t>
            </w:r>
          </w:p>
        </w:tc>
      </w:tr>
      <w:tr w:rsidR="006D392E" w:rsidRPr="00376ECE" w:rsidTr="00705D33">
        <w:trPr>
          <w:trHeight w:val="133"/>
        </w:trPr>
        <w:tc>
          <w:tcPr>
            <w:tcW w:w="1015" w:type="pct"/>
            <w:tcBorders>
              <w:top w:val="single" w:sz="4" w:space="0" w:color="auto"/>
              <w:left w:val="single" w:sz="4" w:space="0" w:color="auto"/>
              <w:bottom w:val="single" w:sz="4" w:space="0" w:color="auto"/>
              <w:right w:val="single" w:sz="4" w:space="0" w:color="auto"/>
            </w:tcBorders>
            <w:shd w:val="clear" w:color="auto" w:fill="auto"/>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BADIL Resource Center for Palestinian Residency &amp; Refugee Rights</w:t>
            </w:r>
          </w:p>
        </w:tc>
        <w:tc>
          <w:tcPr>
            <w:tcW w:w="963" w:type="pct"/>
            <w:tcBorders>
              <w:top w:val="single" w:sz="4" w:space="0" w:color="auto"/>
              <w:left w:val="single" w:sz="4" w:space="0" w:color="auto"/>
              <w:bottom w:val="single" w:sz="4" w:space="0" w:color="auto"/>
              <w:right w:val="single" w:sz="4" w:space="0" w:color="auto"/>
            </w:tcBorders>
            <w:shd w:val="clear" w:color="auto" w:fill="auto"/>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 xml:space="preserve">Ingrid </w:t>
            </w:r>
            <w:proofErr w:type="spellStart"/>
            <w:r w:rsidRPr="00376ECE">
              <w:rPr>
                <w:rFonts w:ascii="Arial Narrow" w:hAnsi="Arial Narrow"/>
                <w:sz w:val="18"/>
                <w:szCs w:val="18"/>
              </w:rPr>
              <w:t>jaradat</w:t>
            </w:r>
            <w:proofErr w:type="spellEnd"/>
            <w:r w:rsidRPr="00376ECE">
              <w:rPr>
                <w:rFonts w:ascii="Arial Narrow" w:hAnsi="Arial Narrow"/>
                <w:sz w:val="18"/>
                <w:szCs w:val="18"/>
              </w:rPr>
              <w:t xml:space="preserve"> </w:t>
            </w:r>
            <w:proofErr w:type="spellStart"/>
            <w:r w:rsidRPr="00376ECE">
              <w:rPr>
                <w:rFonts w:ascii="Arial Narrow" w:hAnsi="Arial Narrow"/>
                <w:sz w:val="18"/>
                <w:szCs w:val="18"/>
              </w:rPr>
              <w:t>gassner</w:t>
            </w:r>
            <w:proofErr w:type="spellEnd"/>
          </w:p>
        </w:tc>
        <w:tc>
          <w:tcPr>
            <w:tcW w:w="1068" w:type="pct"/>
            <w:tcBorders>
              <w:top w:val="single" w:sz="4" w:space="0" w:color="auto"/>
              <w:left w:val="single" w:sz="4" w:space="0" w:color="auto"/>
              <w:bottom w:val="single" w:sz="4" w:space="0" w:color="auto"/>
              <w:right w:val="single" w:sz="4" w:space="0" w:color="auto"/>
            </w:tcBorders>
            <w:shd w:val="clear" w:color="auto" w:fill="auto"/>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02-2777086</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info@badil.org</w:t>
            </w:r>
          </w:p>
        </w:tc>
        <w:tc>
          <w:tcPr>
            <w:tcW w:w="1151" w:type="pct"/>
            <w:tcBorders>
              <w:top w:val="single" w:sz="4" w:space="0" w:color="auto"/>
              <w:left w:val="single" w:sz="4" w:space="0" w:color="auto"/>
              <w:bottom w:val="single" w:sz="4" w:space="0" w:color="auto"/>
              <w:right w:val="single" w:sz="4" w:space="0" w:color="auto"/>
            </w:tcBorders>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Democracy and Human Rights/ Refugees</w:t>
            </w:r>
          </w:p>
        </w:tc>
      </w:tr>
      <w:tr w:rsidR="006D392E" w:rsidRPr="00376ECE" w:rsidTr="00705D33">
        <w:trPr>
          <w:trHeight w:val="465"/>
        </w:trPr>
        <w:tc>
          <w:tcPr>
            <w:tcW w:w="1015" w:type="pct"/>
            <w:tcBorders>
              <w:top w:val="single" w:sz="4" w:space="0" w:color="auto"/>
              <w:left w:val="single" w:sz="4" w:space="0" w:color="auto"/>
              <w:bottom w:val="single" w:sz="4" w:space="0" w:color="auto"/>
              <w:right w:val="single" w:sz="4" w:space="0" w:color="auto"/>
            </w:tcBorders>
            <w:shd w:val="clear" w:color="auto" w:fill="auto"/>
            <w:vAlign w:val="center"/>
          </w:tcPr>
          <w:p w:rsidR="006D392E" w:rsidRPr="00376ECE" w:rsidRDefault="006D392E" w:rsidP="00376ECE">
            <w:pPr>
              <w:spacing w:before="0" w:after="0"/>
              <w:jc w:val="left"/>
              <w:rPr>
                <w:rFonts w:ascii="Arial Narrow" w:hAnsi="Arial Narrow"/>
                <w:sz w:val="18"/>
                <w:szCs w:val="18"/>
              </w:rPr>
            </w:pPr>
            <w:proofErr w:type="spellStart"/>
            <w:r w:rsidRPr="00376ECE">
              <w:rPr>
                <w:rFonts w:ascii="Arial Narrow" w:hAnsi="Arial Narrow"/>
                <w:sz w:val="18"/>
                <w:szCs w:val="18"/>
              </w:rPr>
              <w:t>Baladna</w:t>
            </w:r>
            <w:proofErr w:type="spellEnd"/>
            <w:r w:rsidRPr="00376ECE">
              <w:rPr>
                <w:rFonts w:ascii="Arial Narrow" w:hAnsi="Arial Narrow"/>
                <w:sz w:val="18"/>
                <w:szCs w:val="18"/>
              </w:rPr>
              <w:t xml:space="preserve"> cultural center al-</w:t>
            </w:r>
            <w:proofErr w:type="spellStart"/>
            <w:r w:rsidRPr="00376ECE">
              <w:rPr>
                <w:rFonts w:ascii="Arial Narrow" w:hAnsi="Arial Narrow"/>
                <w:sz w:val="18"/>
                <w:szCs w:val="18"/>
              </w:rPr>
              <w:t>bireh</w:t>
            </w:r>
            <w:proofErr w:type="spellEnd"/>
          </w:p>
        </w:tc>
        <w:tc>
          <w:tcPr>
            <w:tcW w:w="963" w:type="pct"/>
            <w:tcBorders>
              <w:top w:val="single" w:sz="4" w:space="0" w:color="auto"/>
              <w:left w:val="single" w:sz="4" w:space="0" w:color="auto"/>
              <w:bottom w:val="single" w:sz="4" w:space="0" w:color="auto"/>
              <w:right w:val="single" w:sz="4" w:space="0" w:color="auto"/>
            </w:tcBorders>
            <w:shd w:val="clear" w:color="auto" w:fill="auto"/>
            <w:vAlign w:val="center"/>
          </w:tcPr>
          <w:p w:rsidR="006D392E" w:rsidRPr="00376ECE" w:rsidRDefault="006D392E" w:rsidP="00376ECE">
            <w:pPr>
              <w:spacing w:before="0" w:after="0"/>
              <w:jc w:val="left"/>
              <w:rPr>
                <w:rFonts w:ascii="Arial Narrow" w:hAnsi="Arial Narrow"/>
                <w:sz w:val="18"/>
                <w:szCs w:val="18"/>
              </w:rPr>
            </w:pPr>
            <w:proofErr w:type="spellStart"/>
            <w:r w:rsidRPr="00376ECE">
              <w:rPr>
                <w:rFonts w:ascii="Arial Narrow" w:hAnsi="Arial Narrow"/>
                <w:sz w:val="18"/>
                <w:szCs w:val="18"/>
              </w:rPr>
              <w:t>Farid</w:t>
            </w:r>
            <w:proofErr w:type="spellEnd"/>
            <w:r w:rsidRPr="00376ECE">
              <w:rPr>
                <w:rFonts w:ascii="Arial Narrow" w:hAnsi="Arial Narrow"/>
                <w:sz w:val="18"/>
                <w:szCs w:val="18"/>
              </w:rPr>
              <w:t xml:space="preserve"> </w:t>
            </w:r>
            <w:proofErr w:type="spellStart"/>
            <w:r w:rsidRPr="00376ECE">
              <w:rPr>
                <w:rFonts w:ascii="Arial Narrow" w:hAnsi="Arial Narrow"/>
                <w:sz w:val="18"/>
                <w:szCs w:val="18"/>
              </w:rPr>
              <w:t>Morah</w:t>
            </w:r>
            <w:proofErr w:type="spellEnd"/>
          </w:p>
        </w:tc>
        <w:tc>
          <w:tcPr>
            <w:tcW w:w="1068" w:type="pct"/>
            <w:tcBorders>
              <w:top w:val="single" w:sz="4" w:space="0" w:color="auto"/>
              <w:left w:val="single" w:sz="4" w:space="0" w:color="auto"/>
              <w:bottom w:val="single" w:sz="4" w:space="0" w:color="auto"/>
              <w:right w:val="single" w:sz="4" w:space="0" w:color="auto"/>
            </w:tcBorders>
            <w:shd w:val="clear" w:color="auto" w:fill="auto"/>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02-2958435</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info@baldna.org</w:t>
            </w:r>
          </w:p>
        </w:tc>
        <w:tc>
          <w:tcPr>
            <w:tcW w:w="1151" w:type="pct"/>
            <w:tcBorders>
              <w:top w:val="single" w:sz="4" w:space="0" w:color="auto"/>
              <w:left w:val="single" w:sz="4" w:space="0" w:color="auto"/>
              <w:bottom w:val="single" w:sz="4" w:space="0" w:color="auto"/>
              <w:right w:val="single" w:sz="4" w:space="0" w:color="auto"/>
            </w:tcBorders>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Culture</w:t>
            </w:r>
          </w:p>
        </w:tc>
      </w:tr>
      <w:tr w:rsidR="006D392E" w:rsidRPr="00376ECE" w:rsidTr="00705D33">
        <w:trPr>
          <w:trHeight w:val="450"/>
        </w:trPr>
        <w:tc>
          <w:tcPr>
            <w:tcW w:w="101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D392E" w:rsidRPr="00376ECE" w:rsidRDefault="006D392E" w:rsidP="00376ECE">
            <w:pPr>
              <w:spacing w:before="0" w:after="0"/>
              <w:jc w:val="left"/>
              <w:rPr>
                <w:rFonts w:ascii="Arial Narrow" w:hAnsi="Arial Narrow"/>
                <w:sz w:val="18"/>
                <w:szCs w:val="18"/>
              </w:rPr>
            </w:pPr>
            <w:proofErr w:type="spellStart"/>
            <w:r w:rsidRPr="00376ECE">
              <w:rPr>
                <w:rFonts w:ascii="Arial Narrow" w:hAnsi="Arial Narrow"/>
                <w:sz w:val="18"/>
                <w:szCs w:val="18"/>
              </w:rPr>
              <w:t>Bisan</w:t>
            </w:r>
            <w:proofErr w:type="spellEnd"/>
            <w:r w:rsidRPr="00376ECE">
              <w:rPr>
                <w:rFonts w:ascii="Arial Narrow" w:hAnsi="Arial Narrow"/>
                <w:sz w:val="18"/>
                <w:szCs w:val="18"/>
              </w:rPr>
              <w:t xml:space="preserve"> Center for Research and Development</w:t>
            </w:r>
          </w:p>
        </w:tc>
        <w:tc>
          <w:tcPr>
            <w:tcW w:w="96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D392E" w:rsidRPr="00376ECE" w:rsidRDefault="006D392E" w:rsidP="00376ECE">
            <w:pPr>
              <w:spacing w:before="0" w:after="0"/>
              <w:jc w:val="left"/>
              <w:rPr>
                <w:rFonts w:ascii="Arial Narrow" w:hAnsi="Arial Narrow"/>
                <w:sz w:val="18"/>
                <w:szCs w:val="18"/>
              </w:rPr>
            </w:pPr>
            <w:proofErr w:type="spellStart"/>
            <w:r w:rsidRPr="00376ECE">
              <w:rPr>
                <w:rFonts w:ascii="Arial Narrow" w:hAnsi="Arial Narrow"/>
                <w:sz w:val="18"/>
                <w:szCs w:val="18"/>
              </w:rPr>
              <w:t>Naim</w:t>
            </w:r>
            <w:proofErr w:type="spellEnd"/>
            <w:r w:rsidRPr="00376ECE">
              <w:rPr>
                <w:rFonts w:ascii="Arial Narrow" w:hAnsi="Arial Narrow"/>
                <w:sz w:val="18"/>
                <w:szCs w:val="18"/>
              </w:rPr>
              <w:t xml:space="preserve"> Abu </w:t>
            </w:r>
            <w:proofErr w:type="spellStart"/>
            <w:r w:rsidRPr="00376ECE">
              <w:rPr>
                <w:rFonts w:ascii="Arial Narrow" w:hAnsi="Arial Narrow"/>
                <w:sz w:val="18"/>
                <w:szCs w:val="18"/>
              </w:rPr>
              <w:t>Teir</w:t>
            </w:r>
            <w:proofErr w:type="spellEnd"/>
          </w:p>
        </w:tc>
        <w:tc>
          <w:tcPr>
            <w:tcW w:w="10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02-2407837/8/9</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D392E" w:rsidRPr="00376ECE" w:rsidRDefault="00A43E18" w:rsidP="00376ECE">
            <w:pPr>
              <w:spacing w:before="0" w:after="0"/>
              <w:jc w:val="left"/>
              <w:rPr>
                <w:rFonts w:ascii="Arial Narrow" w:hAnsi="Arial Narrow"/>
                <w:sz w:val="18"/>
                <w:szCs w:val="18"/>
              </w:rPr>
            </w:pPr>
            <w:hyperlink r:id="rId68" w:tgtFrame="_blank" w:history="1">
              <w:r w:rsidR="006D392E" w:rsidRPr="00376ECE">
                <w:rPr>
                  <w:rFonts w:ascii="Arial Narrow" w:hAnsi="Arial Narrow"/>
                  <w:sz w:val="18"/>
                  <w:szCs w:val="18"/>
                </w:rPr>
                <w:t>bisanrd@palnet.com</w:t>
              </w:r>
            </w:hyperlink>
          </w:p>
          <w:p w:rsidR="006D392E" w:rsidRPr="00376ECE" w:rsidRDefault="00A43E18" w:rsidP="00376ECE">
            <w:pPr>
              <w:spacing w:before="0" w:after="0"/>
              <w:jc w:val="left"/>
              <w:rPr>
                <w:rFonts w:ascii="Arial Narrow" w:hAnsi="Arial Narrow"/>
                <w:sz w:val="18"/>
                <w:szCs w:val="18"/>
              </w:rPr>
            </w:pPr>
            <w:hyperlink r:id="rId69" w:tgtFrame="_blank" w:history="1">
              <w:r w:rsidR="006D392E" w:rsidRPr="00376ECE">
                <w:rPr>
                  <w:rFonts w:ascii="Arial Narrow" w:hAnsi="Arial Narrow"/>
                  <w:sz w:val="18"/>
                  <w:szCs w:val="18"/>
                </w:rPr>
                <w:t>www.bisan.org</w:t>
              </w:r>
            </w:hyperlink>
          </w:p>
        </w:tc>
        <w:tc>
          <w:tcPr>
            <w:tcW w:w="1151" w:type="pct"/>
            <w:tcBorders>
              <w:top w:val="single" w:sz="4" w:space="0" w:color="auto"/>
              <w:left w:val="single" w:sz="4" w:space="0" w:color="auto"/>
              <w:bottom w:val="single" w:sz="4" w:space="0" w:color="auto"/>
              <w:right w:val="single" w:sz="4" w:space="0" w:color="auto"/>
            </w:tcBorders>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Research and Environment</w:t>
            </w:r>
          </w:p>
        </w:tc>
      </w:tr>
      <w:tr w:rsidR="006D392E" w:rsidRPr="00376ECE" w:rsidTr="00705D33">
        <w:trPr>
          <w:trHeight w:val="465"/>
        </w:trPr>
        <w:tc>
          <w:tcPr>
            <w:tcW w:w="1015" w:type="pct"/>
            <w:tcBorders>
              <w:top w:val="single" w:sz="4" w:space="0" w:color="auto"/>
              <w:left w:val="single" w:sz="4" w:space="0" w:color="auto"/>
              <w:bottom w:val="single" w:sz="4" w:space="0" w:color="auto"/>
              <w:right w:val="single" w:sz="4" w:space="0" w:color="auto"/>
            </w:tcBorders>
            <w:shd w:val="clear" w:color="auto" w:fill="auto"/>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Care for Children with Special Needs Society</w:t>
            </w:r>
          </w:p>
        </w:tc>
        <w:tc>
          <w:tcPr>
            <w:tcW w:w="963" w:type="pct"/>
            <w:tcBorders>
              <w:top w:val="single" w:sz="4" w:space="0" w:color="auto"/>
              <w:left w:val="single" w:sz="4" w:space="0" w:color="auto"/>
              <w:bottom w:val="single" w:sz="4" w:space="0" w:color="auto"/>
              <w:right w:val="single" w:sz="4" w:space="0" w:color="auto"/>
            </w:tcBorders>
            <w:shd w:val="clear" w:color="auto" w:fill="auto"/>
            <w:vAlign w:val="center"/>
          </w:tcPr>
          <w:p w:rsidR="006D392E" w:rsidRPr="00376ECE" w:rsidRDefault="006D392E" w:rsidP="00376ECE">
            <w:pPr>
              <w:spacing w:before="0" w:after="0"/>
              <w:jc w:val="left"/>
              <w:rPr>
                <w:rFonts w:ascii="Arial Narrow" w:hAnsi="Arial Narrow"/>
                <w:sz w:val="18"/>
                <w:szCs w:val="18"/>
              </w:rPr>
            </w:pPr>
            <w:proofErr w:type="spellStart"/>
            <w:r w:rsidRPr="00376ECE">
              <w:rPr>
                <w:rFonts w:ascii="Arial Narrow" w:hAnsi="Arial Narrow"/>
                <w:sz w:val="18"/>
                <w:szCs w:val="18"/>
              </w:rPr>
              <w:t>Sarab</w:t>
            </w:r>
            <w:proofErr w:type="spellEnd"/>
            <w:r w:rsidRPr="00376ECE">
              <w:rPr>
                <w:rFonts w:ascii="Arial Narrow" w:hAnsi="Arial Narrow"/>
                <w:sz w:val="18"/>
                <w:szCs w:val="18"/>
              </w:rPr>
              <w:t xml:space="preserve"> </w:t>
            </w:r>
            <w:proofErr w:type="spellStart"/>
            <w:r w:rsidRPr="00376ECE">
              <w:rPr>
                <w:rFonts w:ascii="Arial Narrow" w:hAnsi="Arial Narrow"/>
                <w:sz w:val="18"/>
                <w:szCs w:val="18"/>
              </w:rPr>
              <w:t>Malhas</w:t>
            </w:r>
            <w:proofErr w:type="spellEnd"/>
          </w:p>
        </w:tc>
        <w:tc>
          <w:tcPr>
            <w:tcW w:w="1068" w:type="pct"/>
            <w:tcBorders>
              <w:top w:val="single" w:sz="4" w:space="0" w:color="auto"/>
              <w:left w:val="single" w:sz="4" w:space="0" w:color="auto"/>
              <w:bottom w:val="single" w:sz="4" w:space="0" w:color="auto"/>
              <w:right w:val="single" w:sz="4" w:space="0" w:color="auto"/>
            </w:tcBorders>
            <w:shd w:val="clear" w:color="auto" w:fill="auto"/>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09-2386097</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info@ccsns.org</w:t>
            </w:r>
          </w:p>
        </w:tc>
        <w:tc>
          <w:tcPr>
            <w:tcW w:w="1151" w:type="pct"/>
            <w:tcBorders>
              <w:top w:val="single" w:sz="4" w:space="0" w:color="auto"/>
              <w:left w:val="single" w:sz="4" w:space="0" w:color="auto"/>
              <w:bottom w:val="single" w:sz="4" w:space="0" w:color="auto"/>
              <w:right w:val="single" w:sz="4" w:space="0" w:color="auto"/>
            </w:tcBorders>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Children</w:t>
            </w:r>
          </w:p>
        </w:tc>
      </w:tr>
      <w:tr w:rsidR="006D392E" w:rsidRPr="00376ECE" w:rsidTr="00705D33">
        <w:trPr>
          <w:trHeight w:val="465"/>
        </w:trPr>
        <w:tc>
          <w:tcPr>
            <w:tcW w:w="1015" w:type="pct"/>
            <w:tcBorders>
              <w:top w:val="single" w:sz="4" w:space="0" w:color="auto"/>
              <w:left w:val="single" w:sz="4" w:space="0" w:color="auto"/>
              <w:bottom w:val="single" w:sz="4" w:space="0" w:color="auto"/>
              <w:right w:val="single" w:sz="4" w:space="0" w:color="auto"/>
            </w:tcBorders>
            <w:shd w:val="clear" w:color="auto" w:fill="auto"/>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Democracy &amp; Workers’ Rights Center</w:t>
            </w:r>
          </w:p>
        </w:tc>
        <w:tc>
          <w:tcPr>
            <w:tcW w:w="963" w:type="pct"/>
            <w:tcBorders>
              <w:top w:val="single" w:sz="4" w:space="0" w:color="auto"/>
              <w:left w:val="single" w:sz="4" w:space="0" w:color="auto"/>
              <w:bottom w:val="single" w:sz="4" w:space="0" w:color="auto"/>
              <w:right w:val="single" w:sz="4" w:space="0" w:color="auto"/>
            </w:tcBorders>
            <w:shd w:val="clear" w:color="auto" w:fill="auto"/>
            <w:vAlign w:val="center"/>
          </w:tcPr>
          <w:p w:rsidR="006D392E" w:rsidRPr="00376ECE" w:rsidRDefault="006D392E" w:rsidP="00376ECE">
            <w:pPr>
              <w:spacing w:before="0" w:after="0"/>
              <w:jc w:val="left"/>
              <w:rPr>
                <w:rFonts w:ascii="Arial Narrow" w:hAnsi="Arial Narrow"/>
                <w:sz w:val="18"/>
                <w:szCs w:val="18"/>
              </w:rPr>
            </w:pPr>
            <w:proofErr w:type="spellStart"/>
            <w:r w:rsidRPr="00376ECE">
              <w:rPr>
                <w:rFonts w:ascii="Arial Narrow" w:hAnsi="Arial Narrow"/>
                <w:sz w:val="18"/>
                <w:szCs w:val="18"/>
              </w:rPr>
              <w:t>Hasan</w:t>
            </w:r>
            <w:proofErr w:type="spellEnd"/>
            <w:r w:rsidRPr="00376ECE">
              <w:rPr>
                <w:rFonts w:ascii="Arial Narrow" w:hAnsi="Arial Narrow"/>
                <w:sz w:val="18"/>
                <w:szCs w:val="18"/>
              </w:rPr>
              <w:t xml:space="preserve"> </w:t>
            </w:r>
            <w:proofErr w:type="spellStart"/>
            <w:r w:rsidRPr="00376ECE">
              <w:rPr>
                <w:rFonts w:ascii="Arial Narrow" w:hAnsi="Arial Narrow"/>
                <w:sz w:val="18"/>
                <w:szCs w:val="18"/>
              </w:rPr>
              <w:t>barghouthi</w:t>
            </w:r>
            <w:proofErr w:type="spellEnd"/>
          </w:p>
        </w:tc>
        <w:tc>
          <w:tcPr>
            <w:tcW w:w="1068" w:type="pct"/>
            <w:tcBorders>
              <w:top w:val="single" w:sz="4" w:space="0" w:color="auto"/>
              <w:left w:val="single" w:sz="4" w:space="0" w:color="auto"/>
              <w:bottom w:val="single" w:sz="4" w:space="0" w:color="auto"/>
              <w:right w:val="single" w:sz="4" w:space="0" w:color="auto"/>
            </w:tcBorders>
            <w:shd w:val="clear" w:color="auto" w:fill="auto"/>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02-2952608</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info@dwrc.org</w:t>
            </w:r>
          </w:p>
        </w:tc>
        <w:tc>
          <w:tcPr>
            <w:tcW w:w="1151" w:type="pct"/>
            <w:tcBorders>
              <w:top w:val="single" w:sz="4" w:space="0" w:color="auto"/>
              <w:left w:val="single" w:sz="4" w:space="0" w:color="auto"/>
              <w:bottom w:val="single" w:sz="4" w:space="0" w:color="auto"/>
              <w:right w:val="single" w:sz="4" w:space="0" w:color="auto"/>
            </w:tcBorders>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Democracy and Human Rights</w:t>
            </w:r>
          </w:p>
        </w:tc>
      </w:tr>
      <w:tr w:rsidR="006D392E" w:rsidRPr="00376ECE" w:rsidTr="00705D33">
        <w:trPr>
          <w:trHeight w:val="465"/>
        </w:trPr>
        <w:tc>
          <w:tcPr>
            <w:tcW w:w="101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Freedom Forum Palestine</w:t>
            </w:r>
          </w:p>
        </w:tc>
        <w:tc>
          <w:tcPr>
            <w:tcW w:w="96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D392E" w:rsidRPr="00376ECE" w:rsidRDefault="006D392E" w:rsidP="00376ECE">
            <w:pPr>
              <w:spacing w:before="0" w:after="0"/>
              <w:jc w:val="left"/>
              <w:rPr>
                <w:rFonts w:ascii="Arial Narrow" w:hAnsi="Arial Narrow"/>
                <w:sz w:val="18"/>
                <w:szCs w:val="18"/>
              </w:rPr>
            </w:pPr>
            <w:proofErr w:type="spellStart"/>
            <w:r w:rsidRPr="00376ECE">
              <w:rPr>
                <w:rFonts w:ascii="Arial Narrow" w:hAnsi="Arial Narrow"/>
                <w:sz w:val="18"/>
                <w:szCs w:val="18"/>
              </w:rPr>
              <w:t>Ashraf</w:t>
            </w:r>
            <w:proofErr w:type="spellEnd"/>
            <w:r w:rsidRPr="00376ECE">
              <w:rPr>
                <w:rFonts w:ascii="Arial Narrow" w:hAnsi="Arial Narrow"/>
                <w:sz w:val="18"/>
                <w:szCs w:val="18"/>
              </w:rPr>
              <w:t xml:space="preserve"> </w:t>
            </w:r>
            <w:proofErr w:type="spellStart"/>
            <w:r w:rsidRPr="00376ECE">
              <w:rPr>
                <w:rFonts w:ascii="Arial Narrow" w:hAnsi="Arial Narrow"/>
                <w:sz w:val="18"/>
                <w:szCs w:val="18"/>
              </w:rPr>
              <w:t>Okkeh</w:t>
            </w:r>
            <w:proofErr w:type="spellEnd"/>
          </w:p>
        </w:tc>
        <w:tc>
          <w:tcPr>
            <w:tcW w:w="10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0599-785 803</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D392E" w:rsidRPr="00376ECE" w:rsidRDefault="00A43E18" w:rsidP="00376ECE">
            <w:pPr>
              <w:spacing w:before="0" w:after="0"/>
              <w:jc w:val="left"/>
              <w:rPr>
                <w:rFonts w:ascii="Arial Narrow" w:hAnsi="Arial Narrow"/>
                <w:sz w:val="18"/>
                <w:szCs w:val="18"/>
              </w:rPr>
            </w:pPr>
            <w:hyperlink r:id="rId70" w:history="1">
              <w:r w:rsidR="006D392E" w:rsidRPr="00376ECE">
                <w:rPr>
                  <w:rFonts w:ascii="Arial Narrow" w:hAnsi="Arial Narrow"/>
                  <w:sz w:val="18"/>
                  <w:szCs w:val="18"/>
                </w:rPr>
                <w:t>ashrafokeh@yahoo.com</w:t>
              </w:r>
            </w:hyperlink>
          </w:p>
        </w:tc>
        <w:tc>
          <w:tcPr>
            <w:tcW w:w="1151" w:type="pct"/>
            <w:tcBorders>
              <w:top w:val="single" w:sz="4" w:space="0" w:color="auto"/>
              <w:left w:val="single" w:sz="4" w:space="0" w:color="auto"/>
              <w:bottom w:val="single" w:sz="4" w:space="0" w:color="auto"/>
              <w:right w:val="single" w:sz="4" w:space="0" w:color="auto"/>
            </w:tcBorders>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Thought and Research; Freedom and Youth</w:t>
            </w:r>
          </w:p>
        </w:tc>
      </w:tr>
      <w:tr w:rsidR="006D392E" w:rsidRPr="00376ECE" w:rsidTr="00705D33">
        <w:trPr>
          <w:trHeight w:val="698"/>
        </w:trPr>
        <w:tc>
          <w:tcPr>
            <w:tcW w:w="1015" w:type="pct"/>
            <w:tcBorders>
              <w:top w:val="single" w:sz="4" w:space="0" w:color="auto"/>
              <w:left w:val="single" w:sz="4" w:space="0" w:color="auto"/>
              <w:bottom w:val="single" w:sz="4" w:space="0" w:color="auto"/>
              <w:right w:val="single" w:sz="4" w:space="0" w:color="auto"/>
            </w:tcBorders>
            <w:shd w:val="clear" w:color="auto" w:fill="auto"/>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Health Work Committees</w:t>
            </w:r>
            <w:r w:rsidRPr="00376ECE">
              <w:rPr>
                <w:rFonts w:ascii="Times New Roman" w:hAnsi="Times New Roman"/>
                <w:sz w:val="18"/>
                <w:szCs w:val="18"/>
              </w:rPr>
              <w:t>‫</w:t>
            </w:r>
            <w:r w:rsidRPr="00376ECE">
              <w:rPr>
                <w:rFonts w:ascii="Arial Narrow" w:hAnsi="Arial Narrow"/>
                <w:sz w:val="18"/>
                <w:szCs w:val="18"/>
              </w:rPr>
              <w:t xml:space="preserve"> </w:t>
            </w:r>
            <w:r w:rsidRPr="00376ECE">
              <w:rPr>
                <w:rFonts w:ascii="Times New Roman" w:hAnsi="Times New Roman"/>
                <w:sz w:val="18"/>
                <w:szCs w:val="18"/>
              </w:rPr>
              <w:t>‬</w:t>
            </w:r>
            <w:r w:rsidRPr="00376ECE">
              <w:rPr>
                <w:rFonts w:ascii="Arial Narrow" w:hAnsi="Arial Narrow"/>
                <w:sz w:val="18"/>
                <w:szCs w:val="18"/>
              </w:rPr>
              <w:t>(HWC)</w:t>
            </w:r>
            <w:r w:rsidRPr="00376ECE">
              <w:rPr>
                <w:rFonts w:ascii="Times New Roman" w:hAnsi="Times New Roman"/>
                <w:sz w:val="18"/>
                <w:szCs w:val="18"/>
              </w:rPr>
              <w:t>‬</w:t>
            </w:r>
          </w:p>
        </w:tc>
        <w:tc>
          <w:tcPr>
            <w:tcW w:w="963" w:type="pct"/>
            <w:tcBorders>
              <w:top w:val="single" w:sz="4" w:space="0" w:color="auto"/>
              <w:left w:val="single" w:sz="4" w:space="0" w:color="auto"/>
              <w:bottom w:val="single" w:sz="4" w:space="0" w:color="auto"/>
              <w:right w:val="single" w:sz="4" w:space="0" w:color="auto"/>
            </w:tcBorders>
            <w:shd w:val="clear" w:color="auto" w:fill="auto"/>
            <w:vAlign w:val="center"/>
          </w:tcPr>
          <w:p w:rsidR="006D392E" w:rsidRPr="00376ECE" w:rsidRDefault="006D392E" w:rsidP="00376ECE">
            <w:pPr>
              <w:spacing w:before="0" w:after="0"/>
              <w:jc w:val="left"/>
              <w:rPr>
                <w:rFonts w:ascii="Arial Narrow" w:hAnsi="Arial Narrow"/>
                <w:sz w:val="18"/>
                <w:szCs w:val="18"/>
              </w:rPr>
            </w:pPr>
            <w:proofErr w:type="spellStart"/>
            <w:r w:rsidRPr="00376ECE">
              <w:rPr>
                <w:rFonts w:ascii="Arial Narrow" w:hAnsi="Arial Narrow"/>
                <w:sz w:val="18"/>
                <w:szCs w:val="18"/>
              </w:rPr>
              <w:t>Shadah</w:t>
            </w:r>
            <w:proofErr w:type="spellEnd"/>
            <w:r w:rsidRPr="00376ECE">
              <w:rPr>
                <w:rFonts w:ascii="Arial Narrow" w:hAnsi="Arial Narrow"/>
                <w:sz w:val="18"/>
                <w:szCs w:val="18"/>
              </w:rPr>
              <w:t xml:space="preserve"> </w:t>
            </w:r>
            <w:proofErr w:type="spellStart"/>
            <w:r w:rsidRPr="00376ECE">
              <w:rPr>
                <w:rFonts w:ascii="Arial Narrow" w:hAnsi="Arial Narrow"/>
                <w:sz w:val="18"/>
                <w:szCs w:val="18"/>
              </w:rPr>
              <w:t>Odeh</w:t>
            </w:r>
            <w:proofErr w:type="spellEnd"/>
          </w:p>
        </w:tc>
        <w:tc>
          <w:tcPr>
            <w:tcW w:w="1068" w:type="pct"/>
            <w:tcBorders>
              <w:top w:val="single" w:sz="4" w:space="0" w:color="auto"/>
              <w:left w:val="single" w:sz="4" w:space="0" w:color="auto"/>
              <w:bottom w:val="single" w:sz="4" w:space="0" w:color="auto"/>
              <w:right w:val="single" w:sz="4" w:space="0" w:color="auto"/>
            </w:tcBorders>
            <w:shd w:val="clear" w:color="auto" w:fill="auto"/>
            <w:vAlign w:val="center"/>
          </w:tcPr>
          <w:p w:rsidR="006D392E" w:rsidRPr="00376ECE" w:rsidRDefault="006D392E" w:rsidP="00705D33">
            <w:pPr>
              <w:widowControl w:val="0"/>
              <w:autoSpaceDE w:val="0"/>
              <w:autoSpaceDN w:val="0"/>
              <w:adjustRightInd w:val="0"/>
              <w:spacing w:before="0" w:after="0"/>
              <w:jc w:val="left"/>
              <w:rPr>
                <w:rFonts w:ascii="Arial Narrow" w:hAnsi="Arial Narrow"/>
                <w:sz w:val="18"/>
                <w:szCs w:val="18"/>
              </w:rPr>
            </w:pPr>
            <w:r w:rsidRPr="00376ECE">
              <w:rPr>
                <w:rFonts w:ascii="Arial Narrow" w:hAnsi="Arial Narrow"/>
                <w:sz w:val="18"/>
                <w:szCs w:val="18"/>
              </w:rPr>
              <w:t>02-2407518</w:t>
            </w:r>
            <w:r w:rsidR="00705D33">
              <w:rPr>
                <w:rFonts w:ascii="Arial Narrow" w:hAnsi="Arial Narrow"/>
                <w:sz w:val="18"/>
                <w:szCs w:val="18"/>
              </w:rPr>
              <w:t xml:space="preserve">;  </w:t>
            </w:r>
            <w:r w:rsidRPr="00376ECE">
              <w:rPr>
                <w:rFonts w:ascii="Arial Narrow" w:hAnsi="Arial Narrow"/>
                <w:sz w:val="18"/>
                <w:szCs w:val="18"/>
              </w:rPr>
              <w:t>02-2427517</w:t>
            </w:r>
            <w:r w:rsidR="00705D33">
              <w:rPr>
                <w:rFonts w:ascii="Arial Narrow" w:hAnsi="Arial Narrow"/>
                <w:sz w:val="18"/>
                <w:szCs w:val="18"/>
              </w:rPr>
              <w:t xml:space="preserve"> ; </w:t>
            </w:r>
            <w:r w:rsidRPr="00376ECE">
              <w:rPr>
                <w:rFonts w:ascii="Arial Narrow" w:hAnsi="Arial Narrow"/>
                <w:sz w:val="18"/>
                <w:szCs w:val="18"/>
              </w:rPr>
              <w:t>02-2957047</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uhwc@palnet.com</w:t>
            </w:r>
          </w:p>
        </w:tc>
        <w:tc>
          <w:tcPr>
            <w:tcW w:w="1151" w:type="pct"/>
            <w:tcBorders>
              <w:top w:val="single" w:sz="4" w:space="0" w:color="auto"/>
              <w:left w:val="single" w:sz="4" w:space="0" w:color="auto"/>
              <w:bottom w:val="single" w:sz="4" w:space="0" w:color="auto"/>
              <w:right w:val="single" w:sz="4" w:space="0" w:color="auto"/>
            </w:tcBorders>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Health Services through a developmental community (Women and Children)</w:t>
            </w:r>
          </w:p>
        </w:tc>
      </w:tr>
      <w:tr w:rsidR="006D392E" w:rsidRPr="00376ECE" w:rsidTr="00705D33">
        <w:trPr>
          <w:trHeight w:val="548"/>
        </w:trPr>
        <w:tc>
          <w:tcPr>
            <w:tcW w:w="101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D392E" w:rsidRPr="00376ECE" w:rsidRDefault="006D392E" w:rsidP="00376ECE">
            <w:pPr>
              <w:spacing w:before="0" w:after="0"/>
              <w:jc w:val="left"/>
              <w:rPr>
                <w:rFonts w:ascii="Arial Narrow" w:hAnsi="Arial Narrow"/>
                <w:sz w:val="18"/>
                <w:szCs w:val="18"/>
              </w:rPr>
            </w:pPr>
            <w:proofErr w:type="spellStart"/>
            <w:r w:rsidRPr="00376ECE">
              <w:rPr>
                <w:rFonts w:ascii="Arial Narrow" w:hAnsi="Arial Narrow"/>
                <w:sz w:val="18"/>
                <w:szCs w:val="18"/>
              </w:rPr>
              <w:t>Khalil</w:t>
            </w:r>
            <w:proofErr w:type="spellEnd"/>
            <w:r w:rsidRPr="00376ECE">
              <w:rPr>
                <w:rFonts w:ascii="Arial Narrow" w:hAnsi="Arial Narrow"/>
                <w:sz w:val="18"/>
                <w:szCs w:val="18"/>
              </w:rPr>
              <w:t xml:space="preserve"> </w:t>
            </w:r>
            <w:proofErr w:type="spellStart"/>
            <w:r w:rsidRPr="00376ECE">
              <w:rPr>
                <w:rFonts w:ascii="Arial Narrow" w:hAnsi="Arial Narrow"/>
                <w:sz w:val="18"/>
                <w:szCs w:val="18"/>
              </w:rPr>
              <w:t>Sakakini</w:t>
            </w:r>
            <w:proofErr w:type="spellEnd"/>
            <w:r w:rsidRPr="00376ECE">
              <w:rPr>
                <w:rFonts w:ascii="Arial Narrow" w:hAnsi="Arial Narrow"/>
                <w:sz w:val="18"/>
                <w:szCs w:val="18"/>
              </w:rPr>
              <w:t xml:space="preserve"> Cultural Center</w:t>
            </w:r>
          </w:p>
        </w:tc>
        <w:tc>
          <w:tcPr>
            <w:tcW w:w="96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D392E" w:rsidRPr="00376ECE" w:rsidRDefault="006D392E" w:rsidP="00376ECE">
            <w:pPr>
              <w:spacing w:before="0" w:after="0"/>
              <w:jc w:val="left"/>
              <w:rPr>
                <w:rFonts w:ascii="Arial Narrow" w:hAnsi="Arial Narrow"/>
                <w:sz w:val="18"/>
                <w:szCs w:val="18"/>
              </w:rPr>
            </w:pPr>
            <w:proofErr w:type="spellStart"/>
            <w:r w:rsidRPr="00376ECE">
              <w:rPr>
                <w:rFonts w:ascii="Arial Narrow" w:hAnsi="Arial Narrow"/>
                <w:sz w:val="18"/>
                <w:szCs w:val="18"/>
              </w:rPr>
              <w:t>Faten</w:t>
            </w:r>
            <w:proofErr w:type="spellEnd"/>
            <w:r w:rsidRPr="00376ECE">
              <w:rPr>
                <w:rFonts w:ascii="Arial Narrow" w:hAnsi="Arial Narrow"/>
                <w:sz w:val="18"/>
                <w:szCs w:val="18"/>
              </w:rPr>
              <w:t xml:space="preserve"> </w:t>
            </w:r>
            <w:proofErr w:type="spellStart"/>
            <w:r w:rsidRPr="00376ECE">
              <w:rPr>
                <w:rFonts w:ascii="Arial Narrow" w:hAnsi="Arial Narrow"/>
                <w:sz w:val="18"/>
                <w:szCs w:val="18"/>
              </w:rPr>
              <w:t>Farrahat</w:t>
            </w:r>
            <w:proofErr w:type="spellEnd"/>
          </w:p>
        </w:tc>
        <w:tc>
          <w:tcPr>
            <w:tcW w:w="10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02-2987374/5</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D392E" w:rsidRPr="00376ECE" w:rsidRDefault="00A43E18" w:rsidP="00376ECE">
            <w:pPr>
              <w:widowControl w:val="0"/>
              <w:autoSpaceDE w:val="0"/>
              <w:autoSpaceDN w:val="0"/>
              <w:adjustRightInd w:val="0"/>
              <w:spacing w:before="0" w:after="0"/>
              <w:jc w:val="left"/>
              <w:rPr>
                <w:rFonts w:ascii="Arial Narrow" w:hAnsi="Arial Narrow"/>
                <w:sz w:val="18"/>
                <w:szCs w:val="18"/>
                <w:rtl/>
              </w:rPr>
            </w:pPr>
            <w:hyperlink r:id="rId71" w:history="1">
              <w:r w:rsidR="006D392E" w:rsidRPr="00376ECE">
                <w:rPr>
                  <w:rFonts w:ascii="Arial Narrow" w:hAnsi="Arial Narrow"/>
                  <w:sz w:val="18"/>
                  <w:szCs w:val="18"/>
                </w:rPr>
                <w:t>sakakini@sakakini.org</w:t>
              </w:r>
            </w:hyperlink>
          </w:p>
        </w:tc>
        <w:tc>
          <w:tcPr>
            <w:tcW w:w="1151" w:type="pct"/>
            <w:tcBorders>
              <w:top w:val="single" w:sz="4" w:space="0" w:color="auto"/>
              <w:left w:val="single" w:sz="4" w:space="0" w:color="auto"/>
              <w:bottom w:val="single" w:sz="4" w:space="0" w:color="auto"/>
              <w:right w:val="single" w:sz="4" w:space="0" w:color="auto"/>
            </w:tcBorders>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Culture</w:t>
            </w:r>
          </w:p>
        </w:tc>
      </w:tr>
      <w:tr w:rsidR="006D392E" w:rsidRPr="00376ECE" w:rsidTr="00705D33">
        <w:trPr>
          <w:trHeight w:val="548"/>
        </w:trPr>
        <w:tc>
          <w:tcPr>
            <w:tcW w:w="101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Land Research Center</w:t>
            </w:r>
          </w:p>
        </w:tc>
        <w:tc>
          <w:tcPr>
            <w:tcW w:w="96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 xml:space="preserve">Jamal </w:t>
            </w:r>
            <w:proofErr w:type="spellStart"/>
            <w:r w:rsidRPr="00376ECE">
              <w:rPr>
                <w:rFonts w:ascii="Arial Narrow" w:hAnsi="Arial Narrow"/>
                <w:sz w:val="18"/>
                <w:szCs w:val="18"/>
              </w:rPr>
              <w:t>Talab</w:t>
            </w:r>
            <w:proofErr w:type="spellEnd"/>
          </w:p>
        </w:tc>
        <w:tc>
          <w:tcPr>
            <w:tcW w:w="10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02-2217239</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D392E" w:rsidRPr="00376ECE" w:rsidRDefault="00A43E18" w:rsidP="00376ECE">
            <w:pPr>
              <w:spacing w:before="0" w:after="0"/>
              <w:jc w:val="left"/>
              <w:rPr>
                <w:rFonts w:ascii="Arial Narrow" w:hAnsi="Arial Narrow"/>
                <w:sz w:val="18"/>
                <w:szCs w:val="18"/>
              </w:rPr>
            </w:pPr>
            <w:hyperlink r:id="rId72" w:tgtFrame="_blank" w:history="1">
              <w:r w:rsidR="006D392E" w:rsidRPr="00376ECE">
                <w:rPr>
                  <w:rFonts w:ascii="Arial Narrow" w:hAnsi="Arial Narrow"/>
                  <w:sz w:val="18"/>
                  <w:szCs w:val="18"/>
                </w:rPr>
                <w:t>LRC@palnet.com</w:t>
              </w:r>
            </w:hyperlink>
          </w:p>
          <w:p w:rsidR="006D392E" w:rsidRPr="00376ECE" w:rsidRDefault="00A43E18" w:rsidP="00376ECE">
            <w:pPr>
              <w:spacing w:before="0" w:after="0"/>
              <w:jc w:val="left"/>
              <w:rPr>
                <w:rFonts w:ascii="Arial Narrow" w:hAnsi="Arial Narrow"/>
                <w:sz w:val="18"/>
                <w:szCs w:val="18"/>
              </w:rPr>
            </w:pPr>
            <w:hyperlink r:id="rId73" w:tgtFrame="_blank" w:history="1">
              <w:r w:rsidR="006D392E" w:rsidRPr="00376ECE">
                <w:rPr>
                  <w:rFonts w:ascii="Arial Narrow" w:hAnsi="Arial Narrow"/>
                  <w:sz w:val="18"/>
                  <w:szCs w:val="18"/>
                </w:rPr>
                <w:t>www.lrcj.org</w:t>
              </w:r>
            </w:hyperlink>
          </w:p>
        </w:tc>
        <w:tc>
          <w:tcPr>
            <w:tcW w:w="1151" w:type="pct"/>
            <w:tcBorders>
              <w:top w:val="single" w:sz="4" w:space="0" w:color="auto"/>
              <w:left w:val="single" w:sz="4" w:space="0" w:color="auto"/>
              <w:bottom w:val="single" w:sz="4" w:space="0" w:color="auto"/>
              <w:right w:val="single" w:sz="4" w:space="0" w:color="auto"/>
            </w:tcBorders>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Research and Environment</w:t>
            </w:r>
          </w:p>
        </w:tc>
      </w:tr>
      <w:tr w:rsidR="006D392E" w:rsidRPr="00376ECE" w:rsidTr="00705D33">
        <w:trPr>
          <w:trHeight w:val="613"/>
        </w:trPr>
        <w:tc>
          <w:tcPr>
            <w:tcW w:w="101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MA’AN Development Center</w:t>
            </w:r>
          </w:p>
        </w:tc>
        <w:tc>
          <w:tcPr>
            <w:tcW w:w="96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 xml:space="preserve">Sami </w:t>
            </w:r>
            <w:proofErr w:type="spellStart"/>
            <w:r w:rsidRPr="00376ECE">
              <w:rPr>
                <w:rFonts w:ascii="Arial Narrow" w:hAnsi="Arial Narrow"/>
                <w:sz w:val="18"/>
                <w:szCs w:val="18"/>
              </w:rPr>
              <w:t>Khader</w:t>
            </w:r>
            <w:proofErr w:type="spellEnd"/>
          </w:p>
        </w:tc>
        <w:tc>
          <w:tcPr>
            <w:tcW w:w="10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D392E" w:rsidRPr="00376ECE" w:rsidRDefault="006D392E" w:rsidP="00705D33">
            <w:pPr>
              <w:spacing w:before="0" w:after="0"/>
              <w:jc w:val="left"/>
              <w:rPr>
                <w:rFonts w:ascii="Arial Narrow" w:hAnsi="Arial Narrow"/>
                <w:sz w:val="18"/>
                <w:szCs w:val="18"/>
              </w:rPr>
            </w:pPr>
            <w:r w:rsidRPr="00376ECE">
              <w:rPr>
                <w:rFonts w:ascii="Arial Narrow" w:hAnsi="Arial Narrow"/>
                <w:sz w:val="18"/>
                <w:szCs w:val="18"/>
              </w:rPr>
              <w:t>02-2954451</w:t>
            </w:r>
            <w:r w:rsidR="00705D33">
              <w:rPr>
                <w:rFonts w:ascii="Arial Narrow" w:hAnsi="Arial Narrow"/>
                <w:sz w:val="18"/>
                <w:szCs w:val="18"/>
              </w:rPr>
              <w:t xml:space="preserve">; </w:t>
            </w:r>
            <w:r w:rsidRPr="00376ECE">
              <w:rPr>
                <w:rFonts w:ascii="Arial Narrow" w:hAnsi="Arial Narrow"/>
                <w:sz w:val="18"/>
                <w:szCs w:val="18"/>
              </w:rPr>
              <w:t>02-2986698</w:t>
            </w:r>
            <w:r w:rsidR="00705D33">
              <w:rPr>
                <w:rFonts w:ascii="Arial Narrow" w:hAnsi="Arial Narrow"/>
                <w:sz w:val="18"/>
                <w:szCs w:val="18"/>
              </w:rPr>
              <w:t xml:space="preserve"> ;  </w:t>
            </w:r>
            <w:r w:rsidRPr="00376ECE">
              <w:rPr>
                <w:rFonts w:ascii="Arial Narrow" w:hAnsi="Arial Narrow"/>
                <w:sz w:val="18"/>
                <w:szCs w:val="18"/>
              </w:rPr>
              <w:t>02-2986796</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D392E" w:rsidRPr="00376ECE" w:rsidRDefault="00A43E18" w:rsidP="00376ECE">
            <w:pPr>
              <w:spacing w:before="0" w:after="0"/>
              <w:jc w:val="left"/>
              <w:rPr>
                <w:rFonts w:ascii="Arial Narrow" w:hAnsi="Arial Narrow"/>
                <w:sz w:val="18"/>
                <w:szCs w:val="18"/>
              </w:rPr>
            </w:pPr>
            <w:hyperlink r:id="rId74" w:tgtFrame="_blank" w:history="1">
              <w:r w:rsidR="006D392E" w:rsidRPr="00376ECE">
                <w:rPr>
                  <w:rFonts w:ascii="Arial Narrow" w:hAnsi="Arial Narrow"/>
                  <w:sz w:val="18"/>
                  <w:szCs w:val="18"/>
                </w:rPr>
                <w:t>maanc@palnet.com</w:t>
              </w:r>
            </w:hyperlink>
          </w:p>
          <w:p w:rsidR="006D392E" w:rsidRPr="00376ECE" w:rsidRDefault="00A43E18" w:rsidP="00376ECE">
            <w:pPr>
              <w:spacing w:before="0" w:after="0"/>
              <w:jc w:val="left"/>
              <w:rPr>
                <w:rFonts w:ascii="Arial Narrow" w:hAnsi="Arial Narrow"/>
                <w:sz w:val="18"/>
                <w:szCs w:val="18"/>
              </w:rPr>
            </w:pPr>
            <w:hyperlink r:id="rId75" w:tgtFrame="_blank" w:history="1">
              <w:r w:rsidR="006D392E" w:rsidRPr="00376ECE">
                <w:rPr>
                  <w:rFonts w:ascii="Arial Narrow" w:hAnsi="Arial Narrow"/>
                  <w:sz w:val="18"/>
                  <w:szCs w:val="18"/>
                </w:rPr>
                <w:t>www.maan-ctr.org</w:t>
              </w:r>
            </w:hyperlink>
          </w:p>
        </w:tc>
        <w:tc>
          <w:tcPr>
            <w:tcW w:w="1151" w:type="pct"/>
            <w:tcBorders>
              <w:top w:val="single" w:sz="4" w:space="0" w:color="auto"/>
              <w:left w:val="single" w:sz="4" w:space="0" w:color="auto"/>
              <w:bottom w:val="single" w:sz="4" w:space="0" w:color="auto"/>
              <w:right w:val="single" w:sz="4" w:space="0" w:color="auto"/>
            </w:tcBorders>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Society and Development Sector</w:t>
            </w:r>
          </w:p>
        </w:tc>
      </w:tr>
      <w:tr w:rsidR="006D392E" w:rsidRPr="00376ECE" w:rsidTr="00705D33">
        <w:trPr>
          <w:trHeight w:val="707"/>
        </w:trPr>
        <w:tc>
          <w:tcPr>
            <w:tcW w:w="1015" w:type="pct"/>
            <w:tcBorders>
              <w:top w:val="single" w:sz="4" w:space="0" w:color="auto"/>
              <w:left w:val="single" w:sz="4" w:space="0" w:color="auto"/>
              <w:bottom w:val="single" w:sz="4" w:space="0" w:color="auto"/>
              <w:right w:val="single" w:sz="4" w:space="0" w:color="auto"/>
            </w:tcBorders>
            <w:shd w:val="clear" w:color="auto" w:fill="auto"/>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MUSAWA - The Palestinian Center for the Independence of Judiciary and the Legal Profession</w:t>
            </w:r>
          </w:p>
        </w:tc>
        <w:tc>
          <w:tcPr>
            <w:tcW w:w="963" w:type="pct"/>
            <w:tcBorders>
              <w:top w:val="single" w:sz="4" w:space="0" w:color="auto"/>
              <w:left w:val="single" w:sz="4" w:space="0" w:color="auto"/>
              <w:bottom w:val="single" w:sz="4" w:space="0" w:color="auto"/>
              <w:right w:val="single" w:sz="4" w:space="0" w:color="auto"/>
            </w:tcBorders>
            <w:shd w:val="clear" w:color="auto" w:fill="auto"/>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Ibrahim al-</w:t>
            </w:r>
            <w:proofErr w:type="spellStart"/>
            <w:r w:rsidRPr="00376ECE">
              <w:rPr>
                <w:rFonts w:ascii="Arial Narrow" w:hAnsi="Arial Narrow"/>
                <w:sz w:val="18"/>
                <w:szCs w:val="18"/>
              </w:rPr>
              <w:t>barghouthi</w:t>
            </w:r>
            <w:proofErr w:type="spellEnd"/>
          </w:p>
        </w:tc>
        <w:tc>
          <w:tcPr>
            <w:tcW w:w="1068" w:type="pct"/>
            <w:tcBorders>
              <w:top w:val="single" w:sz="4" w:space="0" w:color="auto"/>
              <w:left w:val="single" w:sz="4" w:space="0" w:color="auto"/>
              <w:bottom w:val="single" w:sz="4" w:space="0" w:color="auto"/>
              <w:right w:val="single" w:sz="4" w:space="0" w:color="auto"/>
            </w:tcBorders>
            <w:shd w:val="clear" w:color="auto" w:fill="auto"/>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02-2424870</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musawa@musawa.ps</w:t>
            </w:r>
          </w:p>
        </w:tc>
        <w:tc>
          <w:tcPr>
            <w:tcW w:w="1151" w:type="pct"/>
            <w:tcBorders>
              <w:top w:val="single" w:sz="4" w:space="0" w:color="auto"/>
              <w:left w:val="single" w:sz="4" w:space="0" w:color="auto"/>
              <w:bottom w:val="single" w:sz="4" w:space="0" w:color="auto"/>
              <w:right w:val="single" w:sz="4" w:space="0" w:color="auto"/>
            </w:tcBorders>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Law</w:t>
            </w:r>
          </w:p>
        </w:tc>
      </w:tr>
      <w:tr w:rsidR="006D392E" w:rsidRPr="00376ECE" w:rsidTr="00705D33">
        <w:trPr>
          <w:trHeight w:val="450"/>
        </w:trPr>
        <w:tc>
          <w:tcPr>
            <w:tcW w:w="101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D392E" w:rsidRPr="00376ECE" w:rsidRDefault="00A43E18" w:rsidP="00376ECE">
            <w:pPr>
              <w:spacing w:before="0" w:after="0"/>
              <w:jc w:val="left"/>
              <w:rPr>
                <w:rFonts w:ascii="Arial Narrow" w:hAnsi="Arial Narrow"/>
                <w:sz w:val="18"/>
                <w:szCs w:val="18"/>
              </w:rPr>
            </w:pPr>
            <w:hyperlink r:id="rId76" w:tgtFrame="_blank" w:history="1">
              <w:r w:rsidR="006D392E" w:rsidRPr="00376ECE">
                <w:rPr>
                  <w:rFonts w:ascii="Arial Narrow" w:hAnsi="Arial Narrow"/>
                  <w:sz w:val="18"/>
                  <w:szCs w:val="18"/>
                </w:rPr>
                <w:t>Palestinian Agricultural Relief Committees</w:t>
              </w:r>
            </w:hyperlink>
          </w:p>
        </w:tc>
        <w:tc>
          <w:tcPr>
            <w:tcW w:w="96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D392E" w:rsidRPr="00376ECE" w:rsidRDefault="006D392E" w:rsidP="00376ECE">
            <w:pPr>
              <w:spacing w:before="0" w:after="0"/>
              <w:jc w:val="left"/>
              <w:rPr>
                <w:rFonts w:ascii="Arial Narrow" w:hAnsi="Arial Narrow"/>
                <w:sz w:val="18"/>
                <w:szCs w:val="18"/>
              </w:rPr>
            </w:pPr>
            <w:proofErr w:type="spellStart"/>
            <w:r w:rsidRPr="00376ECE">
              <w:rPr>
                <w:rFonts w:ascii="Arial Narrow" w:hAnsi="Arial Narrow"/>
                <w:sz w:val="18"/>
                <w:szCs w:val="18"/>
              </w:rPr>
              <w:t>Mr.khalil</w:t>
            </w:r>
            <w:proofErr w:type="spellEnd"/>
            <w:r w:rsidRPr="00376ECE">
              <w:rPr>
                <w:rFonts w:ascii="Arial Narrow" w:hAnsi="Arial Narrow"/>
                <w:sz w:val="18"/>
                <w:szCs w:val="18"/>
              </w:rPr>
              <w:t xml:space="preserve"> </w:t>
            </w:r>
            <w:proofErr w:type="spellStart"/>
            <w:r w:rsidRPr="00376ECE">
              <w:rPr>
                <w:rFonts w:ascii="Arial Narrow" w:hAnsi="Arial Narrow"/>
                <w:sz w:val="18"/>
                <w:szCs w:val="18"/>
              </w:rPr>
              <w:t>shiha</w:t>
            </w:r>
            <w:proofErr w:type="spellEnd"/>
          </w:p>
        </w:tc>
        <w:tc>
          <w:tcPr>
            <w:tcW w:w="10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02-2962840</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monjed@pal-arc.org</w:t>
            </w:r>
          </w:p>
        </w:tc>
        <w:tc>
          <w:tcPr>
            <w:tcW w:w="1151" w:type="pct"/>
            <w:tcBorders>
              <w:top w:val="single" w:sz="4" w:space="0" w:color="auto"/>
              <w:left w:val="single" w:sz="4" w:space="0" w:color="auto"/>
              <w:bottom w:val="single" w:sz="4" w:space="0" w:color="auto"/>
              <w:right w:val="single" w:sz="4" w:space="0" w:color="auto"/>
            </w:tcBorders>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Agriculture</w:t>
            </w:r>
          </w:p>
        </w:tc>
      </w:tr>
      <w:tr w:rsidR="006D392E" w:rsidRPr="00376ECE" w:rsidTr="00705D33">
        <w:trPr>
          <w:trHeight w:val="698"/>
        </w:trPr>
        <w:tc>
          <w:tcPr>
            <w:tcW w:w="1015" w:type="pct"/>
            <w:tcBorders>
              <w:top w:val="single" w:sz="4" w:space="0" w:color="auto"/>
              <w:left w:val="single" w:sz="4" w:space="0" w:color="auto"/>
              <w:bottom w:val="single" w:sz="4" w:space="0" w:color="auto"/>
              <w:right w:val="single" w:sz="4" w:space="0" w:color="auto"/>
            </w:tcBorders>
            <w:shd w:val="clear" w:color="auto" w:fill="auto"/>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Palestinian Business women’s’ Association</w:t>
            </w:r>
          </w:p>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ASALA</w:t>
            </w:r>
          </w:p>
        </w:tc>
        <w:tc>
          <w:tcPr>
            <w:tcW w:w="963" w:type="pct"/>
            <w:tcBorders>
              <w:top w:val="single" w:sz="4" w:space="0" w:color="auto"/>
              <w:left w:val="single" w:sz="4" w:space="0" w:color="auto"/>
              <w:bottom w:val="single" w:sz="4" w:space="0" w:color="auto"/>
              <w:right w:val="single" w:sz="4" w:space="0" w:color="auto"/>
            </w:tcBorders>
            <w:shd w:val="clear" w:color="auto" w:fill="auto"/>
            <w:vAlign w:val="center"/>
          </w:tcPr>
          <w:p w:rsidR="006D392E" w:rsidRPr="00376ECE" w:rsidRDefault="006D392E" w:rsidP="00376ECE">
            <w:pPr>
              <w:spacing w:before="0" w:after="0"/>
              <w:jc w:val="left"/>
              <w:rPr>
                <w:rFonts w:ascii="Arial Narrow" w:hAnsi="Arial Narrow"/>
                <w:sz w:val="18"/>
                <w:szCs w:val="18"/>
              </w:rPr>
            </w:pPr>
            <w:proofErr w:type="spellStart"/>
            <w:r w:rsidRPr="00376ECE">
              <w:rPr>
                <w:rFonts w:ascii="Arial Narrow" w:hAnsi="Arial Narrow"/>
                <w:sz w:val="18"/>
                <w:szCs w:val="18"/>
              </w:rPr>
              <w:t>Reem</w:t>
            </w:r>
            <w:proofErr w:type="spellEnd"/>
            <w:r w:rsidRPr="00376ECE">
              <w:rPr>
                <w:rFonts w:ascii="Arial Narrow" w:hAnsi="Arial Narrow"/>
                <w:sz w:val="18"/>
                <w:szCs w:val="18"/>
              </w:rPr>
              <w:t xml:space="preserve"> </w:t>
            </w:r>
            <w:proofErr w:type="spellStart"/>
            <w:r w:rsidRPr="00376ECE">
              <w:rPr>
                <w:rFonts w:ascii="Arial Narrow" w:hAnsi="Arial Narrow"/>
                <w:sz w:val="18"/>
                <w:szCs w:val="18"/>
              </w:rPr>
              <w:t>Aboshi</w:t>
            </w:r>
            <w:proofErr w:type="spellEnd"/>
          </w:p>
        </w:tc>
        <w:tc>
          <w:tcPr>
            <w:tcW w:w="1068" w:type="pct"/>
            <w:tcBorders>
              <w:top w:val="single" w:sz="4" w:space="0" w:color="auto"/>
              <w:left w:val="single" w:sz="4" w:space="0" w:color="auto"/>
              <w:bottom w:val="single" w:sz="4" w:space="0" w:color="auto"/>
              <w:right w:val="single" w:sz="4" w:space="0" w:color="auto"/>
            </w:tcBorders>
            <w:shd w:val="clear" w:color="auto" w:fill="auto"/>
            <w:vAlign w:val="center"/>
          </w:tcPr>
          <w:p w:rsidR="006D392E" w:rsidRPr="00376ECE" w:rsidRDefault="006D392E" w:rsidP="00705D33">
            <w:pPr>
              <w:widowControl w:val="0"/>
              <w:autoSpaceDE w:val="0"/>
              <w:autoSpaceDN w:val="0"/>
              <w:adjustRightInd w:val="0"/>
              <w:spacing w:before="0" w:after="0"/>
              <w:jc w:val="left"/>
              <w:rPr>
                <w:rFonts w:ascii="Arial Narrow" w:hAnsi="Arial Narrow"/>
                <w:sz w:val="18"/>
                <w:szCs w:val="18"/>
              </w:rPr>
            </w:pPr>
            <w:r w:rsidRPr="00376ECE">
              <w:rPr>
                <w:rFonts w:ascii="Arial Narrow" w:hAnsi="Arial Narrow"/>
                <w:sz w:val="18"/>
                <w:szCs w:val="18"/>
              </w:rPr>
              <w:t>02-2400532</w:t>
            </w:r>
            <w:r w:rsidR="00705D33">
              <w:rPr>
                <w:rFonts w:ascii="Arial Narrow" w:hAnsi="Arial Narrow"/>
                <w:sz w:val="18"/>
                <w:szCs w:val="18"/>
              </w:rPr>
              <w:t xml:space="preserve"> ; </w:t>
            </w:r>
            <w:r w:rsidRPr="00376ECE">
              <w:rPr>
                <w:rFonts w:ascii="Arial Narrow" w:hAnsi="Arial Narrow"/>
                <w:sz w:val="18"/>
                <w:szCs w:val="18"/>
              </w:rPr>
              <w:t>02-2402433</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6D392E" w:rsidRPr="00376ECE" w:rsidRDefault="00A43E18" w:rsidP="00376ECE">
            <w:pPr>
              <w:spacing w:before="0" w:after="0"/>
              <w:jc w:val="left"/>
              <w:rPr>
                <w:rFonts w:ascii="Arial Narrow" w:hAnsi="Arial Narrow"/>
                <w:sz w:val="18"/>
                <w:szCs w:val="18"/>
              </w:rPr>
            </w:pPr>
            <w:hyperlink r:id="rId77" w:history="1">
              <w:r w:rsidR="006D392E" w:rsidRPr="00376ECE">
                <w:rPr>
                  <w:rFonts w:ascii="Arial Narrow" w:hAnsi="Arial Narrow"/>
                  <w:sz w:val="18"/>
                  <w:szCs w:val="18"/>
                </w:rPr>
                <w:t>asala@palnet.com</w:t>
              </w:r>
            </w:hyperlink>
          </w:p>
        </w:tc>
        <w:tc>
          <w:tcPr>
            <w:tcW w:w="1151" w:type="pct"/>
            <w:tcBorders>
              <w:top w:val="single" w:sz="4" w:space="0" w:color="auto"/>
              <w:left w:val="single" w:sz="4" w:space="0" w:color="auto"/>
              <w:bottom w:val="single" w:sz="4" w:space="0" w:color="auto"/>
              <w:right w:val="single" w:sz="4" w:space="0" w:color="auto"/>
            </w:tcBorders>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Women Empowerment/ Microcredit</w:t>
            </w:r>
          </w:p>
        </w:tc>
      </w:tr>
      <w:tr w:rsidR="006D392E" w:rsidRPr="00376ECE" w:rsidTr="00705D33">
        <w:trPr>
          <w:trHeight w:val="698"/>
        </w:trPr>
        <w:tc>
          <w:tcPr>
            <w:tcW w:w="101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lastRenderedPageBreak/>
              <w:t>Palestinian Hydrology Group for water and environmental resources development (PHG)</w:t>
            </w:r>
          </w:p>
        </w:tc>
        <w:tc>
          <w:tcPr>
            <w:tcW w:w="96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Abdel-</w:t>
            </w:r>
            <w:proofErr w:type="spellStart"/>
            <w:r w:rsidRPr="00376ECE">
              <w:rPr>
                <w:rFonts w:ascii="Arial Narrow" w:hAnsi="Arial Narrow"/>
                <w:sz w:val="18"/>
                <w:szCs w:val="18"/>
              </w:rPr>
              <w:t>RahmanTamimi</w:t>
            </w:r>
            <w:proofErr w:type="spellEnd"/>
          </w:p>
        </w:tc>
        <w:tc>
          <w:tcPr>
            <w:tcW w:w="10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D392E" w:rsidRPr="00376ECE" w:rsidRDefault="006D392E" w:rsidP="00705D33">
            <w:pPr>
              <w:spacing w:before="0" w:after="0"/>
              <w:jc w:val="left"/>
              <w:rPr>
                <w:rFonts w:ascii="Arial Narrow" w:hAnsi="Arial Narrow"/>
                <w:sz w:val="18"/>
                <w:szCs w:val="18"/>
              </w:rPr>
            </w:pPr>
            <w:r w:rsidRPr="00376ECE">
              <w:rPr>
                <w:rFonts w:ascii="Arial Narrow" w:hAnsi="Arial Narrow"/>
                <w:sz w:val="18"/>
                <w:szCs w:val="18"/>
              </w:rPr>
              <w:t>+9702 2966315-6</w:t>
            </w:r>
            <w:r w:rsidR="00705D33">
              <w:rPr>
                <w:rFonts w:ascii="Arial Narrow" w:hAnsi="Arial Narrow"/>
                <w:sz w:val="18"/>
                <w:szCs w:val="18"/>
              </w:rPr>
              <w:t xml:space="preserve"> ; </w:t>
            </w:r>
            <w:r w:rsidRPr="00376ECE">
              <w:rPr>
                <w:rFonts w:ascii="Arial Narrow" w:hAnsi="Arial Narrow"/>
                <w:sz w:val="18"/>
                <w:szCs w:val="18"/>
              </w:rPr>
              <w:t>0599-204690</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D392E" w:rsidRPr="00376ECE" w:rsidRDefault="00A43E18" w:rsidP="00376ECE">
            <w:pPr>
              <w:spacing w:before="0" w:after="0"/>
              <w:jc w:val="left"/>
              <w:rPr>
                <w:rFonts w:ascii="Arial Narrow" w:hAnsi="Arial Narrow"/>
                <w:sz w:val="18"/>
                <w:szCs w:val="18"/>
              </w:rPr>
            </w:pPr>
            <w:hyperlink r:id="rId78" w:history="1">
              <w:r w:rsidR="006D392E" w:rsidRPr="00376ECE">
                <w:rPr>
                  <w:rFonts w:ascii="Arial Narrow" w:hAnsi="Arial Narrow"/>
                  <w:sz w:val="18"/>
                  <w:szCs w:val="18"/>
                </w:rPr>
                <w:t>a.tamimi@phg.org</w:t>
              </w:r>
            </w:hyperlink>
          </w:p>
          <w:p w:rsidR="006D392E" w:rsidRPr="00376ECE" w:rsidRDefault="00A43E18" w:rsidP="00376ECE">
            <w:pPr>
              <w:spacing w:before="0" w:after="0"/>
              <w:jc w:val="left"/>
              <w:rPr>
                <w:rFonts w:ascii="Arial Narrow" w:hAnsi="Arial Narrow"/>
                <w:sz w:val="18"/>
                <w:szCs w:val="18"/>
              </w:rPr>
            </w:pPr>
            <w:hyperlink r:id="rId79" w:history="1">
              <w:r w:rsidR="006D392E" w:rsidRPr="00376ECE">
                <w:rPr>
                  <w:rFonts w:ascii="Arial Narrow" w:hAnsi="Arial Narrow"/>
                  <w:sz w:val="18"/>
                  <w:szCs w:val="18"/>
                </w:rPr>
                <w:t>info@phg.org</w:t>
              </w:r>
            </w:hyperlink>
          </w:p>
        </w:tc>
        <w:tc>
          <w:tcPr>
            <w:tcW w:w="1151" w:type="pct"/>
            <w:tcBorders>
              <w:top w:val="single" w:sz="4" w:space="0" w:color="auto"/>
              <w:left w:val="single" w:sz="4" w:space="0" w:color="auto"/>
              <w:bottom w:val="single" w:sz="4" w:space="0" w:color="auto"/>
              <w:right w:val="single" w:sz="4" w:space="0" w:color="auto"/>
            </w:tcBorders>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Water and Environmental Resources Development</w:t>
            </w:r>
          </w:p>
        </w:tc>
      </w:tr>
      <w:tr w:rsidR="006D392E" w:rsidRPr="00376ECE" w:rsidTr="00705D33">
        <w:trPr>
          <w:trHeight w:val="465"/>
        </w:trPr>
        <w:tc>
          <w:tcPr>
            <w:tcW w:w="1015" w:type="pct"/>
            <w:tcBorders>
              <w:top w:val="single" w:sz="4" w:space="0" w:color="auto"/>
              <w:left w:val="single" w:sz="4" w:space="0" w:color="auto"/>
              <w:bottom w:val="single" w:sz="4" w:space="0" w:color="auto"/>
              <w:right w:val="single" w:sz="4" w:space="0" w:color="auto"/>
            </w:tcBorders>
            <w:shd w:val="clear" w:color="auto" w:fill="auto"/>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Palestinian Medical Relief Society (PMRS)</w:t>
            </w:r>
          </w:p>
        </w:tc>
        <w:tc>
          <w:tcPr>
            <w:tcW w:w="963" w:type="pct"/>
            <w:tcBorders>
              <w:top w:val="single" w:sz="4" w:space="0" w:color="auto"/>
              <w:left w:val="single" w:sz="4" w:space="0" w:color="auto"/>
              <w:bottom w:val="single" w:sz="4" w:space="0" w:color="auto"/>
              <w:right w:val="single" w:sz="4" w:space="0" w:color="auto"/>
            </w:tcBorders>
            <w:shd w:val="clear" w:color="auto" w:fill="auto"/>
            <w:vAlign w:val="center"/>
          </w:tcPr>
          <w:p w:rsidR="006D392E" w:rsidRPr="00376ECE" w:rsidRDefault="006D392E" w:rsidP="00376ECE">
            <w:pPr>
              <w:spacing w:before="0" w:after="0"/>
              <w:jc w:val="left"/>
              <w:rPr>
                <w:rFonts w:ascii="Arial Narrow" w:hAnsi="Arial Narrow"/>
                <w:sz w:val="18"/>
                <w:szCs w:val="18"/>
              </w:rPr>
            </w:pPr>
            <w:proofErr w:type="spellStart"/>
            <w:r w:rsidRPr="00376ECE">
              <w:rPr>
                <w:rFonts w:ascii="Arial Narrow" w:hAnsi="Arial Narrow"/>
                <w:sz w:val="18"/>
                <w:szCs w:val="18"/>
              </w:rPr>
              <w:t>Heider</w:t>
            </w:r>
            <w:proofErr w:type="spellEnd"/>
            <w:r w:rsidRPr="00376ECE">
              <w:rPr>
                <w:rFonts w:ascii="Arial Narrow" w:hAnsi="Arial Narrow"/>
                <w:sz w:val="18"/>
                <w:szCs w:val="18"/>
              </w:rPr>
              <w:t xml:space="preserve"> </w:t>
            </w:r>
            <w:proofErr w:type="spellStart"/>
            <w:r w:rsidRPr="00376ECE">
              <w:rPr>
                <w:rFonts w:ascii="Arial Narrow" w:hAnsi="Arial Narrow"/>
                <w:sz w:val="18"/>
                <w:szCs w:val="18"/>
              </w:rPr>
              <w:t>abu</w:t>
            </w:r>
            <w:proofErr w:type="spellEnd"/>
            <w:r w:rsidRPr="00376ECE">
              <w:rPr>
                <w:rFonts w:ascii="Arial Narrow" w:hAnsi="Arial Narrow"/>
                <w:sz w:val="18"/>
                <w:szCs w:val="18"/>
              </w:rPr>
              <w:t xml:space="preserve"> </w:t>
            </w:r>
            <w:proofErr w:type="spellStart"/>
            <w:r w:rsidRPr="00376ECE">
              <w:rPr>
                <w:rFonts w:ascii="Arial Narrow" w:hAnsi="Arial Narrow"/>
                <w:sz w:val="18"/>
                <w:szCs w:val="18"/>
              </w:rPr>
              <w:t>ghoash</w:t>
            </w:r>
            <w:proofErr w:type="spellEnd"/>
          </w:p>
        </w:tc>
        <w:tc>
          <w:tcPr>
            <w:tcW w:w="1068" w:type="pct"/>
            <w:tcBorders>
              <w:top w:val="single" w:sz="4" w:space="0" w:color="auto"/>
              <w:left w:val="single" w:sz="4" w:space="0" w:color="auto"/>
              <w:bottom w:val="single" w:sz="4" w:space="0" w:color="auto"/>
              <w:right w:val="single" w:sz="4" w:space="0" w:color="auto"/>
            </w:tcBorders>
            <w:shd w:val="clear" w:color="auto" w:fill="auto"/>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02-2969970</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pmrs@pmrs.ps</w:t>
            </w:r>
          </w:p>
        </w:tc>
        <w:tc>
          <w:tcPr>
            <w:tcW w:w="1151" w:type="pct"/>
            <w:tcBorders>
              <w:top w:val="single" w:sz="4" w:space="0" w:color="auto"/>
              <w:left w:val="single" w:sz="4" w:space="0" w:color="auto"/>
              <w:bottom w:val="single" w:sz="4" w:space="0" w:color="auto"/>
              <w:right w:val="single" w:sz="4" w:space="0" w:color="auto"/>
            </w:tcBorders>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Health</w:t>
            </w:r>
          </w:p>
        </w:tc>
      </w:tr>
      <w:tr w:rsidR="006D392E" w:rsidRPr="00376ECE" w:rsidTr="00705D33">
        <w:trPr>
          <w:trHeight w:val="516"/>
        </w:trPr>
        <w:tc>
          <w:tcPr>
            <w:tcW w:w="1015" w:type="pct"/>
            <w:tcBorders>
              <w:top w:val="single" w:sz="4" w:space="0" w:color="auto"/>
              <w:left w:val="single" w:sz="4" w:space="0" w:color="auto"/>
              <w:bottom w:val="single" w:sz="4" w:space="0" w:color="auto"/>
              <w:right w:val="single" w:sz="4" w:space="0" w:color="auto"/>
            </w:tcBorders>
            <w:shd w:val="clear" w:color="auto" w:fill="auto"/>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Palestinian Youth Union</w:t>
            </w:r>
          </w:p>
        </w:tc>
        <w:tc>
          <w:tcPr>
            <w:tcW w:w="963" w:type="pct"/>
            <w:tcBorders>
              <w:top w:val="single" w:sz="4" w:space="0" w:color="auto"/>
              <w:left w:val="single" w:sz="4" w:space="0" w:color="auto"/>
              <w:bottom w:val="single" w:sz="4" w:space="0" w:color="auto"/>
              <w:right w:val="single" w:sz="4" w:space="0" w:color="auto"/>
            </w:tcBorders>
            <w:shd w:val="clear" w:color="auto" w:fill="auto"/>
            <w:vAlign w:val="center"/>
          </w:tcPr>
          <w:p w:rsidR="006D392E" w:rsidRPr="00376ECE" w:rsidRDefault="006D392E" w:rsidP="00376ECE">
            <w:pPr>
              <w:spacing w:before="0" w:after="0"/>
              <w:jc w:val="left"/>
              <w:rPr>
                <w:rFonts w:ascii="Arial Narrow" w:hAnsi="Arial Narrow"/>
                <w:sz w:val="18"/>
                <w:szCs w:val="18"/>
              </w:rPr>
            </w:pPr>
            <w:proofErr w:type="spellStart"/>
            <w:r w:rsidRPr="00376ECE">
              <w:rPr>
                <w:rFonts w:ascii="Arial Narrow" w:hAnsi="Arial Narrow"/>
                <w:sz w:val="18"/>
                <w:szCs w:val="18"/>
              </w:rPr>
              <w:t>Moharam</w:t>
            </w:r>
            <w:proofErr w:type="spellEnd"/>
            <w:r w:rsidRPr="00376ECE">
              <w:rPr>
                <w:rFonts w:ascii="Arial Narrow" w:hAnsi="Arial Narrow"/>
                <w:sz w:val="18"/>
                <w:szCs w:val="18"/>
              </w:rPr>
              <w:t xml:space="preserve"> </w:t>
            </w:r>
            <w:proofErr w:type="spellStart"/>
            <w:r w:rsidRPr="00376ECE">
              <w:rPr>
                <w:rFonts w:ascii="Arial Narrow" w:hAnsi="Arial Narrow"/>
                <w:sz w:val="18"/>
                <w:szCs w:val="18"/>
              </w:rPr>
              <w:t>Barghouthi</w:t>
            </w:r>
            <w:proofErr w:type="spellEnd"/>
          </w:p>
        </w:tc>
        <w:tc>
          <w:tcPr>
            <w:tcW w:w="1068" w:type="pct"/>
            <w:tcBorders>
              <w:top w:val="single" w:sz="4" w:space="0" w:color="auto"/>
              <w:left w:val="single" w:sz="4" w:space="0" w:color="auto"/>
              <w:bottom w:val="single" w:sz="4" w:space="0" w:color="auto"/>
              <w:right w:val="single" w:sz="4" w:space="0" w:color="auto"/>
            </w:tcBorders>
            <w:shd w:val="clear" w:color="auto" w:fill="auto"/>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2981313</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Pyu2002@hotmail.com</w:t>
            </w:r>
          </w:p>
        </w:tc>
        <w:tc>
          <w:tcPr>
            <w:tcW w:w="1151" w:type="pct"/>
            <w:tcBorders>
              <w:top w:val="single" w:sz="4" w:space="0" w:color="auto"/>
              <w:left w:val="single" w:sz="4" w:space="0" w:color="auto"/>
              <w:bottom w:val="single" w:sz="4" w:space="0" w:color="auto"/>
              <w:right w:val="single" w:sz="4" w:space="0" w:color="auto"/>
            </w:tcBorders>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Youth</w:t>
            </w:r>
          </w:p>
        </w:tc>
      </w:tr>
      <w:tr w:rsidR="006D392E" w:rsidRPr="00376ECE" w:rsidTr="00705D33">
        <w:trPr>
          <w:trHeight w:val="537"/>
        </w:trPr>
        <w:tc>
          <w:tcPr>
            <w:tcW w:w="1015" w:type="pct"/>
            <w:tcBorders>
              <w:top w:val="single" w:sz="4" w:space="0" w:color="auto"/>
              <w:left w:val="single" w:sz="4" w:space="0" w:color="auto"/>
              <w:bottom w:val="single" w:sz="4" w:space="0" w:color="auto"/>
              <w:right w:val="single" w:sz="4" w:space="0" w:color="auto"/>
            </w:tcBorders>
            <w:shd w:val="clear" w:color="auto" w:fill="auto"/>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Ramallah Center for Human Rights Studies</w:t>
            </w:r>
          </w:p>
        </w:tc>
        <w:tc>
          <w:tcPr>
            <w:tcW w:w="963" w:type="pct"/>
            <w:tcBorders>
              <w:top w:val="single" w:sz="4" w:space="0" w:color="auto"/>
              <w:left w:val="single" w:sz="4" w:space="0" w:color="auto"/>
              <w:bottom w:val="single" w:sz="4" w:space="0" w:color="auto"/>
              <w:right w:val="single" w:sz="4" w:space="0" w:color="auto"/>
            </w:tcBorders>
            <w:shd w:val="clear" w:color="auto" w:fill="auto"/>
            <w:vAlign w:val="center"/>
          </w:tcPr>
          <w:p w:rsidR="006D392E" w:rsidRPr="00376ECE" w:rsidRDefault="006D392E" w:rsidP="00376ECE">
            <w:pPr>
              <w:spacing w:before="0" w:after="0"/>
              <w:jc w:val="left"/>
              <w:rPr>
                <w:rFonts w:ascii="Arial Narrow" w:hAnsi="Arial Narrow"/>
                <w:sz w:val="18"/>
                <w:szCs w:val="18"/>
              </w:rPr>
            </w:pPr>
            <w:proofErr w:type="spellStart"/>
            <w:r w:rsidRPr="00376ECE">
              <w:rPr>
                <w:rFonts w:ascii="Arial Narrow" w:hAnsi="Arial Narrow"/>
                <w:sz w:val="18"/>
                <w:szCs w:val="18"/>
              </w:rPr>
              <w:t>Iyad</w:t>
            </w:r>
            <w:proofErr w:type="spellEnd"/>
            <w:r w:rsidRPr="00376ECE">
              <w:rPr>
                <w:rFonts w:ascii="Arial Narrow" w:hAnsi="Arial Narrow"/>
                <w:sz w:val="18"/>
                <w:szCs w:val="18"/>
              </w:rPr>
              <w:t xml:space="preserve"> </w:t>
            </w:r>
            <w:proofErr w:type="spellStart"/>
            <w:r w:rsidRPr="00376ECE">
              <w:rPr>
                <w:rFonts w:ascii="Arial Narrow" w:hAnsi="Arial Narrow"/>
                <w:sz w:val="18"/>
                <w:szCs w:val="18"/>
              </w:rPr>
              <w:t>Barghouthi</w:t>
            </w:r>
            <w:proofErr w:type="spellEnd"/>
          </w:p>
        </w:tc>
        <w:tc>
          <w:tcPr>
            <w:tcW w:w="1068" w:type="pct"/>
            <w:tcBorders>
              <w:top w:val="single" w:sz="4" w:space="0" w:color="auto"/>
              <w:left w:val="single" w:sz="4" w:space="0" w:color="auto"/>
              <w:bottom w:val="single" w:sz="4" w:space="0" w:color="auto"/>
              <w:right w:val="single" w:sz="4" w:space="0" w:color="auto"/>
            </w:tcBorders>
            <w:shd w:val="clear" w:color="auto" w:fill="auto"/>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2413001</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6D392E" w:rsidRPr="00376ECE" w:rsidRDefault="00A43E18" w:rsidP="00376ECE">
            <w:pPr>
              <w:spacing w:before="0" w:after="0"/>
              <w:jc w:val="left"/>
              <w:rPr>
                <w:rFonts w:ascii="Arial Narrow" w:hAnsi="Arial Narrow"/>
                <w:sz w:val="18"/>
                <w:szCs w:val="18"/>
              </w:rPr>
            </w:pPr>
            <w:hyperlink r:id="rId80" w:history="1">
              <w:r w:rsidR="006D392E" w:rsidRPr="00376ECE">
                <w:rPr>
                  <w:rFonts w:ascii="Arial Narrow" w:hAnsi="Arial Narrow"/>
                  <w:sz w:val="18"/>
                  <w:szCs w:val="18"/>
                </w:rPr>
                <w:t>rchrs@rchrs.org</w:t>
              </w:r>
            </w:hyperlink>
          </w:p>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Ramallah.center@gmail.com</w:t>
            </w:r>
          </w:p>
        </w:tc>
        <w:tc>
          <w:tcPr>
            <w:tcW w:w="1151" w:type="pct"/>
            <w:tcBorders>
              <w:top w:val="single" w:sz="4" w:space="0" w:color="auto"/>
              <w:left w:val="single" w:sz="4" w:space="0" w:color="auto"/>
              <w:bottom w:val="single" w:sz="4" w:space="0" w:color="auto"/>
              <w:right w:val="single" w:sz="4" w:space="0" w:color="auto"/>
            </w:tcBorders>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Democracy and Human Rights</w:t>
            </w:r>
          </w:p>
        </w:tc>
      </w:tr>
      <w:tr w:rsidR="006D392E" w:rsidRPr="00376ECE" w:rsidTr="00705D33">
        <w:trPr>
          <w:trHeight w:val="572"/>
        </w:trPr>
        <w:tc>
          <w:tcPr>
            <w:tcW w:w="1015" w:type="pct"/>
            <w:tcBorders>
              <w:top w:val="single" w:sz="4" w:space="0" w:color="auto"/>
              <w:left w:val="single" w:sz="4" w:space="0" w:color="auto"/>
              <w:bottom w:val="single" w:sz="4" w:space="0" w:color="auto"/>
              <w:right w:val="single" w:sz="4" w:space="0" w:color="auto"/>
            </w:tcBorders>
            <w:shd w:val="clear" w:color="auto" w:fill="auto"/>
            <w:vAlign w:val="center"/>
          </w:tcPr>
          <w:p w:rsidR="006D392E" w:rsidRPr="00376ECE" w:rsidRDefault="006D392E" w:rsidP="00376ECE">
            <w:pPr>
              <w:spacing w:before="0" w:after="0"/>
              <w:jc w:val="left"/>
              <w:rPr>
                <w:rFonts w:ascii="Arial Narrow" w:hAnsi="Arial Narrow"/>
                <w:sz w:val="18"/>
                <w:szCs w:val="18"/>
              </w:rPr>
            </w:pPr>
            <w:proofErr w:type="spellStart"/>
            <w:r w:rsidRPr="00376ECE">
              <w:rPr>
                <w:rFonts w:ascii="Arial Narrow" w:hAnsi="Arial Narrow"/>
                <w:sz w:val="18"/>
                <w:szCs w:val="18"/>
              </w:rPr>
              <w:t>Sawa</w:t>
            </w:r>
            <w:proofErr w:type="spellEnd"/>
            <w:r w:rsidRPr="00376ECE">
              <w:rPr>
                <w:rFonts w:ascii="Arial Narrow" w:hAnsi="Arial Narrow"/>
                <w:sz w:val="18"/>
                <w:szCs w:val="18"/>
              </w:rPr>
              <w:t>- All the Women Together Today and Tomorrow</w:t>
            </w:r>
          </w:p>
        </w:tc>
        <w:tc>
          <w:tcPr>
            <w:tcW w:w="963" w:type="pct"/>
            <w:tcBorders>
              <w:top w:val="single" w:sz="4" w:space="0" w:color="auto"/>
              <w:left w:val="single" w:sz="4" w:space="0" w:color="auto"/>
              <w:bottom w:val="single" w:sz="4" w:space="0" w:color="auto"/>
              <w:right w:val="single" w:sz="4" w:space="0" w:color="auto"/>
            </w:tcBorders>
            <w:shd w:val="clear" w:color="auto" w:fill="auto"/>
            <w:vAlign w:val="center"/>
          </w:tcPr>
          <w:p w:rsidR="006D392E" w:rsidRPr="00376ECE" w:rsidRDefault="006D392E" w:rsidP="00376ECE">
            <w:pPr>
              <w:spacing w:before="0" w:after="0"/>
              <w:jc w:val="left"/>
              <w:rPr>
                <w:rFonts w:ascii="Arial Narrow" w:hAnsi="Arial Narrow"/>
                <w:sz w:val="18"/>
                <w:szCs w:val="18"/>
              </w:rPr>
            </w:pPr>
            <w:proofErr w:type="spellStart"/>
            <w:r w:rsidRPr="00376ECE">
              <w:rPr>
                <w:rFonts w:ascii="Arial Narrow" w:hAnsi="Arial Narrow"/>
                <w:sz w:val="18"/>
                <w:szCs w:val="18"/>
              </w:rPr>
              <w:t>Uhaila</w:t>
            </w:r>
            <w:proofErr w:type="spellEnd"/>
            <w:r w:rsidRPr="00376ECE">
              <w:rPr>
                <w:rFonts w:ascii="Arial Narrow" w:hAnsi="Arial Narrow"/>
                <w:sz w:val="18"/>
                <w:szCs w:val="18"/>
              </w:rPr>
              <w:t xml:space="preserve"> </w:t>
            </w:r>
            <w:proofErr w:type="spellStart"/>
            <w:r w:rsidRPr="00376ECE">
              <w:rPr>
                <w:rFonts w:ascii="Arial Narrow" w:hAnsi="Arial Narrow"/>
                <w:sz w:val="18"/>
                <w:szCs w:val="18"/>
              </w:rPr>
              <w:t>Shomar</w:t>
            </w:r>
            <w:proofErr w:type="spellEnd"/>
          </w:p>
        </w:tc>
        <w:tc>
          <w:tcPr>
            <w:tcW w:w="1068" w:type="pct"/>
            <w:tcBorders>
              <w:top w:val="single" w:sz="4" w:space="0" w:color="auto"/>
              <w:left w:val="single" w:sz="4" w:space="0" w:color="auto"/>
              <w:bottom w:val="single" w:sz="4" w:space="0" w:color="auto"/>
              <w:right w:val="single" w:sz="4" w:space="0" w:color="auto"/>
            </w:tcBorders>
            <w:shd w:val="clear" w:color="auto" w:fill="auto"/>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5324122</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Info@sawa.ps</w:t>
            </w:r>
          </w:p>
        </w:tc>
        <w:tc>
          <w:tcPr>
            <w:tcW w:w="1151" w:type="pct"/>
            <w:tcBorders>
              <w:top w:val="single" w:sz="4" w:space="0" w:color="auto"/>
              <w:left w:val="single" w:sz="4" w:space="0" w:color="auto"/>
              <w:bottom w:val="single" w:sz="4" w:space="0" w:color="auto"/>
              <w:right w:val="single" w:sz="4" w:space="0" w:color="auto"/>
            </w:tcBorders>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Women</w:t>
            </w:r>
          </w:p>
        </w:tc>
      </w:tr>
      <w:tr w:rsidR="006D392E" w:rsidRPr="00376ECE" w:rsidTr="00705D33">
        <w:trPr>
          <w:trHeight w:val="465"/>
        </w:trPr>
        <w:tc>
          <w:tcPr>
            <w:tcW w:w="1015" w:type="pct"/>
            <w:tcBorders>
              <w:top w:val="single" w:sz="4" w:space="0" w:color="auto"/>
              <w:left w:val="single" w:sz="4" w:space="0" w:color="auto"/>
              <w:bottom w:val="single" w:sz="4" w:space="0" w:color="auto"/>
              <w:right w:val="single" w:sz="4" w:space="0" w:color="auto"/>
            </w:tcBorders>
            <w:shd w:val="clear" w:color="auto" w:fill="auto"/>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Tamer Institute for Community Education</w:t>
            </w:r>
          </w:p>
        </w:tc>
        <w:tc>
          <w:tcPr>
            <w:tcW w:w="963" w:type="pct"/>
            <w:tcBorders>
              <w:top w:val="single" w:sz="4" w:space="0" w:color="auto"/>
              <w:left w:val="single" w:sz="4" w:space="0" w:color="auto"/>
              <w:bottom w:val="single" w:sz="4" w:space="0" w:color="auto"/>
              <w:right w:val="single" w:sz="4" w:space="0" w:color="auto"/>
            </w:tcBorders>
            <w:shd w:val="clear" w:color="auto" w:fill="auto"/>
            <w:vAlign w:val="center"/>
          </w:tcPr>
          <w:p w:rsidR="006D392E" w:rsidRPr="00376ECE" w:rsidRDefault="006D392E" w:rsidP="00376ECE">
            <w:pPr>
              <w:spacing w:before="0" w:after="0"/>
              <w:jc w:val="left"/>
              <w:rPr>
                <w:rFonts w:ascii="Arial Narrow" w:hAnsi="Arial Narrow"/>
                <w:sz w:val="18"/>
                <w:szCs w:val="18"/>
              </w:rPr>
            </w:pPr>
            <w:proofErr w:type="spellStart"/>
            <w:r w:rsidRPr="00376ECE">
              <w:rPr>
                <w:rFonts w:ascii="Arial Narrow" w:hAnsi="Arial Narrow"/>
                <w:sz w:val="18"/>
                <w:szCs w:val="18"/>
              </w:rPr>
              <w:t>Renad</w:t>
            </w:r>
            <w:proofErr w:type="spellEnd"/>
            <w:r w:rsidRPr="00376ECE">
              <w:rPr>
                <w:rFonts w:ascii="Arial Narrow" w:hAnsi="Arial Narrow"/>
                <w:sz w:val="18"/>
                <w:szCs w:val="18"/>
              </w:rPr>
              <w:t xml:space="preserve"> </w:t>
            </w:r>
            <w:proofErr w:type="spellStart"/>
            <w:r w:rsidRPr="00376ECE">
              <w:rPr>
                <w:rFonts w:ascii="Arial Narrow" w:hAnsi="Arial Narrow"/>
                <w:sz w:val="18"/>
                <w:szCs w:val="18"/>
              </w:rPr>
              <w:t>Qubbaj</w:t>
            </w:r>
            <w:proofErr w:type="spellEnd"/>
          </w:p>
        </w:tc>
        <w:tc>
          <w:tcPr>
            <w:tcW w:w="1068" w:type="pct"/>
            <w:tcBorders>
              <w:top w:val="single" w:sz="4" w:space="0" w:color="auto"/>
              <w:left w:val="single" w:sz="4" w:space="0" w:color="auto"/>
              <w:bottom w:val="single" w:sz="4" w:space="0" w:color="auto"/>
              <w:right w:val="single" w:sz="4" w:space="0" w:color="auto"/>
            </w:tcBorders>
            <w:shd w:val="clear" w:color="auto" w:fill="auto"/>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02-2986121/2</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tamer@palnet.com</w:t>
            </w:r>
          </w:p>
        </w:tc>
        <w:tc>
          <w:tcPr>
            <w:tcW w:w="1151" w:type="pct"/>
            <w:tcBorders>
              <w:top w:val="single" w:sz="4" w:space="0" w:color="auto"/>
              <w:left w:val="single" w:sz="4" w:space="0" w:color="auto"/>
              <w:bottom w:val="single" w:sz="4" w:space="0" w:color="auto"/>
              <w:right w:val="single" w:sz="4" w:space="0" w:color="auto"/>
            </w:tcBorders>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Education</w:t>
            </w:r>
          </w:p>
        </w:tc>
      </w:tr>
      <w:tr w:rsidR="006D392E" w:rsidRPr="00376ECE" w:rsidTr="00705D33">
        <w:trPr>
          <w:trHeight w:val="465"/>
        </w:trPr>
        <w:tc>
          <w:tcPr>
            <w:tcW w:w="1015" w:type="pct"/>
            <w:tcBorders>
              <w:top w:val="single" w:sz="4" w:space="0" w:color="auto"/>
              <w:left w:val="single" w:sz="4" w:space="0" w:color="auto"/>
              <w:bottom w:val="single" w:sz="4" w:space="0" w:color="auto"/>
              <w:right w:val="single" w:sz="4" w:space="0" w:color="auto"/>
            </w:tcBorders>
            <w:shd w:val="clear" w:color="auto" w:fill="auto"/>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Union of Health Care Committees- UHCC</w:t>
            </w:r>
          </w:p>
        </w:tc>
        <w:tc>
          <w:tcPr>
            <w:tcW w:w="963" w:type="pct"/>
            <w:tcBorders>
              <w:top w:val="single" w:sz="4" w:space="0" w:color="auto"/>
              <w:left w:val="single" w:sz="4" w:space="0" w:color="auto"/>
              <w:bottom w:val="single" w:sz="4" w:space="0" w:color="auto"/>
              <w:right w:val="single" w:sz="4" w:space="0" w:color="auto"/>
            </w:tcBorders>
            <w:shd w:val="clear" w:color="auto" w:fill="auto"/>
            <w:vAlign w:val="center"/>
          </w:tcPr>
          <w:p w:rsidR="006D392E" w:rsidRPr="00376ECE" w:rsidRDefault="006D392E" w:rsidP="00376ECE">
            <w:pPr>
              <w:spacing w:before="0" w:after="0"/>
              <w:jc w:val="left"/>
              <w:rPr>
                <w:rFonts w:ascii="Arial Narrow" w:hAnsi="Arial Narrow"/>
                <w:sz w:val="18"/>
                <w:szCs w:val="18"/>
              </w:rPr>
            </w:pPr>
            <w:proofErr w:type="spellStart"/>
            <w:r w:rsidRPr="00376ECE">
              <w:rPr>
                <w:rFonts w:ascii="Arial Narrow" w:hAnsi="Arial Narrow"/>
                <w:sz w:val="18"/>
                <w:szCs w:val="18"/>
              </w:rPr>
              <w:t>Aqil</w:t>
            </w:r>
            <w:proofErr w:type="spellEnd"/>
            <w:r w:rsidRPr="00376ECE">
              <w:rPr>
                <w:rFonts w:ascii="Arial Narrow" w:hAnsi="Arial Narrow"/>
                <w:sz w:val="18"/>
                <w:szCs w:val="18"/>
              </w:rPr>
              <w:t xml:space="preserve"> Fares</w:t>
            </w:r>
          </w:p>
        </w:tc>
        <w:tc>
          <w:tcPr>
            <w:tcW w:w="1068" w:type="pct"/>
            <w:tcBorders>
              <w:top w:val="single" w:sz="4" w:space="0" w:color="auto"/>
              <w:left w:val="single" w:sz="4" w:space="0" w:color="auto"/>
              <w:bottom w:val="single" w:sz="4" w:space="0" w:color="auto"/>
              <w:right w:val="single" w:sz="4" w:space="0" w:color="auto"/>
            </w:tcBorders>
            <w:shd w:val="clear" w:color="auto" w:fill="auto"/>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09-2372432</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uhcc@palnet.com</w:t>
            </w:r>
          </w:p>
        </w:tc>
        <w:tc>
          <w:tcPr>
            <w:tcW w:w="1151" w:type="pct"/>
            <w:tcBorders>
              <w:top w:val="single" w:sz="4" w:space="0" w:color="auto"/>
              <w:left w:val="single" w:sz="4" w:space="0" w:color="auto"/>
              <w:bottom w:val="single" w:sz="4" w:space="0" w:color="auto"/>
              <w:right w:val="single" w:sz="4" w:space="0" w:color="auto"/>
            </w:tcBorders>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Health</w:t>
            </w:r>
          </w:p>
        </w:tc>
      </w:tr>
      <w:tr w:rsidR="006D392E" w:rsidRPr="00376ECE" w:rsidTr="00705D33">
        <w:trPr>
          <w:trHeight w:val="465"/>
        </w:trPr>
        <w:tc>
          <w:tcPr>
            <w:tcW w:w="101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 xml:space="preserve">Welfare </w:t>
            </w:r>
            <w:proofErr w:type="spellStart"/>
            <w:r w:rsidRPr="00376ECE">
              <w:rPr>
                <w:rFonts w:ascii="Arial Narrow" w:hAnsi="Arial Narrow"/>
                <w:sz w:val="18"/>
                <w:szCs w:val="18"/>
              </w:rPr>
              <w:t>Assocation</w:t>
            </w:r>
            <w:proofErr w:type="spellEnd"/>
          </w:p>
        </w:tc>
        <w:tc>
          <w:tcPr>
            <w:tcW w:w="96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D392E" w:rsidRPr="00376ECE" w:rsidRDefault="006D392E" w:rsidP="00376ECE">
            <w:pPr>
              <w:spacing w:before="0" w:after="0"/>
              <w:jc w:val="left"/>
              <w:rPr>
                <w:rFonts w:ascii="Arial Narrow" w:hAnsi="Arial Narrow"/>
                <w:sz w:val="18"/>
                <w:szCs w:val="18"/>
              </w:rPr>
            </w:pPr>
            <w:proofErr w:type="spellStart"/>
            <w:r w:rsidRPr="00376ECE">
              <w:rPr>
                <w:rFonts w:ascii="Arial Narrow" w:hAnsi="Arial Narrow"/>
                <w:sz w:val="18"/>
                <w:szCs w:val="18"/>
              </w:rPr>
              <w:t>Haitham</w:t>
            </w:r>
            <w:proofErr w:type="spellEnd"/>
            <w:r w:rsidRPr="00376ECE">
              <w:rPr>
                <w:rFonts w:ascii="Arial Narrow" w:hAnsi="Arial Narrow"/>
                <w:sz w:val="18"/>
                <w:szCs w:val="18"/>
              </w:rPr>
              <w:t xml:space="preserve"> </w:t>
            </w:r>
            <w:proofErr w:type="spellStart"/>
            <w:r w:rsidRPr="00376ECE">
              <w:rPr>
                <w:rFonts w:ascii="Arial Narrow" w:hAnsi="Arial Narrow"/>
                <w:sz w:val="18"/>
                <w:szCs w:val="18"/>
              </w:rPr>
              <w:t>Hammouri</w:t>
            </w:r>
            <w:proofErr w:type="spellEnd"/>
          </w:p>
        </w:tc>
        <w:tc>
          <w:tcPr>
            <w:tcW w:w="10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(+970-2) 241-5130</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D392E" w:rsidRPr="00376ECE" w:rsidRDefault="00A43E18" w:rsidP="00376ECE">
            <w:pPr>
              <w:spacing w:before="0" w:after="0"/>
              <w:jc w:val="left"/>
              <w:rPr>
                <w:rFonts w:ascii="Arial Narrow" w:hAnsi="Arial Narrow"/>
                <w:sz w:val="18"/>
                <w:szCs w:val="18"/>
              </w:rPr>
            </w:pPr>
            <w:hyperlink r:id="rId81" w:history="1">
              <w:r w:rsidR="006D392E" w:rsidRPr="00376ECE">
                <w:rPr>
                  <w:rFonts w:ascii="Arial Narrow" w:hAnsi="Arial Narrow"/>
                  <w:sz w:val="18"/>
                  <w:szCs w:val="18"/>
                </w:rPr>
                <w:t>hammouri@jwelfare.og</w:t>
              </w:r>
            </w:hyperlink>
          </w:p>
        </w:tc>
        <w:tc>
          <w:tcPr>
            <w:tcW w:w="1151" w:type="pct"/>
            <w:tcBorders>
              <w:top w:val="single" w:sz="4" w:space="0" w:color="auto"/>
              <w:left w:val="single" w:sz="4" w:space="0" w:color="auto"/>
              <w:bottom w:val="single" w:sz="4" w:space="0" w:color="auto"/>
              <w:right w:val="single" w:sz="4" w:space="0" w:color="auto"/>
            </w:tcBorders>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Development and Humanitarian Assistance</w:t>
            </w:r>
          </w:p>
        </w:tc>
      </w:tr>
      <w:tr w:rsidR="006D392E" w:rsidRPr="00376ECE" w:rsidTr="00705D33">
        <w:trPr>
          <w:trHeight w:val="465"/>
        </w:trPr>
        <w:tc>
          <w:tcPr>
            <w:tcW w:w="1015" w:type="pct"/>
            <w:tcBorders>
              <w:top w:val="single" w:sz="4" w:space="0" w:color="auto"/>
              <w:left w:val="single" w:sz="4" w:space="0" w:color="auto"/>
              <w:bottom w:val="single" w:sz="4" w:space="0" w:color="auto"/>
              <w:right w:val="single" w:sz="4" w:space="0" w:color="auto"/>
            </w:tcBorders>
            <w:shd w:val="clear" w:color="auto" w:fill="auto"/>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Youth Development Association</w:t>
            </w:r>
          </w:p>
        </w:tc>
        <w:tc>
          <w:tcPr>
            <w:tcW w:w="963" w:type="pct"/>
            <w:tcBorders>
              <w:top w:val="single" w:sz="4" w:space="0" w:color="auto"/>
              <w:left w:val="single" w:sz="4" w:space="0" w:color="auto"/>
              <w:bottom w:val="single" w:sz="4" w:space="0" w:color="auto"/>
              <w:right w:val="single" w:sz="4" w:space="0" w:color="auto"/>
            </w:tcBorders>
            <w:shd w:val="clear" w:color="auto" w:fill="auto"/>
            <w:vAlign w:val="center"/>
          </w:tcPr>
          <w:p w:rsidR="006D392E" w:rsidRPr="00376ECE" w:rsidRDefault="006D392E" w:rsidP="00376ECE">
            <w:pPr>
              <w:spacing w:before="0" w:after="0"/>
              <w:jc w:val="left"/>
              <w:rPr>
                <w:rFonts w:ascii="Arial Narrow" w:hAnsi="Arial Narrow"/>
                <w:sz w:val="18"/>
                <w:szCs w:val="18"/>
              </w:rPr>
            </w:pPr>
            <w:proofErr w:type="spellStart"/>
            <w:r w:rsidRPr="00376ECE">
              <w:rPr>
                <w:rFonts w:ascii="Arial Narrow" w:hAnsi="Arial Narrow"/>
                <w:sz w:val="18"/>
                <w:szCs w:val="18"/>
              </w:rPr>
              <w:t>Talal</w:t>
            </w:r>
            <w:proofErr w:type="spellEnd"/>
            <w:r w:rsidRPr="00376ECE">
              <w:rPr>
                <w:rFonts w:ascii="Arial Narrow" w:hAnsi="Arial Narrow"/>
                <w:sz w:val="18"/>
                <w:szCs w:val="18"/>
              </w:rPr>
              <w:t xml:space="preserve"> </w:t>
            </w:r>
            <w:proofErr w:type="spellStart"/>
            <w:r w:rsidRPr="00376ECE">
              <w:rPr>
                <w:rFonts w:ascii="Arial Narrow" w:hAnsi="Arial Narrow"/>
                <w:sz w:val="18"/>
                <w:szCs w:val="18"/>
              </w:rPr>
              <w:t>Abukishek</w:t>
            </w:r>
            <w:proofErr w:type="spellEnd"/>
          </w:p>
        </w:tc>
        <w:tc>
          <w:tcPr>
            <w:tcW w:w="1068" w:type="pct"/>
            <w:tcBorders>
              <w:top w:val="single" w:sz="4" w:space="0" w:color="auto"/>
              <w:left w:val="single" w:sz="4" w:space="0" w:color="auto"/>
              <w:bottom w:val="single" w:sz="4" w:space="0" w:color="auto"/>
              <w:right w:val="single" w:sz="4" w:space="0" w:color="auto"/>
            </w:tcBorders>
            <w:shd w:val="clear" w:color="auto" w:fill="auto"/>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2976662</w:t>
            </w:r>
          </w:p>
        </w:tc>
        <w:tc>
          <w:tcPr>
            <w:tcW w:w="803" w:type="pct"/>
            <w:tcBorders>
              <w:top w:val="single" w:sz="4" w:space="0" w:color="auto"/>
              <w:left w:val="single" w:sz="4" w:space="0" w:color="auto"/>
              <w:bottom w:val="single" w:sz="4" w:space="0" w:color="auto"/>
              <w:right w:val="single" w:sz="4" w:space="0" w:color="auto"/>
            </w:tcBorders>
            <w:shd w:val="clear" w:color="auto" w:fill="auto"/>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info@youth.ps</w:t>
            </w:r>
          </w:p>
        </w:tc>
        <w:tc>
          <w:tcPr>
            <w:tcW w:w="1151" w:type="pct"/>
            <w:tcBorders>
              <w:top w:val="single" w:sz="4" w:space="0" w:color="auto"/>
              <w:left w:val="single" w:sz="4" w:space="0" w:color="auto"/>
              <w:bottom w:val="single" w:sz="4" w:space="0" w:color="auto"/>
              <w:right w:val="single" w:sz="4" w:space="0" w:color="auto"/>
            </w:tcBorders>
            <w:vAlign w:val="center"/>
          </w:tcPr>
          <w:p w:rsidR="006D392E" w:rsidRPr="00376ECE" w:rsidRDefault="006D392E" w:rsidP="00376ECE">
            <w:pPr>
              <w:spacing w:before="0" w:after="0"/>
              <w:jc w:val="left"/>
              <w:rPr>
                <w:rFonts w:ascii="Arial Narrow" w:hAnsi="Arial Narrow"/>
                <w:sz w:val="18"/>
                <w:szCs w:val="18"/>
              </w:rPr>
            </w:pPr>
            <w:r w:rsidRPr="00376ECE">
              <w:rPr>
                <w:rFonts w:ascii="Arial Narrow" w:hAnsi="Arial Narrow"/>
                <w:sz w:val="18"/>
                <w:szCs w:val="18"/>
              </w:rPr>
              <w:t>Youth</w:t>
            </w:r>
          </w:p>
        </w:tc>
      </w:tr>
    </w:tbl>
    <w:p w:rsidR="00E81D61" w:rsidRPr="00376ECE" w:rsidRDefault="00E81D61" w:rsidP="00376ECE">
      <w:pPr>
        <w:spacing w:before="0" w:after="0"/>
        <w:rPr>
          <w:rFonts w:ascii="Arial Narrow" w:hAnsi="Arial Narrow"/>
          <w:b/>
          <w:bCs/>
          <w:sz w:val="18"/>
          <w:szCs w:val="18"/>
          <w:lang w:bidi="ar-JO"/>
        </w:rPr>
      </w:pPr>
    </w:p>
    <w:p w:rsidR="00E81D61" w:rsidRPr="00376ECE" w:rsidRDefault="00E81D61" w:rsidP="00376ECE">
      <w:pPr>
        <w:spacing w:before="0" w:after="0"/>
        <w:rPr>
          <w:rFonts w:ascii="Arial Narrow" w:hAnsi="Arial Narrow"/>
          <w:b/>
          <w:bCs/>
          <w:sz w:val="18"/>
          <w:szCs w:val="18"/>
          <w:lang w:bidi="ar-JO"/>
        </w:rPr>
      </w:pPr>
      <w:r w:rsidRPr="00376ECE">
        <w:rPr>
          <w:rFonts w:ascii="Arial Narrow" w:hAnsi="Arial Narrow"/>
          <w:b/>
          <w:bCs/>
          <w:sz w:val="18"/>
          <w:szCs w:val="18"/>
          <w:lang w:bidi="ar-JO"/>
        </w:rPr>
        <w:br w:type="page"/>
      </w:r>
    </w:p>
    <w:p w:rsidR="00E81D61" w:rsidRPr="00376ECE" w:rsidRDefault="00E81D61" w:rsidP="00376ECE">
      <w:pPr>
        <w:spacing w:before="0" w:after="0"/>
        <w:rPr>
          <w:rFonts w:ascii="Arial Narrow" w:hAnsi="Arial Narrow"/>
          <w:b/>
          <w:bCs/>
          <w:sz w:val="18"/>
          <w:szCs w:val="18"/>
          <w:lang w:bidi="ar-JO"/>
        </w:rPr>
      </w:pPr>
      <w:r w:rsidRPr="00376ECE">
        <w:rPr>
          <w:rFonts w:ascii="Arial Narrow" w:hAnsi="Arial Narrow"/>
          <w:b/>
          <w:bCs/>
          <w:color w:val="1F497D" w:themeColor="text2"/>
          <w:sz w:val="20"/>
          <w:lang w:bidi="ar-JO"/>
        </w:rPr>
        <w:lastRenderedPageBreak/>
        <w:t>NGOs Jerusalem</w:t>
      </w:r>
    </w:p>
    <w:tbl>
      <w:tblPr>
        <w:tblpPr w:leftFromText="180" w:rightFromText="180" w:vertAnchor="text" w:tblpY="1"/>
        <w:tblOverlap w:val="never"/>
        <w:tblW w:w="49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24"/>
        <w:gridCol w:w="2100"/>
        <w:gridCol w:w="2252"/>
        <w:gridCol w:w="3515"/>
        <w:gridCol w:w="3190"/>
      </w:tblGrid>
      <w:tr w:rsidR="006D392E" w:rsidRPr="00376ECE" w:rsidTr="00043271">
        <w:trPr>
          <w:trHeight w:val="175"/>
        </w:trPr>
        <w:tc>
          <w:tcPr>
            <w:tcW w:w="1156" w:type="pct"/>
            <w:shd w:val="clear" w:color="auto" w:fill="4F81BD" w:themeFill="accent1"/>
            <w:vAlign w:val="center"/>
          </w:tcPr>
          <w:p w:rsidR="006D392E" w:rsidRPr="00376ECE" w:rsidRDefault="006D392E" w:rsidP="00376ECE">
            <w:pPr>
              <w:spacing w:before="0" w:after="0"/>
              <w:jc w:val="left"/>
              <w:rPr>
                <w:rFonts w:ascii="Arial Narrow" w:hAnsi="Arial Narrow"/>
                <w:b/>
                <w:color w:val="FFFFFF" w:themeColor="background1"/>
                <w:sz w:val="18"/>
                <w:szCs w:val="18"/>
              </w:rPr>
            </w:pPr>
            <w:r w:rsidRPr="00376ECE">
              <w:rPr>
                <w:rFonts w:ascii="Arial Narrow" w:hAnsi="Arial Narrow"/>
                <w:b/>
                <w:color w:val="FFFFFF" w:themeColor="background1"/>
                <w:sz w:val="18"/>
                <w:szCs w:val="18"/>
              </w:rPr>
              <w:t>Name of NGO</w:t>
            </w:r>
          </w:p>
        </w:tc>
        <w:tc>
          <w:tcPr>
            <w:tcW w:w="730" w:type="pct"/>
            <w:shd w:val="clear" w:color="auto" w:fill="4F81BD" w:themeFill="accent1"/>
            <w:vAlign w:val="center"/>
          </w:tcPr>
          <w:p w:rsidR="006D392E" w:rsidRPr="00376ECE" w:rsidRDefault="006D392E" w:rsidP="00376ECE">
            <w:pPr>
              <w:spacing w:before="0" w:after="0"/>
              <w:jc w:val="left"/>
              <w:rPr>
                <w:rFonts w:ascii="Arial Narrow" w:hAnsi="Arial Narrow"/>
                <w:b/>
                <w:color w:val="FFFFFF" w:themeColor="background1"/>
                <w:sz w:val="18"/>
                <w:szCs w:val="18"/>
              </w:rPr>
            </w:pPr>
            <w:r w:rsidRPr="00376ECE">
              <w:rPr>
                <w:rFonts w:ascii="Arial Narrow" w:hAnsi="Arial Narrow"/>
                <w:b/>
                <w:color w:val="FFFFFF" w:themeColor="background1"/>
                <w:sz w:val="18"/>
                <w:szCs w:val="18"/>
              </w:rPr>
              <w:t>Contact Name</w:t>
            </w:r>
          </w:p>
        </w:tc>
        <w:tc>
          <w:tcPr>
            <w:tcW w:w="783" w:type="pct"/>
            <w:shd w:val="clear" w:color="auto" w:fill="4F81BD" w:themeFill="accent1"/>
            <w:vAlign w:val="center"/>
          </w:tcPr>
          <w:p w:rsidR="006D392E" w:rsidRPr="00376ECE" w:rsidRDefault="006D392E" w:rsidP="00376ECE">
            <w:pPr>
              <w:spacing w:before="0" w:after="0"/>
              <w:jc w:val="left"/>
              <w:rPr>
                <w:rFonts w:ascii="Arial Narrow" w:hAnsi="Arial Narrow"/>
                <w:b/>
                <w:color w:val="FFFFFF" w:themeColor="background1"/>
                <w:sz w:val="18"/>
                <w:szCs w:val="18"/>
              </w:rPr>
            </w:pPr>
            <w:r w:rsidRPr="00376ECE">
              <w:rPr>
                <w:rFonts w:ascii="Arial Narrow" w:hAnsi="Arial Narrow"/>
                <w:b/>
                <w:color w:val="FFFFFF" w:themeColor="background1"/>
                <w:sz w:val="18"/>
                <w:szCs w:val="18"/>
              </w:rPr>
              <w:t>Phone</w:t>
            </w:r>
          </w:p>
        </w:tc>
        <w:tc>
          <w:tcPr>
            <w:tcW w:w="1222" w:type="pct"/>
            <w:shd w:val="clear" w:color="auto" w:fill="4F81BD" w:themeFill="accent1"/>
            <w:vAlign w:val="center"/>
          </w:tcPr>
          <w:p w:rsidR="006D392E" w:rsidRPr="00376ECE" w:rsidRDefault="006D392E" w:rsidP="00376ECE">
            <w:pPr>
              <w:spacing w:before="0" w:after="0"/>
              <w:jc w:val="left"/>
              <w:rPr>
                <w:rFonts w:ascii="Arial Narrow" w:hAnsi="Arial Narrow"/>
                <w:b/>
                <w:color w:val="FFFFFF" w:themeColor="background1"/>
                <w:sz w:val="18"/>
                <w:szCs w:val="18"/>
              </w:rPr>
            </w:pPr>
            <w:r w:rsidRPr="00376ECE">
              <w:rPr>
                <w:rFonts w:ascii="Arial Narrow" w:hAnsi="Arial Narrow"/>
                <w:b/>
                <w:color w:val="FFFFFF" w:themeColor="background1"/>
                <w:sz w:val="18"/>
                <w:szCs w:val="18"/>
              </w:rPr>
              <w:t>Email</w:t>
            </w:r>
          </w:p>
        </w:tc>
        <w:tc>
          <w:tcPr>
            <w:tcW w:w="1109" w:type="pct"/>
            <w:shd w:val="clear" w:color="auto" w:fill="4F81BD" w:themeFill="accent1"/>
            <w:vAlign w:val="center"/>
          </w:tcPr>
          <w:p w:rsidR="006D392E" w:rsidRPr="00376ECE" w:rsidRDefault="006D392E" w:rsidP="00376ECE">
            <w:pPr>
              <w:spacing w:before="0" w:after="0"/>
              <w:jc w:val="left"/>
              <w:rPr>
                <w:rFonts w:ascii="Arial Narrow" w:hAnsi="Arial Narrow"/>
                <w:b/>
                <w:color w:val="FFFFFF" w:themeColor="background1"/>
                <w:sz w:val="18"/>
                <w:szCs w:val="18"/>
              </w:rPr>
            </w:pPr>
            <w:r w:rsidRPr="00376ECE">
              <w:rPr>
                <w:rFonts w:ascii="Arial Narrow" w:hAnsi="Arial Narrow"/>
                <w:b/>
                <w:color w:val="FFFFFF" w:themeColor="background1"/>
                <w:sz w:val="18"/>
                <w:szCs w:val="18"/>
              </w:rPr>
              <w:t>Sector</w:t>
            </w:r>
          </w:p>
        </w:tc>
      </w:tr>
      <w:tr w:rsidR="006D392E" w:rsidRPr="00376ECE" w:rsidTr="00043271">
        <w:trPr>
          <w:trHeight w:val="350"/>
        </w:trPr>
        <w:tc>
          <w:tcPr>
            <w:tcW w:w="1156" w:type="pct"/>
            <w:shd w:val="clear" w:color="auto" w:fill="auto"/>
            <w:vAlign w:val="center"/>
          </w:tcPr>
          <w:p w:rsidR="006D392E" w:rsidRPr="00376ECE" w:rsidRDefault="006D392E" w:rsidP="00376ECE">
            <w:pPr>
              <w:spacing w:before="0" w:after="0"/>
              <w:jc w:val="left"/>
              <w:rPr>
                <w:rFonts w:ascii="Arial Narrow" w:hAnsi="Arial Narrow"/>
                <w:sz w:val="18"/>
                <w:szCs w:val="18"/>
                <w:lang w:bidi="ar-JO"/>
              </w:rPr>
            </w:pPr>
            <w:r w:rsidRPr="00376ECE">
              <w:rPr>
                <w:rFonts w:ascii="Arial Narrow" w:hAnsi="Arial Narrow"/>
                <w:sz w:val="18"/>
                <w:szCs w:val="18"/>
                <w:lang w:bidi="ar-JO"/>
              </w:rPr>
              <w:t>Al-</w:t>
            </w:r>
            <w:proofErr w:type="spellStart"/>
            <w:r w:rsidRPr="00376ECE">
              <w:rPr>
                <w:rFonts w:ascii="Arial Narrow" w:hAnsi="Arial Narrow"/>
                <w:sz w:val="18"/>
                <w:szCs w:val="18"/>
                <w:lang w:bidi="ar-JO"/>
              </w:rPr>
              <w:t>Maqdese</w:t>
            </w:r>
            <w:proofErr w:type="spellEnd"/>
            <w:r w:rsidRPr="00376ECE">
              <w:rPr>
                <w:rFonts w:ascii="Arial Narrow" w:hAnsi="Arial Narrow"/>
                <w:sz w:val="18"/>
                <w:szCs w:val="18"/>
                <w:lang w:bidi="ar-JO"/>
              </w:rPr>
              <w:t xml:space="preserve"> for Society Developing (MSD)</w:t>
            </w:r>
          </w:p>
        </w:tc>
        <w:tc>
          <w:tcPr>
            <w:tcW w:w="730" w:type="pct"/>
            <w:shd w:val="clear" w:color="auto" w:fill="auto"/>
            <w:vAlign w:val="center"/>
          </w:tcPr>
          <w:p w:rsidR="006D392E" w:rsidRPr="00376ECE" w:rsidRDefault="006D392E" w:rsidP="00376ECE">
            <w:pPr>
              <w:spacing w:before="0" w:after="0"/>
              <w:jc w:val="left"/>
              <w:rPr>
                <w:rFonts w:ascii="Arial Narrow" w:hAnsi="Arial Narrow"/>
                <w:sz w:val="18"/>
                <w:szCs w:val="18"/>
                <w:lang w:bidi="ar-JO"/>
              </w:rPr>
            </w:pPr>
            <w:proofErr w:type="spellStart"/>
            <w:r w:rsidRPr="00376ECE">
              <w:rPr>
                <w:rFonts w:ascii="Arial Narrow" w:hAnsi="Arial Narrow"/>
                <w:sz w:val="18"/>
                <w:szCs w:val="18"/>
                <w:lang w:bidi="ar-JO"/>
              </w:rPr>
              <w:t>Moua’azZa’tari</w:t>
            </w:r>
            <w:proofErr w:type="spellEnd"/>
          </w:p>
        </w:tc>
        <w:tc>
          <w:tcPr>
            <w:tcW w:w="783" w:type="pct"/>
            <w:shd w:val="clear" w:color="auto" w:fill="auto"/>
            <w:vAlign w:val="center"/>
          </w:tcPr>
          <w:p w:rsidR="006D392E" w:rsidRPr="00376ECE" w:rsidRDefault="006D392E" w:rsidP="00376ECE">
            <w:pPr>
              <w:spacing w:before="0" w:after="0"/>
              <w:jc w:val="left"/>
              <w:rPr>
                <w:rFonts w:ascii="Arial Narrow" w:hAnsi="Arial Narrow"/>
                <w:sz w:val="18"/>
                <w:szCs w:val="18"/>
                <w:lang w:bidi="ar-JO"/>
              </w:rPr>
            </w:pPr>
            <w:r w:rsidRPr="00376ECE">
              <w:rPr>
                <w:rFonts w:ascii="Arial Narrow" w:hAnsi="Arial Narrow"/>
                <w:sz w:val="18"/>
                <w:szCs w:val="18"/>
                <w:lang w:bidi="ar-JO"/>
              </w:rPr>
              <w:t>02-6285918</w:t>
            </w:r>
          </w:p>
          <w:p w:rsidR="006D392E" w:rsidRPr="00376ECE" w:rsidRDefault="006D392E" w:rsidP="00376ECE">
            <w:pPr>
              <w:spacing w:before="0" w:after="0"/>
              <w:jc w:val="left"/>
              <w:rPr>
                <w:rFonts w:ascii="Arial Narrow" w:hAnsi="Arial Narrow"/>
                <w:sz w:val="18"/>
                <w:szCs w:val="18"/>
                <w:lang w:bidi="ar-JO"/>
              </w:rPr>
            </w:pPr>
            <w:r w:rsidRPr="00376ECE">
              <w:rPr>
                <w:rFonts w:ascii="Arial Narrow" w:hAnsi="Arial Narrow"/>
                <w:sz w:val="18"/>
                <w:szCs w:val="18"/>
                <w:lang w:bidi="ar-JO"/>
              </w:rPr>
              <w:t>0547-520249</w:t>
            </w:r>
          </w:p>
        </w:tc>
        <w:tc>
          <w:tcPr>
            <w:tcW w:w="1222" w:type="pct"/>
            <w:shd w:val="clear" w:color="auto" w:fill="auto"/>
            <w:vAlign w:val="center"/>
          </w:tcPr>
          <w:p w:rsidR="006D392E" w:rsidRPr="00376ECE" w:rsidRDefault="00A43E18" w:rsidP="00376ECE">
            <w:pPr>
              <w:spacing w:before="0" w:after="0"/>
              <w:jc w:val="left"/>
              <w:rPr>
                <w:rFonts w:ascii="Arial Narrow" w:hAnsi="Arial Narrow"/>
                <w:spacing w:val="-2"/>
                <w:sz w:val="18"/>
                <w:szCs w:val="18"/>
              </w:rPr>
            </w:pPr>
            <w:hyperlink r:id="rId82" w:history="1">
              <w:r w:rsidR="006D392E" w:rsidRPr="00376ECE">
                <w:rPr>
                  <w:rStyle w:val="Collegamentoipertestuale"/>
                  <w:rFonts w:ascii="Arial Narrow" w:hAnsi="Arial Narrow"/>
                  <w:sz w:val="18"/>
                  <w:szCs w:val="18"/>
                </w:rPr>
                <w:t>info@al-maqdese.org</w:t>
              </w:r>
            </w:hyperlink>
          </w:p>
        </w:tc>
        <w:tc>
          <w:tcPr>
            <w:tcW w:w="1109" w:type="pct"/>
            <w:shd w:val="clear" w:color="auto" w:fill="auto"/>
            <w:vAlign w:val="center"/>
          </w:tcPr>
          <w:p w:rsidR="006D392E" w:rsidRPr="00376ECE" w:rsidRDefault="006D392E" w:rsidP="00376ECE">
            <w:pPr>
              <w:spacing w:before="0" w:after="0"/>
              <w:jc w:val="left"/>
              <w:rPr>
                <w:rFonts w:ascii="Arial Narrow" w:hAnsi="Arial Narrow"/>
                <w:sz w:val="18"/>
                <w:szCs w:val="18"/>
                <w:lang w:bidi="ar-JO"/>
              </w:rPr>
            </w:pPr>
            <w:r w:rsidRPr="00376ECE">
              <w:rPr>
                <w:rFonts w:ascii="Arial Narrow" w:hAnsi="Arial Narrow"/>
                <w:spacing w:val="-2"/>
                <w:sz w:val="18"/>
                <w:szCs w:val="18"/>
              </w:rPr>
              <w:t>Law and Democracy</w:t>
            </w:r>
          </w:p>
        </w:tc>
      </w:tr>
      <w:tr w:rsidR="006D392E" w:rsidRPr="00376ECE" w:rsidTr="00043271">
        <w:trPr>
          <w:trHeight w:val="703"/>
        </w:trPr>
        <w:tc>
          <w:tcPr>
            <w:tcW w:w="1156" w:type="pct"/>
            <w:shd w:val="clear" w:color="auto" w:fill="auto"/>
            <w:vAlign w:val="center"/>
          </w:tcPr>
          <w:p w:rsidR="006D392E" w:rsidRPr="00376ECE" w:rsidRDefault="006D392E" w:rsidP="00376ECE">
            <w:pPr>
              <w:spacing w:before="0" w:after="0"/>
              <w:jc w:val="left"/>
              <w:rPr>
                <w:rFonts w:ascii="Arial Narrow" w:hAnsi="Arial Narrow"/>
                <w:sz w:val="18"/>
                <w:szCs w:val="18"/>
                <w:lang w:bidi="ar-JO"/>
              </w:rPr>
            </w:pPr>
            <w:r w:rsidRPr="00376ECE">
              <w:rPr>
                <w:rFonts w:ascii="Arial Narrow" w:hAnsi="Arial Narrow"/>
                <w:sz w:val="18"/>
                <w:szCs w:val="18"/>
                <w:lang w:bidi="ar-JO"/>
              </w:rPr>
              <w:t>Al-</w:t>
            </w:r>
            <w:proofErr w:type="spellStart"/>
            <w:r w:rsidRPr="00376ECE">
              <w:rPr>
                <w:rFonts w:ascii="Arial Narrow" w:hAnsi="Arial Narrow"/>
                <w:sz w:val="18"/>
                <w:szCs w:val="18"/>
                <w:lang w:bidi="ar-JO"/>
              </w:rPr>
              <w:t>Nayzak</w:t>
            </w:r>
            <w:proofErr w:type="spellEnd"/>
            <w:r w:rsidRPr="00376ECE">
              <w:rPr>
                <w:rFonts w:ascii="Arial Narrow" w:hAnsi="Arial Narrow"/>
                <w:sz w:val="18"/>
                <w:szCs w:val="18"/>
                <w:lang w:bidi="ar-JO"/>
              </w:rPr>
              <w:t xml:space="preserve"> Extracurricular Education &amp; Scientific Innovation</w:t>
            </w:r>
          </w:p>
        </w:tc>
        <w:tc>
          <w:tcPr>
            <w:tcW w:w="730" w:type="pct"/>
            <w:shd w:val="clear" w:color="auto" w:fill="auto"/>
            <w:vAlign w:val="center"/>
          </w:tcPr>
          <w:p w:rsidR="006D392E" w:rsidRPr="00376ECE" w:rsidRDefault="006D392E" w:rsidP="00376ECE">
            <w:pPr>
              <w:spacing w:before="0" w:after="0"/>
              <w:jc w:val="left"/>
              <w:rPr>
                <w:rFonts w:ascii="Arial Narrow" w:hAnsi="Arial Narrow"/>
                <w:sz w:val="18"/>
                <w:szCs w:val="18"/>
                <w:lang w:bidi="ar-JO"/>
              </w:rPr>
            </w:pPr>
            <w:proofErr w:type="spellStart"/>
            <w:r w:rsidRPr="00376ECE">
              <w:rPr>
                <w:rFonts w:ascii="Arial Narrow" w:hAnsi="Arial Narrow"/>
                <w:sz w:val="18"/>
                <w:szCs w:val="18"/>
                <w:lang w:bidi="ar-JO"/>
              </w:rPr>
              <w:t>Aref</w:t>
            </w:r>
            <w:proofErr w:type="spellEnd"/>
            <w:r w:rsidRPr="00376ECE">
              <w:rPr>
                <w:rFonts w:ascii="Arial Narrow" w:hAnsi="Arial Narrow"/>
                <w:sz w:val="18"/>
                <w:szCs w:val="18"/>
                <w:lang w:bidi="ar-JO"/>
              </w:rPr>
              <w:t xml:space="preserve"> Al-</w:t>
            </w:r>
            <w:proofErr w:type="spellStart"/>
            <w:r w:rsidRPr="00376ECE">
              <w:rPr>
                <w:rFonts w:ascii="Arial Narrow" w:hAnsi="Arial Narrow"/>
                <w:sz w:val="18"/>
                <w:szCs w:val="18"/>
                <w:lang w:bidi="ar-JO"/>
              </w:rPr>
              <w:t>Husseini</w:t>
            </w:r>
            <w:proofErr w:type="spellEnd"/>
          </w:p>
        </w:tc>
        <w:tc>
          <w:tcPr>
            <w:tcW w:w="783" w:type="pct"/>
            <w:shd w:val="clear" w:color="auto" w:fill="auto"/>
            <w:vAlign w:val="center"/>
          </w:tcPr>
          <w:p w:rsidR="006D392E" w:rsidRPr="00376ECE" w:rsidRDefault="006D392E" w:rsidP="00376ECE">
            <w:pPr>
              <w:spacing w:before="0" w:after="0"/>
              <w:jc w:val="left"/>
              <w:rPr>
                <w:rFonts w:ascii="Arial Narrow" w:hAnsi="Arial Narrow"/>
                <w:sz w:val="18"/>
                <w:szCs w:val="18"/>
                <w:lang w:bidi="ar-JO"/>
              </w:rPr>
            </w:pPr>
            <w:r w:rsidRPr="00376ECE">
              <w:rPr>
                <w:rFonts w:ascii="Arial Narrow" w:hAnsi="Arial Narrow"/>
                <w:sz w:val="18"/>
                <w:szCs w:val="18"/>
                <w:lang w:bidi="ar-JO"/>
              </w:rPr>
              <w:t>02-6285387</w:t>
            </w:r>
          </w:p>
        </w:tc>
        <w:tc>
          <w:tcPr>
            <w:tcW w:w="1222" w:type="pct"/>
            <w:shd w:val="clear" w:color="auto" w:fill="auto"/>
            <w:vAlign w:val="center"/>
          </w:tcPr>
          <w:p w:rsidR="006D392E" w:rsidRPr="00376ECE" w:rsidRDefault="00A43E18" w:rsidP="00376ECE">
            <w:pPr>
              <w:spacing w:before="0" w:after="0"/>
              <w:jc w:val="left"/>
              <w:rPr>
                <w:rFonts w:ascii="Arial Narrow" w:hAnsi="Arial Narrow"/>
                <w:sz w:val="18"/>
                <w:szCs w:val="18"/>
              </w:rPr>
            </w:pPr>
            <w:hyperlink r:id="rId83" w:history="1">
              <w:r w:rsidR="006D392E" w:rsidRPr="00376ECE">
                <w:rPr>
                  <w:rStyle w:val="Collegamentoipertestuale"/>
                  <w:rFonts w:ascii="Arial Narrow" w:hAnsi="Arial Narrow"/>
                  <w:sz w:val="18"/>
                  <w:szCs w:val="18"/>
                </w:rPr>
                <w:t>info@alnayzak.org</w:t>
              </w:r>
            </w:hyperlink>
          </w:p>
        </w:tc>
        <w:tc>
          <w:tcPr>
            <w:tcW w:w="1109" w:type="pct"/>
            <w:shd w:val="clear" w:color="auto" w:fill="auto"/>
            <w:vAlign w:val="center"/>
          </w:tcPr>
          <w:p w:rsidR="006D392E" w:rsidRPr="00376ECE" w:rsidRDefault="006D392E" w:rsidP="00376ECE">
            <w:pPr>
              <w:spacing w:before="0" w:after="0"/>
              <w:jc w:val="left"/>
              <w:rPr>
                <w:rFonts w:ascii="Arial Narrow" w:hAnsi="Arial Narrow"/>
                <w:sz w:val="18"/>
                <w:szCs w:val="18"/>
                <w:lang w:bidi="ar-JO"/>
              </w:rPr>
            </w:pPr>
            <w:r w:rsidRPr="00376ECE">
              <w:rPr>
                <w:rFonts w:ascii="Arial Narrow" w:hAnsi="Arial Narrow"/>
                <w:sz w:val="18"/>
                <w:szCs w:val="18"/>
              </w:rPr>
              <w:t>Instructional and advisory Educa</w:t>
            </w:r>
            <w:r w:rsidRPr="00376ECE">
              <w:rPr>
                <w:rFonts w:ascii="Arial Narrow" w:hAnsi="Arial Narrow"/>
                <w:sz w:val="18"/>
                <w:szCs w:val="18"/>
              </w:rPr>
              <w:softHyphen/>
              <w:t>tional activities for Children; Modern technologies and creative thinking pro</w:t>
            </w:r>
            <w:r w:rsidRPr="00376ECE">
              <w:rPr>
                <w:rFonts w:ascii="Arial Narrow" w:hAnsi="Arial Narrow"/>
                <w:sz w:val="18"/>
                <w:szCs w:val="18"/>
              </w:rPr>
              <w:softHyphen/>
              <w:t>grams</w:t>
            </w:r>
          </w:p>
        </w:tc>
      </w:tr>
      <w:tr w:rsidR="006D392E" w:rsidRPr="00376ECE" w:rsidTr="00043271">
        <w:trPr>
          <w:trHeight w:val="350"/>
        </w:trPr>
        <w:tc>
          <w:tcPr>
            <w:tcW w:w="1156" w:type="pct"/>
            <w:shd w:val="clear" w:color="auto" w:fill="auto"/>
            <w:vAlign w:val="center"/>
          </w:tcPr>
          <w:p w:rsidR="006D392E" w:rsidRPr="00376ECE" w:rsidRDefault="006D392E" w:rsidP="00376ECE">
            <w:pPr>
              <w:spacing w:before="0" w:after="0"/>
              <w:jc w:val="left"/>
              <w:rPr>
                <w:rFonts w:ascii="Arial Narrow" w:hAnsi="Arial Narrow"/>
                <w:sz w:val="18"/>
                <w:szCs w:val="18"/>
                <w:lang w:bidi="ar-JO"/>
              </w:rPr>
            </w:pPr>
            <w:r w:rsidRPr="00376ECE">
              <w:rPr>
                <w:rFonts w:ascii="Arial Narrow" w:hAnsi="Arial Narrow"/>
                <w:sz w:val="18"/>
                <w:szCs w:val="18"/>
                <w:lang w:bidi="ar-JO"/>
              </w:rPr>
              <w:t>Arab Thought Forum (ATF)</w:t>
            </w:r>
          </w:p>
        </w:tc>
        <w:tc>
          <w:tcPr>
            <w:tcW w:w="730" w:type="pct"/>
            <w:shd w:val="clear" w:color="auto" w:fill="auto"/>
            <w:vAlign w:val="center"/>
          </w:tcPr>
          <w:p w:rsidR="006D392E" w:rsidRPr="00376ECE" w:rsidRDefault="006D392E" w:rsidP="00376ECE">
            <w:pPr>
              <w:spacing w:before="0" w:after="0"/>
              <w:jc w:val="left"/>
              <w:rPr>
                <w:rFonts w:ascii="Arial Narrow" w:hAnsi="Arial Narrow"/>
                <w:sz w:val="18"/>
                <w:szCs w:val="18"/>
                <w:lang w:bidi="ar-JO"/>
              </w:rPr>
            </w:pPr>
            <w:proofErr w:type="spellStart"/>
            <w:r w:rsidRPr="00376ECE">
              <w:rPr>
                <w:rFonts w:ascii="Arial Narrow" w:hAnsi="Arial Narrow"/>
                <w:sz w:val="18"/>
                <w:szCs w:val="18"/>
                <w:lang w:bidi="ar-JO"/>
              </w:rPr>
              <w:t>Dr.Mu'enKanaan</w:t>
            </w:r>
            <w:proofErr w:type="spellEnd"/>
          </w:p>
        </w:tc>
        <w:tc>
          <w:tcPr>
            <w:tcW w:w="783" w:type="pct"/>
            <w:shd w:val="clear" w:color="auto" w:fill="auto"/>
            <w:vAlign w:val="center"/>
          </w:tcPr>
          <w:p w:rsidR="006D392E" w:rsidRPr="00376ECE" w:rsidRDefault="006D392E" w:rsidP="00376ECE">
            <w:pPr>
              <w:spacing w:before="0" w:after="0"/>
              <w:jc w:val="left"/>
              <w:rPr>
                <w:rFonts w:ascii="Arial Narrow" w:hAnsi="Arial Narrow"/>
                <w:sz w:val="18"/>
                <w:szCs w:val="18"/>
                <w:lang w:bidi="ar-JO"/>
              </w:rPr>
            </w:pPr>
            <w:r w:rsidRPr="00376ECE">
              <w:rPr>
                <w:rFonts w:ascii="Arial Narrow" w:hAnsi="Arial Narrow"/>
                <w:sz w:val="18"/>
                <w:szCs w:val="18"/>
                <w:lang w:bidi="ar-JO"/>
              </w:rPr>
              <w:t>02-6289126/64774</w:t>
            </w:r>
          </w:p>
        </w:tc>
        <w:tc>
          <w:tcPr>
            <w:tcW w:w="1222" w:type="pct"/>
            <w:shd w:val="clear" w:color="auto" w:fill="auto"/>
            <w:vAlign w:val="center"/>
          </w:tcPr>
          <w:p w:rsidR="006D392E" w:rsidRPr="00376ECE" w:rsidRDefault="00A43E18" w:rsidP="00376ECE">
            <w:pPr>
              <w:spacing w:before="0" w:after="0"/>
              <w:jc w:val="left"/>
              <w:rPr>
                <w:rFonts w:ascii="Arial Narrow" w:hAnsi="Arial Narrow"/>
                <w:sz w:val="18"/>
                <w:szCs w:val="18"/>
              </w:rPr>
            </w:pPr>
            <w:hyperlink r:id="rId84" w:history="1">
              <w:r w:rsidR="006D392E" w:rsidRPr="00376ECE">
                <w:rPr>
                  <w:rStyle w:val="Collegamentoipertestuale"/>
                  <w:rFonts w:ascii="Arial Narrow" w:hAnsi="Arial Narrow"/>
                  <w:sz w:val="18"/>
                  <w:szCs w:val="18"/>
                  <w:shd w:val="clear" w:color="auto" w:fill="FFFFFF"/>
                </w:rPr>
                <w:t>nfo@multaqa.org</w:t>
              </w:r>
            </w:hyperlink>
          </w:p>
        </w:tc>
        <w:tc>
          <w:tcPr>
            <w:tcW w:w="1109" w:type="pct"/>
            <w:shd w:val="clear" w:color="auto" w:fill="auto"/>
            <w:vAlign w:val="center"/>
          </w:tcPr>
          <w:p w:rsidR="006D392E" w:rsidRPr="00376ECE" w:rsidRDefault="006D392E" w:rsidP="00376ECE">
            <w:pPr>
              <w:spacing w:before="0" w:after="0"/>
              <w:jc w:val="left"/>
              <w:rPr>
                <w:rFonts w:ascii="Arial Narrow" w:hAnsi="Arial Narrow"/>
                <w:sz w:val="18"/>
                <w:szCs w:val="18"/>
                <w:lang w:bidi="ar-JO"/>
              </w:rPr>
            </w:pPr>
            <w:r w:rsidRPr="00376ECE">
              <w:rPr>
                <w:rFonts w:ascii="Arial Narrow" w:hAnsi="Arial Narrow"/>
                <w:sz w:val="18"/>
                <w:szCs w:val="18"/>
              </w:rPr>
              <w:t>Research, seminars on society, Development, Politics, Library</w:t>
            </w:r>
          </w:p>
        </w:tc>
      </w:tr>
      <w:tr w:rsidR="006D392E" w:rsidRPr="00376ECE" w:rsidTr="00043271">
        <w:trPr>
          <w:trHeight w:val="527"/>
        </w:trPr>
        <w:tc>
          <w:tcPr>
            <w:tcW w:w="1156" w:type="pct"/>
            <w:shd w:val="clear" w:color="auto" w:fill="auto"/>
            <w:vAlign w:val="center"/>
          </w:tcPr>
          <w:p w:rsidR="006D392E" w:rsidRPr="00376ECE" w:rsidRDefault="006D392E" w:rsidP="00376ECE">
            <w:pPr>
              <w:spacing w:before="0" w:after="0"/>
              <w:jc w:val="left"/>
              <w:rPr>
                <w:rFonts w:ascii="Arial Narrow" w:hAnsi="Arial Narrow"/>
                <w:sz w:val="18"/>
                <w:szCs w:val="18"/>
                <w:lang w:bidi="ar-JO"/>
              </w:rPr>
            </w:pPr>
            <w:r w:rsidRPr="00376ECE">
              <w:rPr>
                <w:rFonts w:ascii="Arial Narrow" w:hAnsi="Arial Narrow"/>
                <w:sz w:val="18"/>
                <w:szCs w:val="18"/>
                <w:lang w:bidi="ar-JO"/>
              </w:rPr>
              <w:t>Dalia Association</w:t>
            </w:r>
          </w:p>
        </w:tc>
        <w:tc>
          <w:tcPr>
            <w:tcW w:w="730" w:type="pct"/>
            <w:shd w:val="clear" w:color="auto" w:fill="auto"/>
            <w:vAlign w:val="center"/>
          </w:tcPr>
          <w:p w:rsidR="006D392E" w:rsidRPr="00376ECE" w:rsidRDefault="006D392E" w:rsidP="00376ECE">
            <w:pPr>
              <w:spacing w:before="0" w:after="0"/>
              <w:jc w:val="left"/>
              <w:rPr>
                <w:rFonts w:ascii="Arial Narrow" w:hAnsi="Arial Narrow"/>
                <w:sz w:val="18"/>
                <w:szCs w:val="18"/>
                <w:lang w:bidi="ar-JO"/>
              </w:rPr>
            </w:pPr>
            <w:proofErr w:type="spellStart"/>
            <w:r w:rsidRPr="00376ECE">
              <w:rPr>
                <w:rFonts w:ascii="Arial Narrow" w:hAnsi="Arial Narrow"/>
                <w:sz w:val="18"/>
                <w:szCs w:val="18"/>
                <w:lang w:bidi="ar-JO"/>
              </w:rPr>
              <w:t>Dr.Sa’idaMousa</w:t>
            </w:r>
            <w:proofErr w:type="spellEnd"/>
          </w:p>
        </w:tc>
        <w:tc>
          <w:tcPr>
            <w:tcW w:w="783" w:type="pct"/>
            <w:shd w:val="clear" w:color="auto" w:fill="auto"/>
            <w:vAlign w:val="center"/>
          </w:tcPr>
          <w:p w:rsidR="006D392E" w:rsidRPr="00376ECE" w:rsidRDefault="006D392E" w:rsidP="00376ECE">
            <w:pPr>
              <w:spacing w:before="0" w:after="0"/>
              <w:jc w:val="left"/>
              <w:rPr>
                <w:rFonts w:ascii="Arial Narrow" w:hAnsi="Arial Narrow"/>
                <w:sz w:val="18"/>
                <w:szCs w:val="18"/>
                <w:lang w:bidi="ar-JO"/>
              </w:rPr>
            </w:pPr>
            <w:r w:rsidRPr="00376ECE">
              <w:rPr>
                <w:rFonts w:ascii="Arial Narrow" w:hAnsi="Arial Narrow"/>
                <w:sz w:val="18"/>
                <w:szCs w:val="18"/>
                <w:lang w:bidi="ar-JO"/>
              </w:rPr>
              <w:t>02-2989121/0599734357</w:t>
            </w:r>
          </w:p>
        </w:tc>
        <w:tc>
          <w:tcPr>
            <w:tcW w:w="1222" w:type="pct"/>
            <w:shd w:val="clear" w:color="auto" w:fill="auto"/>
            <w:vAlign w:val="center"/>
          </w:tcPr>
          <w:p w:rsidR="006D392E" w:rsidRPr="00376ECE" w:rsidRDefault="00A43E18" w:rsidP="00376ECE">
            <w:pPr>
              <w:spacing w:before="0" w:after="0"/>
              <w:jc w:val="left"/>
              <w:rPr>
                <w:rFonts w:ascii="Arial Narrow" w:hAnsi="Arial Narrow"/>
                <w:sz w:val="18"/>
                <w:szCs w:val="18"/>
              </w:rPr>
            </w:pPr>
            <w:hyperlink r:id="rId85" w:history="1">
              <w:r w:rsidR="006D392E" w:rsidRPr="00376ECE">
                <w:rPr>
                  <w:rStyle w:val="Collegamentoipertestuale"/>
                  <w:rFonts w:ascii="Arial Narrow" w:hAnsi="Arial Narrow"/>
                  <w:sz w:val="18"/>
                  <w:szCs w:val="18"/>
                </w:rPr>
                <w:t>info@dalia.ps</w:t>
              </w:r>
            </w:hyperlink>
          </w:p>
        </w:tc>
        <w:tc>
          <w:tcPr>
            <w:tcW w:w="1109" w:type="pct"/>
            <w:shd w:val="clear" w:color="auto" w:fill="auto"/>
            <w:vAlign w:val="center"/>
          </w:tcPr>
          <w:p w:rsidR="006D392E" w:rsidRPr="00376ECE" w:rsidRDefault="006D392E" w:rsidP="00376ECE">
            <w:pPr>
              <w:spacing w:before="0" w:after="0"/>
              <w:jc w:val="left"/>
              <w:rPr>
                <w:rFonts w:ascii="Arial Narrow" w:hAnsi="Arial Narrow"/>
                <w:sz w:val="18"/>
                <w:szCs w:val="18"/>
                <w:lang w:bidi="ar-JO"/>
              </w:rPr>
            </w:pPr>
            <w:r w:rsidRPr="00376ECE">
              <w:rPr>
                <w:rFonts w:ascii="Arial Narrow" w:hAnsi="Arial Narrow"/>
                <w:sz w:val="18"/>
                <w:szCs w:val="18"/>
              </w:rPr>
              <w:t>International aid; Diaspora and other resources; sustainable development agenda</w:t>
            </w:r>
          </w:p>
        </w:tc>
      </w:tr>
      <w:tr w:rsidR="006D392E" w:rsidRPr="00376ECE" w:rsidTr="00043271">
        <w:trPr>
          <w:trHeight w:val="528"/>
        </w:trPr>
        <w:tc>
          <w:tcPr>
            <w:tcW w:w="1156" w:type="pct"/>
            <w:shd w:val="clear" w:color="auto" w:fill="auto"/>
            <w:vAlign w:val="center"/>
          </w:tcPr>
          <w:p w:rsidR="006D392E" w:rsidRPr="00376ECE" w:rsidRDefault="006D392E" w:rsidP="00376ECE">
            <w:pPr>
              <w:spacing w:before="0" w:after="0"/>
              <w:jc w:val="left"/>
              <w:rPr>
                <w:rFonts w:ascii="Arial Narrow" w:hAnsi="Arial Narrow"/>
                <w:sz w:val="18"/>
                <w:szCs w:val="18"/>
                <w:lang w:bidi="ar-JO"/>
              </w:rPr>
            </w:pPr>
            <w:r w:rsidRPr="00376ECE">
              <w:rPr>
                <w:rFonts w:ascii="Arial Narrow" w:hAnsi="Arial Narrow"/>
                <w:sz w:val="18"/>
                <w:szCs w:val="18"/>
                <w:lang w:bidi="ar-JO"/>
              </w:rPr>
              <w:t>Grassroots Al-</w:t>
            </w:r>
            <w:proofErr w:type="spellStart"/>
            <w:r w:rsidRPr="00376ECE">
              <w:rPr>
                <w:rFonts w:ascii="Arial Narrow" w:hAnsi="Arial Narrow"/>
                <w:sz w:val="18"/>
                <w:szCs w:val="18"/>
                <w:lang w:bidi="ar-JO"/>
              </w:rPr>
              <w:t>Quds</w:t>
            </w:r>
            <w:proofErr w:type="spellEnd"/>
          </w:p>
        </w:tc>
        <w:tc>
          <w:tcPr>
            <w:tcW w:w="730" w:type="pct"/>
            <w:shd w:val="clear" w:color="auto" w:fill="auto"/>
            <w:vAlign w:val="center"/>
          </w:tcPr>
          <w:p w:rsidR="006D392E" w:rsidRPr="00376ECE" w:rsidRDefault="006D392E" w:rsidP="00376ECE">
            <w:pPr>
              <w:spacing w:before="0" w:after="0"/>
              <w:jc w:val="left"/>
              <w:rPr>
                <w:rFonts w:ascii="Arial Narrow" w:hAnsi="Arial Narrow"/>
                <w:sz w:val="18"/>
                <w:szCs w:val="18"/>
                <w:lang w:bidi="ar-JO"/>
              </w:rPr>
            </w:pPr>
            <w:r w:rsidRPr="00376ECE">
              <w:rPr>
                <w:rFonts w:ascii="Arial Narrow" w:hAnsi="Arial Narrow"/>
                <w:sz w:val="18"/>
                <w:szCs w:val="18"/>
                <w:lang w:bidi="ar-JO"/>
              </w:rPr>
              <w:t>Mona Hassan</w:t>
            </w:r>
          </w:p>
        </w:tc>
        <w:tc>
          <w:tcPr>
            <w:tcW w:w="783" w:type="pct"/>
            <w:shd w:val="clear" w:color="auto" w:fill="auto"/>
            <w:vAlign w:val="center"/>
          </w:tcPr>
          <w:p w:rsidR="006D392E" w:rsidRPr="00376ECE" w:rsidRDefault="006D392E" w:rsidP="00376ECE">
            <w:pPr>
              <w:spacing w:before="0" w:after="0"/>
              <w:jc w:val="left"/>
              <w:rPr>
                <w:rFonts w:ascii="Arial Narrow" w:hAnsi="Arial Narrow"/>
                <w:sz w:val="18"/>
                <w:szCs w:val="18"/>
                <w:lang w:bidi="ar-JO"/>
              </w:rPr>
            </w:pPr>
            <w:r w:rsidRPr="00376ECE">
              <w:rPr>
                <w:rFonts w:ascii="Arial Narrow" w:hAnsi="Arial Narrow"/>
                <w:sz w:val="18"/>
                <w:szCs w:val="18"/>
                <w:lang w:bidi="ar-JO"/>
              </w:rPr>
              <w:t>02-9665655</w:t>
            </w:r>
          </w:p>
        </w:tc>
        <w:tc>
          <w:tcPr>
            <w:tcW w:w="1222" w:type="pct"/>
            <w:shd w:val="clear" w:color="auto" w:fill="auto"/>
            <w:vAlign w:val="center"/>
          </w:tcPr>
          <w:p w:rsidR="006D392E" w:rsidRPr="00376ECE" w:rsidRDefault="00A43E18" w:rsidP="00376ECE">
            <w:pPr>
              <w:spacing w:before="0" w:after="0"/>
              <w:jc w:val="left"/>
              <w:rPr>
                <w:rFonts w:ascii="Arial Narrow" w:hAnsi="Arial Narrow"/>
                <w:spacing w:val="-2"/>
                <w:sz w:val="18"/>
                <w:szCs w:val="18"/>
              </w:rPr>
            </w:pPr>
            <w:hyperlink r:id="rId86" w:history="1">
              <w:r w:rsidR="006D392E" w:rsidRPr="00376ECE">
                <w:rPr>
                  <w:rStyle w:val="Collegamentoipertestuale"/>
                  <w:rFonts w:ascii="Arial Narrow" w:hAnsi="Arial Narrow"/>
                  <w:sz w:val="18"/>
                  <w:szCs w:val="18"/>
                </w:rPr>
                <w:t>info@grassrootjerusalem.org</w:t>
              </w:r>
            </w:hyperlink>
          </w:p>
        </w:tc>
        <w:tc>
          <w:tcPr>
            <w:tcW w:w="1109" w:type="pct"/>
            <w:shd w:val="clear" w:color="auto" w:fill="auto"/>
            <w:vAlign w:val="center"/>
          </w:tcPr>
          <w:p w:rsidR="006D392E" w:rsidRPr="00376ECE" w:rsidRDefault="006D392E" w:rsidP="00376ECE">
            <w:pPr>
              <w:spacing w:before="0" w:after="0"/>
              <w:jc w:val="left"/>
              <w:rPr>
                <w:rFonts w:ascii="Arial Narrow" w:hAnsi="Arial Narrow"/>
                <w:sz w:val="18"/>
                <w:szCs w:val="18"/>
                <w:lang w:bidi="ar-JO"/>
              </w:rPr>
            </w:pPr>
            <w:r w:rsidRPr="00376ECE">
              <w:rPr>
                <w:rFonts w:ascii="Arial Narrow" w:hAnsi="Arial Narrow"/>
                <w:spacing w:val="-2"/>
                <w:sz w:val="18"/>
                <w:szCs w:val="18"/>
              </w:rPr>
              <w:t>Legal Issues</w:t>
            </w:r>
          </w:p>
        </w:tc>
      </w:tr>
      <w:tr w:rsidR="006D392E" w:rsidRPr="00376ECE" w:rsidTr="00043271">
        <w:trPr>
          <w:trHeight w:val="350"/>
        </w:trPr>
        <w:tc>
          <w:tcPr>
            <w:tcW w:w="1156" w:type="pct"/>
            <w:shd w:val="clear" w:color="auto" w:fill="auto"/>
            <w:vAlign w:val="center"/>
          </w:tcPr>
          <w:p w:rsidR="006D392E" w:rsidRPr="00376ECE" w:rsidRDefault="006D392E" w:rsidP="00376ECE">
            <w:pPr>
              <w:spacing w:before="0" w:after="0"/>
              <w:jc w:val="left"/>
              <w:rPr>
                <w:rFonts w:ascii="Arial Narrow" w:hAnsi="Arial Narrow"/>
                <w:sz w:val="18"/>
                <w:szCs w:val="18"/>
                <w:lang w:bidi="ar-JO"/>
              </w:rPr>
            </w:pPr>
            <w:proofErr w:type="spellStart"/>
            <w:r w:rsidRPr="00376ECE">
              <w:rPr>
                <w:rFonts w:ascii="Arial Narrow" w:hAnsi="Arial Narrow"/>
                <w:sz w:val="18"/>
                <w:szCs w:val="18"/>
                <w:lang w:bidi="ar-JO"/>
              </w:rPr>
              <w:t>Husseini</w:t>
            </w:r>
            <w:proofErr w:type="spellEnd"/>
            <w:r w:rsidRPr="00376ECE">
              <w:rPr>
                <w:rFonts w:ascii="Arial Narrow" w:hAnsi="Arial Narrow"/>
                <w:sz w:val="18"/>
                <w:szCs w:val="18"/>
                <w:lang w:bidi="ar-JO"/>
              </w:rPr>
              <w:t xml:space="preserve"> Foundation</w:t>
            </w:r>
          </w:p>
        </w:tc>
        <w:tc>
          <w:tcPr>
            <w:tcW w:w="730" w:type="pct"/>
            <w:shd w:val="clear" w:color="auto" w:fill="auto"/>
            <w:vAlign w:val="center"/>
          </w:tcPr>
          <w:p w:rsidR="006D392E" w:rsidRPr="00376ECE" w:rsidRDefault="006D392E" w:rsidP="00376ECE">
            <w:pPr>
              <w:spacing w:before="0" w:after="0"/>
              <w:jc w:val="left"/>
              <w:rPr>
                <w:rFonts w:ascii="Arial Narrow" w:hAnsi="Arial Narrow"/>
                <w:sz w:val="18"/>
                <w:szCs w:val="18"/>
                <w:lang w:bidi="ar-JO"/>
              </w:rPr>
            </w:pPr>
            <w:r w:rsidRPr="00376ECE">
              <w:rPr>
                <w:rFonts w:ascii="Arial Narrow" w:hAnsi="Arial Narrow"/>
                <w:sz w:val="18"/>
                <w:szCs w:val="18"/>
                <w:lang w:bidi="ar-JO"/>
              </w:rPr>
              <w:t>Abdel-</w:t>
            </w:r>
            <w:proofErr w:type="spellStart"/>
            <w:r w:rsidRPr="00376ECE">
              <w:rPr>
                <w:rFonts w:ascii="Arial Narrow" w:hAnsi="Arial Narrow"/>
                <w:sz w:val="18"/>
                <w:szCs w:val="18"/>
                <w:lang w:bidi="ar-JO"/>
              </w:rPr>
              <w:t>Qader</w:t>
            </w:r>
            <w:proofErr w:type="spellEnd"/>
            <w:r w:rsidRPr="00376ECE">
              <w:rPr>
                <w:rFonts w:ascii="Arial Narrow" w:hAnsi="Arial Narrow"/>
                <w:sz w:val="18"/>
                <w:szCs w:val="18"/>
                <w:lang w:bidi="ar-JO"/>
              </w:rPr>
              <w:t xml:space="preserve"> </w:t>
            </w:r>
            <w:proofErr w:type="spellStart"/>
            <w:r w:rsidRPr="00376ECE">
              <w:rPr>
                <w:rFonts w:ascii="Arial Narrow" w:hAnsi="Arial Narrow"/>
                <w:sz w:val="18"/>
                <w:szCs w:val="18"/>
                <w:lang w:bidi="ar-JO"/>
              </w:rPr>
              <w:t>Husseini</w:t>
            </w:r>
            <w:proofErr w:type="spellEnd"/>
          </w:p>
        </w:tc>
        <w:tc>
          <w:tcPr>
            <w:tcW w:w="783" w:type="pct"/>
            <w:shd w:val="clear" w:color="auto" w:fill="auto"/>
            <w:vAlign w:val="center"/>
          </w:tcPr>
          <w:p w:rsidR="006D392E" w:rsidRPr="00376ECE" w:rsidRDefault="006D392E" w:rsidP="00376ECE">
            <w:pPr>
              <w:spacing w:before="0" w:after="0"/>
              <w:jc w:val="left"/>
              <w:rPr>
                <w:rFonts w:ascii="Arial Narrow" w:hAnsi="Arial Narrow"/>
                <w:sz w:val="18"/>
                <w:szCs w:val="18"/>
                <w:lang w:bidi="ar-JO"/>
              </w:rPr>
            </w:pPr>
            <w:r w:rsidRPr="00376ECE">
              <w:rPr>
                <w:rFonts w:ascii="Arial Narrow" w:hAnsi="Arial Narrow"/>
                <w:sz w:val="18"/>
                <w:szCs w:val="18"/>
                <w:lang w:bidi="ar-JO"/>
              </w:rPr>
              <w:t>054-561 9370</w:t>
            </w:r>
          </w:p>
        </w:tc>
        <w:tc>
          <w:tcPr>
            <w:tcW w:w="1222" w:type="pct"/>
            <w:shd w:val="clear" w:color="auto" w:fill="auto"/>
            <w:vAlign w:val="center"/>
          </w:tcPr>
          <w:p w:rsidR="006D392E" w:rsidRPr="00376ECE" w:rsidRDefault="00A43E18" w:rsidP="00376ECE">
            <w:pPr>
              <w:spacing w:before="0" w:after="0"/>
              <w:jc w:val="left"/>
              <w:rPr>
                <w:rFonts w:ascii="Arial Narrow" w:hAnsi="Arial Narrow"/>
                <w:sz w:val="18"/>
                <w:szCs w:val="18"/>
                <w:lang w:bidi="ar-JO"/>
              </w:rPr>
            </w:pPr>
            <w:hyperlink r:id="rId87" w:history="1">
              <w:r w:rsidR="006D392E" w:rsidRPr="00376ECE">
                <w:rPr>
                  <w:rStyle w:val="Collegamentoipertestuale"/>
                  <w:rFonts w:ascii="Arial Narrow" w:hAnsi="Arial Narrow"/>
                  <w:sz w:val="18"/>
                  <w:szCs w:val="18"/>
                  <w:lang w:bidi="ar-JO"/>
                </w:rPr>
                <w:t>abdalqaderhusseini@gmail.com</w:t>
              </w:r>
            </w:hyperlink>
          </w:p>
        </w:tc>
        <w:tc>
          <w:tcPr>
            <w:tcW w:w="1109" w:type="pct"/>
            <w:shd w:val="clear" w:color="auto" w:fill="auto"/>
            <w:vAlign w:val="center"/>
          </w:tcPr>
          <w:p w:rsidR="006D392E" w:rsidRPr="00376ECE" w:rsidRDefault="006D392E" w:rsidP="00376ECE">
            <w:pPr>
              <w:spacing w:before="0" w:after="0"/>
              <w:jc w:val="left"/>
              <w:rPr>
                <w:rFonts w:ascii="Arial Narrow" w:hAnsi="Arial Narrow"/>
                <w:sz w:val="18"/>
                <w:szCs w:val="18"/>
                <w:lang w:bidi="ar-JO"/>
              </w:rPr>
            </w:pPr>
            <w:r w:rsidRPr="00376ECE">
              <w:rPr>
                <w:rFonts w:ascii="Arial Narrow" w:hAnsi="Arial Narrow"/>
                <w:sz w:val="18"/>
                <w:szCs w:val="18"/>
                <w:lang w:bidi="ar-JO"/>
              </w:rPr>
              <w:t>Education</w:t>
            </w:r>
          </w:p>
        </w:tc>
      </w:tr>
      <w:tr w:rsidR="006D392E" w:rsidRPr="00376ECE" w:rsidTr="00043271">
        <w:trPr>
          <w:trHeight w:val="527"/>
        </w:trPr>
        <w:tc>
          <w:tcPr>
            <w:tcW w:w="1156" w:type="pct"/>
            <w:shd w:val="clear" w:color="auto" w:fill="auto"/>
            <w:vAlign w:val="center"/>
          </w:tcPr>
          <w:p w:rsidR="006D392E" w:rsidRPr="00376ECE" w:rsidRDefault="006D392E" w:rsidP="00376ECE">
            <w:pPr>
              <w:spacing w:before="0" w:after="0"/>
              <w:jc w:val="left"/>
              <w:rPr>
                <w:rFonts w:ascii="Arial Narrow" w:hAnsi="Arial Narrow"/>
                <w:sz w:val="18"/>
                <w:szCs w:val="18"/>
                <w:lang w:val="en-GB"/>
              </w:rPr>
            </w:pPr>
            <w:r w:rsidRPr="00376ECE">
              <w:rPr>
                <w:rFonts w:ascii="Arial Narrow" w:hAnsi="Arial Narrow"/>
                <w:color w:val="444444"/>
                <w:sz w:val="18"/>
                <w:szCs w:val="18"/>
                <w:shd w:val="clear" w:color="auto" w:fill="FFFFFF"/>
                <w:lang w:val="en-GB"/>
              </w:rPr>
              <w:t>International Peace and Cooperation Centre</w:t>
            </w:r>
          </w:p>
          <w:p w:rsidR="006D392E" w:rsidRPr="00376ECE" w:rsidRDefault="006D392E" w:rsidP="00376ECE">
            <w:pPr>
              <w:spacing w:before="0" w:after="0"/>
              <w:jc w:val="left"/>
              <w:rPr>
                <w:rFonts w:ascii="Arial Narrow" w:hAnsi="Arial Narrow"/>
                <w:sz w:val="18"/>
                <w:szCs w:val="18"/>
                <w:lang w:bidi="ar-JO"/>
              </w:rPr>
            </w:pPr>
            <w:r w:rsidRPr="00376ECE">
              <w:rPr>
                <w:rFonts w:ascii="Arial Narrow" w:hAnsi="Arial Narrow"/>
                <w:sz w:val="18"/>
                <w:szCs w:val="18"/>
                <w:lang w:bidi="ar-JO"/>
              </w:rPr>
              <w:t xml:space="preserve"> (IPCC)</w:t>
            </w:r>
          </w:p>
        </w:tc>
        <w:tc>
          <w:tcPr>
            <w:tcW w:w="730" w:type="pct"/>
            <w:shd w:val="clear" w:color="auto" w:fill="auto"/>
            <w:vAlign w:val="center"/>
          </w:tcPr>
          <w:p w:rsidR="006D392E" w:rsidRPr="00376ECE" w:rsidRDefault="006D392E" w:rsidP="00376ECE">
            <w:pPr>
              <w:spacing w:before="0" w:after="0"/>
              <w:jc w:val="left"/>
              <w:rPr>
                <w:rFonts w:ascii="Arial Narrow" w:hAnsi="Arial Narrow"/>
                <w:sz w:val="18"/>
                <w:szCs w:val="18"/>
                <w:lang w:bidi="ar-JO"/>
              </w:rPr>
            </w:pPr>
            <w:proofErr w:type="spellStart"/>
            <w:r w:rsidRPr="00376ECE">
              <w:rPr>
                <w:rFonts w:ascii="Arial Narrow" w:hAnsi="Arial Narrow"/>
                <w:sz w:val="18"/>
                <w:szCs w:val="18"/>
                <w:lang w:bidi="ar-JO"/>
              </w:rPr>
              <w:t>Adeeb</w:t>
            </w:r>
            <w:proofErr w:type="spellEnd"/>
            <w:r w:rsidRPr="00376ECE">
              <w:rPr>
                <w:rFonts w:ascii="Arial Narrow" w:hAnsi="Arial Narrow"/>
                <w:sz w:val="18"/>
                <w:szCs w:val="18"/>
                <w:lang w:bidi="ar-JO"/>
              </w:rPr>
              <w:t xml:space="preserve"> Salem</w:t>
            </w:r>
          </w:p>
        </w:tc>
        <w:tc>
          <w:tcPr>
            <w:tcW w:w="783" w:type="pct"/>
            <w:shd w:val="clear" w:color="auto" w:fill="auto"/>
            <w:vAlign w:val="center"/>
          </w:tcPr>
          <w:p w:rsidR="006D392E" w:rsidRPr="00376ECE" w:rsidRDefault="006D392E" w:rsidP="00376ECE">
            <w:pPr>
              <w:spacing w:before="0" w:after="0"/>
              <w:jc w:val="left"/>
              <w:rPr>
                <w:rFonts w:ascii="Arial Narrow" w:hAnsi="Arial Narrow"/>
                <w:sz w:val="18"/>
                <w:szCs w:val="18"/>
                <w:lang w:bidi="ar-JO"/>
              </w:rPr>
            </w:pPr>
            <w:r w:rsidRPr="00376ECE">
              <w:rPr>
                <w:rFonts w:ascii="Arial Narrow" w:hAnsi="Arial Narrow"/>
                <w:sz w:val="18"/>
                <w:szCs w:val="18"/>
                <w:lang w:bidi="ar-JO"/>
              </w:rPr>
              <w:t>0546-880 358</w:t>
            </w:r>
          </w:p>
        </w:tc>
        <w:tc>
          <w:tcPr>
            <w:tcW w:w="1222" w:type="pct"/>
            <w:shd w:val="clear" w:color="auto" w:fill="auto"/>
            <w:vAlign w:val="center"/>
          </w:tcPr>
          <w:p w:rsidR="006D392E" w:rsidRPr="00376ECE" w:rsidRDefault="00A43E18" w:rsidP="00376ECE">
            <w:pPr>
              <w:spacing w:before="0" w:after="0"/>
              <w:jc w:val="left"/>
              <w:rPr>
                <w:rFonts w:ascii="Arial Narrow" w:hAnsi="Arial Narrow"/>
                <w:sz w:val="18"/>
                <w:szCs w:val="18"/>
                <w:lang w:bidi="ar-JO"/>
              </w:rPr>
            </w:pPr>
            <w:hyperlink r:id="rId88" w:history="1">
              <w:r w:rsidR="006D392E" w:rsidRPr="00376ECE">
                <w:rPr>
                  <w:rStyle w:val="Collegamentoipertestuale"/>
                  <w:rFonts w:ascii="Arial Narrow" w:hAnsi="Arial Narrow"/>
                  <w:sz w:val="18"/>
                  <w:szCs w:val="18"/>
                  <w:lang w:bidi="ar-JO"/>
                </w:rPr>
                <w:t>asaleem.ipcc@gmail.com</w:t>
              </w:r>
            </w:hyperlink>
          </w:p>
        </w:tc>
        <w:tc>
          <w:tcPr>
            <w:tcW w:w="1109" w:type="pct"/>
            <w:shd w:val="clear" w:color="auto" w:fill="auto"/>
            <w:vAlign w:val="center"/>
          </w:tcPr>
          <w:p w:rsidR="006D392E" w:rsidRPr="00376ECE" w:rsidRDefault="006D392E" w:rsidP="00376ECE">
            <w:pPr>
              <w:spacing w:before="0" w:after="0"/>
              <w:jc w:val="left"/>
              <w:rPr>
                <w:rFonts w:ascii="Arial Narrow" w:hAnsi="Arial Narrow"/>
                <w:sz w:val="18"/>
                <w:szCs w:val="18"/>
                <w:lang w:bidi="ar-JO"/>
              </w:rPr>
            </w:pPr>
            <w:r w:rsidRPr="00376ECE">
              <w:rPr>
                <w:rFonts w:ascii="Arial Narrow" w:hAnsi="Arial Narrow"/>
                <w:sz w:val="18"/>
                <w:szCs w:val="18"/>
                <w:lang w:bidi="ar-JO"/>
              </w:rPr>
              <w:t xml:space="preserve">Applied research centre and Community development. </w:t>
            </w:r>
          </w:p>
        </w:tc>
      </w:tr>
      <w:tr w:rsidR="006D392E" w:rsidRPr="00376ECE" w:rsidTr="00043271">
        <w:trPr>
          <w:trHeight w:val="350"/>
        </w:trPr>
        <w:tc>
          <w:tcPr>
            <w:tcW w:w="1156" w:type="pct"/>
            <w:shd w:val="clear" w:color="auto" w:fill="auto"/>
            <w:vAlign w:val="center"/>
          </w:tcPr>
          <w:p w:rsidR="006D392E" w:rsidRPr="00376ECE" w:rsidRDefault="006D392E" w:rsidP="00376ECE">
            <w:pPr>
              <w:spacing w:before="0" w:after="0"/>
              <w:jc w:val="left"/>
              <w:rPr>
                <w:rFonts w:ascii="Arial Narrow" w:hAnsi="Arial Narrow"/>
                <w:sz w:val="18"/>
                <w:szCs w:val="18"/>
                <w:lang w:bidi="ar-JO"/>
              </w:rPr>
            </w:pPr>
            <w:r w:rsidRPr="00376ECE">
              <w:rPr>
                <w:rFonts w:ascii="Arial Narrow" w:hAnsi="Arial Narrow"/>
                <w:sz w:val="18"/>
                <w:szCs w:val="18"/>
                <w:lang w:bidi="ar-JO"/>
              </w:rPr>
              <w:t>Jerusalem center for social &amp; economic rights</w:t>
            </w:r>
          </w:p>
        </w:tc>
        <w:tc>
          <w:tcPr>
            <w:tcW w:w="730" w:type="pct"/>
            <w:shd w:val="clear" w:color="auto" w:fill="auto"/>
            <w:vAlign w:val="center"/>
          </w:tcPr>
          <w:p w:rsidR="006D392E" w:rsidRPr="00376ECE" w:rsidRDefault="006D392E" w:rsidP="00376ECE">
            <w:pPr>
              <w:spacing w:before="0" w:after="0"/>
              <w:jc w:val="left"/>
              <w:rPr>
                <w:rFonts w:ascii="Arial Narrow" w:hAnsi="Arial Narrow"/>
                <w:sz w:val="18"/>
                <w:szCs w:val="18"/>
                <w:lang w:bidi="ar-JO"/>
              </w:rPr>
            </w:pPr>
            <w:proofErr w:type="spellStart"/>
            <w:r w:rsidRPr="00376ECE">
              <w:rPr>
                <w:rFonts w:ascii="Arial Narrow" w:hAnsi="Arial Narrow"/>
                <w:sz w:val="18"/>
                <w:szCs w:val="18"/>
                <w:lang w:bidi="ar-JO"/>
              </w:rPr>
              <w:t>Ziad</w:t>
            </w:r>
            <w:proofErr w:type="spellEnd"/>
            <w:r w:rsidRPr="00376ECE">
              <w:rPr>
                <w:rFonts w:ascii="Arial Narrow" w:hAnsi="Arial Narrow"/>
                <w:sz w:val="18"/>
                <w:szCs w:val="18"/>
                <w:lang w:bidi="ar-JO"/>
              </w:rPr>
              <w:t xml:space="preserve"> </w:t>
            </w:r>
            <w:proofErr w:type="spellStart"/>
            <w:r w:rsidRPr="00376ECE">
              <w:rPr>
                <w:rFonts w:ascii="Arial Narrow" w:hAnsi="Arial Narrow"/>
                <w:sz w:val="18"/>
                <w:szCs w:val="18"/>
                <w:lang w:bidi="ar-JO"/>
              </w:rPr>
              <w:t>Hammouri</w:t>
            </w:r>
            <w:proofErr w:type="spellEnd"/>
          </w:p>
        </w:tc>
        <w:tc>
          <w:tcPr>
            <w:tcW w:w="783" w:type="pct"/>
            <w:shd w:val="clear" w:color="auto" w:fill="auto"/>
            <w:vAlign w:val="center"/>
          </w:tcPr>
          <w:p w:rsidR="006D392E" w:rsidRPr="00376ECE" w:rsidRDefault="006D392E" w:rsidP="00376ECE">
            <w:pPr>
              <w:spacing w:before="0" w:after="0"/>
              <w:jc w:val="left"/>
              <w:rPr>
                <w:rFonts w:ascii="Arial Narrow" w:hAnsi="Arial Narrow"/>
                <w:sz w:val="18"/>
                <w:szCs w:val="18"/>
                <w:lang w:bidi="ar-JO"/>
              </w:rPr>
            </w:pPr>
            <w:r w:rsidRPr="00376ECE">
              <w:rPr>
                <w:rFonts w:ascii="Arial Narrow" w:hAnsi="Arial Narrow"/>
                <w:sz w:val="18"/>
                <w:szCs w:val="18"/>
                <w:lang w:bidi="ar-JO"/>
              </w:rPr>
              <w:t>0545-949 242</w:t>
            </w:r>
          </w:p>
        </w:tc>
        <w:tc>
          <w:tcPr>
            <w:tcW w:w="1222" w:type="pct"/>
            <w:shd w:val="clear" w:color="auto" w:fill="auto"/>
            <w:vAlign w:val="center"/>
          </w:tcPr>
          <w:p w:rsidR="006D392E" w:rsidRPr="00376ECE" w:rsidRDefault="00A43E18" w:rsidP="00376ECE">
            <w:pPr>
              <w:spacing w:before="0" w:after="0"/>
              <w:jc w:val="left"/>
              <w:rPr>
                <w:rFonts w:ascii="Arial Narrow" w:hAnsi="Arial Narrow"/>
                <w:sz w:val="18"/>
                <w:szCs w:val="18"/>
                <w:lang w:bidi="ar-JO"/>
              </w:rPr>
            </w:pPr>
            <w:hyperlink r:id="rId89" w:history="1">
              <w:r w:rsidR="006D392E" w:rsidRPr="00376ECE">
                <w:rPr>
                  <w:rStyle w:val="Collegamentoipertestuale"/>
                  <w:rFonts w:ascii="Arial Narrow" w:hAnsi="Arial Narrow"/>
                  <w:sz w:val="18"/>
                  <w:szCs w:val="18"/>
                  <w:lang w:bidi="ar-JO"/>
                </w:rPr>
                <w:t>info@jcser.org</w:t>
              </w:r>
            </w:hyperlink>
          </w:p>
        </w:tc>
        <w:tc>
          <w:tcPr>
            <w:tcW w:w="1109" w:type="pct"/>
            <w:shd w:val="clear" w:color="auto" w:fill="auto"/>
            <w:vAlign w:val="center"/>
          </w:tcPr>
          <w:p w:rsidR="006D392E" w:rsidRPr="00376ECE" w:rsidRDefault="006D392E" w:rsidP="00376ECE">
            <w:pPr>
              <w:spacing w:before="0" w:after="0"/>
              <w:jc w:val="left"/>
              <w:rPr>
                <w:rFonts w:ascii="Arial Narrow" w:hAnsi="Arial Narrow"/>
                <w:sz w:val="18"/>
                <w:szCs w:val="18"/>
                <w:lang w:bidi="ar-JO"/>
              </w:rPr>
            </w:pPr>
            <w:r w:rsidRPr="00376ECE">
              <w:rPr>
                <w:rFonts w:ascii="Arial Narrow" w:hAnsi="Arial Narrow"/>
                <w:sz w:val="18"/>
                <w:szCs w:val="18"/>
                <w:lang w:bidi="ar-JO"/>
              </w:rPr>
              <w:t>Society and Economy</w:t>
            </w:r>
          </w:p>
        </w:tc>
      </w:tr>
      <w:tr w:rsidR="006D392E" w:rsidRPr="00376ECE" w:rsidTr="00043271">
        <w:trPr>
          <w:trHeight w:val="527"/>
        </w:trPr>
        <w:tc>
          <w:tcPr>
            <w:tcW w:w="1156" w:type="pct"/>
            <w:shd w:val="clear" w:color="auto" w:fill="auto"/>
            <w:vAlign w:val="center"/>
          </w:tcPr>
          <w:p w:rsidR="006D392E" w:rsidRPr="00376ECE" w:rsidRDefault="006D392E" w:rsidP="00376ECE">
            <w:pPr>
              <w:spacing w:before="0" w:after="0"/>
              <w:jc w:val="left"/>
              <w:rPr>
                <w:rFonts w:ascii="Arial Narrow" w:hAnsi="Arial Narrow"/>
                <w:sz w:val="18"/>
                <w:szCs w:val="18"/>
                <w:lang w:bidi="ar-JO"/>
              </w:rPr>
            </w:pPr>
            <w:r w:rsidRPr="00376ECE">
              <w:rPr>
                <w:rFonts w:ascii="Arial Narrow" w:hAnsi="Arial Narrow"/>
                <w:sz w:val="18"/>
                <w:szCs w:val="18"/>
                <w:lang w:bidi="ar-JO"/>
              </w:rPr>
              <w:t>Jerusalem Center for Social &amp; Economic Rights (JCSER)</w:t>
            </w:r>
          </w:p>
        </w:tc>
        <w:tc>
          <w:tcPr>
            <w:tcW w:w="730" w:type="pct"/>
            <w:shd w:val="clear" w:color="auto" w:fill="auto"/>
            <w:vAlign w:val="center"/>
          </w:tcPr>
          <w:p w:rsidR="006D392E" w:rsidRPr="00376ECE" w:rsidRDefault="006D392E" w:rsidP="00376ECE">
            <w:pPr>
              <w:spacing w:before="0" w:after="0"/>
              <w:jc w:val="left"/>
              <w:rPr>
                <w:rFonts w:ascii="Arial Narrow" w:hAnsi="Arial Narrow"/>
                <w:sz w:val="18"/>
                <w:szCs w:val="18"/>
                <w:lang w:bidi="ar-JO"/>
              </w:rPr>
            </w:pPr>
            <w:proofErr w:type="spellStart"/>
            <w:r w:rsidRPr="00376ECE">
              <w:rPr>
                <w:rFonts w:ascii="Arial Narrow" w:hAnsi="Arial Narrow"/>
                <w:sz w:val="18"/>
                <w:szCs w:val="18"/>
                <w:lang w:bidi="ar-JO"/>
              </w:rPr>
              <w:t>Ziad</w:t>
            </w:r>
            <w:proofErr w:type="spellEnd"/>
            <w:r w:rsidRPr="00376ECE">
              <w:rPr>
                <w:rFonts w:ascii="Arial Narrow" w:hAnsi="Arial Narrow"/>
                <w:sz w:val="18"/>
                <w:szCs w:val="18"/>
                <w:lang w:bidi="ar-JO"/>
              </w:rPr>
              <w:t xml:space="preserve"> Al-</w:t>
            </w:r>
            <w:proofErr w:type="spellStart"/>
            <w:r w:rsidRPr="00376ECE">
              <w:rPr>
                <w:rFonts w:ascii="Arial Narrow" w:hAnsi="Arial Narrow"/>
                <w:sz w:val="18"/>
                <w:szCs w:val="18"/>
                <w:lang w:bidi="ar-JO"/>
              </w:rPr>
              <w:t>Hammoury</w:t>
            </w:r>
            <w:proofErr w:type="spellEnd"/>
          </w:p>
        </w:tc>
        <w:tc>
          <w:tcPr>
            <w:tcW w:w="783" w:type="pct"/>
            <w:shd w:val="clear" w:color="auto" w:fill="auto"/>
            <w:vAlign w:val="center"/>
          </w:tcPr>
          <w:p w:rsidR="006D392E" w:rsidRPr="00376ECE" w:rsidRDefault="006D392E" w:rsidP="00376ECE">
            <w:pPr>
              <w:spacing w:before="0" w:after="0"/>
              <w:jc w:val="left"/>
              <w:rPr>
                <w:rFonts w:ascii="Arial Narrow" w:hAnsi="Arial Narrow"/>
                <w:sz w:val="18"/>
                <w:szCs w:val="18"/>
                <w:lang w:bidi="ar-JO"/>
              </w:rPr>
            </w:pPr>
            <w:r w:rsidRPr="00376ECE">
              <w:rPr>
                <w:rFonts w:ascii="Arial Narrow" w:hAnsi="Arial Narrow"/>
                <w:sz w:val="18"/>
                <w:szCs w:val="18"/>
                <w:lang w:bidi="ar-JO"/>
              </w:rPr>
              <w:t>02-6271776/5446</w:t>
            </w:r>
          </w:p>
        </w:tc>
        <w:tc>
          <w:tcPr>
            <w:tcW w:w="1222" w:type="pct"/>
            <w:shd w:val="clear" w:color="auto" w:fill="auto"/>
            <w:vAlign w:val="center"/>
          </w:tcPr>
          <w:p w:rsidR="006D392E" w:rsidRPr="00376ECE" w:rsidRDefault="00A43E18" w:rsidP="00376ECE">
            <w:pPr>
              <w:spacing w:before="0" w:after="0"/>
              <w:jc w:val="left"/>
              <w:rPr>
                <w:rFonts w:ascii="Arial Narrow" w:hAnsi="Arial Narrow"/>
                <w:spacing w:val="-2"/>
                <w:sz w:val="18"/>
                <w:szCs w:val="18"/>
              </w:rPr>
            </w:pPr>
            <w:hyperlink r:id="rId90" w:history="1">
              <w:r w:rsidR="006D392E" w:rsidRPr="00376ECE">
                <w:rPr>
                  <w:rStyle w:val="Collegamentoipertestuale"/>
                  <w:rFonts w:ascii="Arial Narrow" w:hAnsi="Arial Narrow"/>
                  <w:sz w:val="18"/>
                  <w:szCs w:val="18"/>
                </w:rPr>
                <w:t>info@jcser.org</w:t>
              </w:r>
            </w:hyperlink>
          </w:p>
        </w:tc>
        <w:tc>
          <w:tcPr>
            <w:tcW w:w="1109" w:type="pct"/>
            <w:shd w:val="clear" w:color="auto" w:fill="auto"/>
            <w:vAlign w:val="center"/>
          </w:tcPr>
          <w:p w:rsidR="006D392E" w:rsidRPr="00376ECE" w:rsidRDefault="006D392E" w:rsidP="00376ECE">
            <w:pPr>
              <w:spacing w:before="0" w:after="0"/>
              <w:jc w:val="left"/>
              <w:rPr>
                <w:rFonts w:ascii="Arial Narrow" w:hAnsi="Arial Narrow"/>
                <w:sz w:val="18"/>
                <w:szCs w:val="18"/>
                <w:lang w:bidi="ar-JO"/>
              </w:rPr>
            </w:pPr>
            <w:r w:rsidRPr="00376ECE">
              <w:rPr>
                <w:rFonts w:ascii="Arial Narrow" w:hAnsi="Arial Narrow"/>
                <w:spacing w:val="-2"/>
                <w:sz w:val="18"/>
                <w:szCs w:val="18"/>
              </w:rPr>
              <w:t xml:space="preserve">Legal aid &amp; research on social &amp; economic rights in Jerusalem </w:t>
            </w:r>
          </w:p>
        </w:tc>
      </w:tr>
      <w:tr w:rsidR="006D392E" w:rsidRPr="00376ECE" w:rsidTr="00043271">
        <w:trPr>
          <w:trHeight w:val="372"/>
        </w:trPr>
        <w:tc>
          <w:tcPr>
            <w:tcW w:w="1156" w:type="pct"/>
            <w:shd w:val="clear" w:color="auto" w:fill="auto"/>
            <w:vAlign w:val="center"/>
          </w:tcPr>
          <w:p w:rsidR="006D392E" w:rsidRPr="00376ECE" w:rsidRDefault="006D392E" w:rsidP="00376ECE">
            <w:pPr>
              <w:spacing w:before="0" w:after="0"/>
              <w:jc w:val="left"/>
              <w:rPr>
                <w:rFonts w:ascii="Arial Narrow" w:hAnsi="Arial Narrow"/>
                <w:sz w:val="18"/>
                <w:szCs w:val="18"/>
                <w:lang w:bidi="ar-JO"/>
              </w:rPr>
            </w:pPr>
            <w:r w:rsidRPr="00376ECE">
              <w:rPr>
                <w:rFonts w:ascii="Arial Narrow" w:hAnsi="Arial Narrow"/>
                <w:sz w:val="18"/>
                <w:szCs w:val="18"/>
                <w:lang w:bidi="ar-JO"/>
              </w:rPr>
              <w:t>Jerusalem Chamber of Commerce</w:t>
            </w:r>
          </w:p>
        </w:tc>
        <w:tc>
          <w:tcPr>
            <w:tcW w:w="730" w:type="pct"/>
            <w:shd w:val="clear" w:color="auto" w:fill="auto"/>
            <w:vAlign w:val="center"/>
          </w:tcPr>
          <w:p w:rsidR="006D392E" w:rsidRPr="00376ECE" w:rsidRDefault="006D392E" w:rsidP="00376ECE">
            <w:pPr>
              <w:spacing w:before="0" w:after="0"/>
              <w:jc w:val="left"/>
              <w:rPr>
                <w:rFonts w:ascii="Arial Narrow" w:hAnsi="Arial Narrow"/>
                <w:sz w:val="18"/>
                <w:szCs w:val="18"/>
                <w:lang w:bidi="ar-JO"/>
              </w:rPr>
            </w:pPr>
            <w:proofErr w:type="spellStart"/>
            <w:r w:rsidRPr="00376ECE">
              <w:rPr>
                <w:rFonts w:ascii="Arial Narrow" w:hAnsi="Arial Narrow"/>
                <w:sz w:val="18"/>
                <w:szCs w:val="18"/>
                <w:lang w:bidi="ar-JO"/>
              </w:rPr>
              <w:t>Azzam</w:t>
            </w:r>
            <w:proofErr w:type="spellEnd"/>
            <w:r w:rsidRPr="00376ECE">
              <w:rPr>
                <w:rFonts w:ascii="Arial Narrow" w:hAnsi="Arial Narrow"/>
                <w:sz w:val="18"/>
                <w:szCs w:val="18"/>
                <w:lang w:bidi="ar-JO"/>
              </w:rPr>
              <w:t xml:space="preserve"> Abu-</w:t>
            </w:r>
            <w:proofErr w:type="spellStart"/>
            <w:r w:rsidRPr="00376ECE">
              <w:rPr>
                <w:rFonts w:ascii="Arial Narrow" w:hAnsi="Arial Narrow"/>
                <w:sz w:val="18"/>
                <w:szCs w:val="18"/>
                <w:lang w:bidi="ar-JO"/>
              </w:rPr>
              <w:t>Sood</w:t>
            </w:r>
            <w:proofErr w:type="spellEnd"/>
          </w:p>
        </w:tc>
        <w:tc>
          <w:tcPr>
            <w:tcW w:w="783" w:type="pct"/>
            <w:shd w:val="clear" w:color="auto" w:fill="auto"/>
            <w:vAlign w:val="center"/>
          </w:tcPr>
          <w:p w:rsidR="006D392E" w:rsidRPr="00376ECE" w:rsidRDefault="006D392E" w:rsidP="00376ECE">
            <w:pPr>
              <w:spacing w:before="0" w:after="0"/>
              <w:jc w:val="left"/>
              <w:rPr>
                <w:rFonts w:ascii="Arial Narrow" w:hAnsi="Arial Narrow"/>
                <w:sz w:val="18"/>
                <w:szCs w:val="18"/>
                <w:lang w:bidi="ar-JO"/>
              </w:rPr>
            </w:pPr>
            <w:r w:rsidRPr="00376ECE">
              <w:rPr>
                <w:rFonts w:ascii="Arial Narrow" w:hAnsi="Arial Narrow"/>
                <w:sz w:val="18"/>
                <w:szCs w:val="18"/>
                <w:lang w:bidi="ar-JO"/>
              </w:rPr>
              <w:t>0505-695 808</w:t>
            </w:r>
          </w:p>
        </w:tc>
        <w:tc>
          <w:tcPr>
            <w:tcW w:w="1222" w:type="pct"/>
            <w:shd w:val="clear" w:color="auto" w:fill="auto"/>
            <w:vAlign w:val="center"/>
          </w:tcPr>
          <w:p w:rsidR="006D392E" w:rsidRPr="00376ECE" w:rsidRDefault="00A43E18" w:rsidP="00376ECE">
            <w:pPr>
              <w:spacing w:before="0" w:after="0"/>
              <w:jc w:val="left"/>
              <w:rPr>
                <w:rFonts w:ascii="Arial Narrow" w:hAnsi="Arial Narrow"/>
                <w:sz w:val="18"/>
                <w:szCs w:val="18"/>
                <w:lang w:bidi="ar-JO"/>
              </w:rPr>
            </w:pPr>
            <w:hyperlink r:id="rId91" w:history="1">
              <w:r w:rsidR="006D392E" w:rsidRPr="00376ECE">
                <w:rPr>
                  <w:rStyle w:val="Collegamentoipertestuale"/>
                  <w:rFonts w:ascii="Arial Narrow" w:hAnsi="Arial Narrow"/>
                  <w:sz w:val="18"/>
                  <w:szCs w:val="18"/>
                  <w:lang w:bidi="ar-JO"/>
                </w:rPr>
                <w:t>azzamco127@hotmail.com</w:t>
              </w:r>
            </w:hyperlink>
          </w:p>
        </w:tc>
        <w:tc>
          <w:tcPr>
            <w:tcW w:w="1109" w:type="pct"/>
            <w:shd w:val="clear" w:color="auto" w:fill="auto"/>
            <w:vAlign w:val="center"/>
          </w:tcPr>
          <w:p w:rsidR="006D392E" w:rsidRPr="00376ECE" w:rsidRDefault="006D392E" w:rsidP="00376ECE">
            <w:pPr>
              <w:spacing w:before="0" w:after="0"/>
              <w:jc w:val="left"/>
              <w:rPr>
                <w:rFonts w:ascii="Arial Narrow" w:hAnsi="Arial Narrow"/>
                <w:sz w:val="18"/>
                <w:szCs w:val="18"/>
                <w:lang w:bidi="ar-JO"/>
              </w:rPr>
            </w:pPr>
            <w:r w:rsidRPr="00376ECE">
              <w:rPr>
                <w:rFonts w:ascii="Arial Narrow" w:hAnsi="Arial Narrow"/>
                <w:sz w:val="18"/>
                <w:szCs w:val="18"/>
                <w:lang w:bidi="ar-JO"/>
              </w:rPr>
              <w:t>Commerce</w:t>
            </w:r>
          </w:p>
        </w:tc>
      </w:tr>
      <w:tr w:rsidR="006D392E" w:rsidRPr="00376ECE" w:rsidTr="00043271">
        <w:trPr>
          <w:trHeight w:val="703"/>
        </w:trPr>
        <w:tc>
          <w:tcPr>
            <w:tcW w:w="1156" w:type="pct"/>
            <w:shd w:val="clear" w:color="auto" w:fill="auto"/>
            <w:vAlign w:val="center"/>
          </w:tcPr>
          <w:p w:rsidR="006D392E" w:rsidRPr="00376ECE" w:rsidRDefault="006D392E" w:rsidP="00376ECE">
            <w:pPr>
              <w:spacing w:before="0" w:after="0"/>
              <w:jc w:val="left"/>
              <w:rPr>
                <w:rFonts w:ascii="Arial Narrow" w:hAnsi="Arial Narrow"/>
                <w:sz w:val="18"/>
                <w:szCs w:val="18"/>
                <w:lang w:bidi="ar-JO"/>
              </w:rPr>
            </w:pPr>
            <w:r w:rsidRPr="00376ECE">
              <w:rPr>
                <w:rFonts w:ascii="Arial Narrow" w:hAnsi="Arial Narrow"/>
                <w:sz w:val="18"/>
                <w:szCs w:val="18"/>
                <w:lang w:bidi="ar-JO"/>
              </w:rPr>
              <w:t>Palestinian Academic Society for the Study of International Affairs - PASSIA</w:t>
            </w:r>
          </w:p>
        </w:tc>
        <w:tc>
          <w:tcPr>
            <w:tcW w:w="730" w:type="pct"/>
            <w:shd w:val="clear" w:color="auto" w:fill="auto"/>
            <w:vAlign w:val="center"/>
          </w:tcPr>
          <w:p w:rsidR="006D392E" w:rsidRPr="00376ECE" w:rsidRDefault="006D392E" w:rsidP="00376ECE">
            <w:pPr>
              <w:spacing w:before="0" w:after="0"/>
              <w:jc w:val="left"/>
              <w:rPr>
                <w:rFonts w:ascii="Arial Narrow" w:hAnsi="Arial Narrow"/>
                <w:sz w:val="18"/>
                <w:szCs w:val="18"/>
                <w:lang w:val="it-IT" w:bidi="ar-JO"/>
              </w:rPr>
            </w:pPr>
            <w:r w:rsidRPr="00376ECE">
              <w:rPr>
                <w:rFonts w:ascii="Arial Narrow" w:hAnsi="Arial Narrow"/>
                <w:sz w:val="18"/>
                <w:szCs w:val="18"/>
                <w:lang w:val="it-IT" w:bidi="ar-JO"/>
              </w:rPr>
              <w:t xml:space="preserve">Dr. </w:t>
            </w:r>
            <w:proofErr w:type="spellStart"/>
            <w:r w:rsidRPr="00376ECE">
              <w:rPr>
                <w:rFonts w:ascii="Arial Narrow" w:hAnsi="Arial Narrow"/>
                <w:sz w:val="18"/>
                <w:szCs w:val="18"/>
                <w:lang w:val="it-IT" w:bidi="ar-JO"/>
              </w:rPr>
              <w:t>Mahdi</w:t>
            </w:r>
            <w:proofErr w:type="spellEnd"/>
            <w:r w:rsidRPr="00376ECE">
              <w:rPr>
                <w:rFonts w:ascii="Arial Narrow" w:hAnsi="Arial Narrow"/>
                <w:sz w:val="18"/>
                <w:szCs w:val="18"/>
                <w:lang w:val="it-IT" w:bidi="ar-JO"/>
              </w:rPr>
              <w:t xml:space="preserve"> F. Abdul </w:t>
            </w:r>
            <w:proofErr w:type="spellStart"/>
            <w:r w:rsidRPr="00376ECE">
              <w:rPr>
                <w:rFonts w:ascii="Arial Narrow" w:hAnsi="Arial Narrow"/>
                <w:sz w:val="18"/>
                <w:szCs w:val="18"/>
                <w:lang w:val="it-IT" w:bidi="ar-JO"/>
              </w:rPr>
              <w:t>Hadi</w:t>
            </w:r>
            <w:proofErr w:type="spellEnd"/>
          </w:p>
        </w:tc>
        <w:tc>
          <w:tcPr>
            <w:tcW w:w="783" w:type="pct"/>
            <w:shd w:val="clear" w:color="auto" w:fill="auto"/>
            <w:vAlign w:val="center"/>
          </w:tcPr>
          <w:p w:rsidR="006D392E" w:rsidRPr="00376ECE" w:rsidRDefault="006D392E" w:rsidP="00376ECE">
            <w:pPr>
              <w:spacing w:before="0" w:after="0"/>
              <w:jc w:val="left"/>
              <w:rPr>
                <w:rFonts w:ascii="Arial Narrow" w:hAnsi="Arial Narrow"/>
                <w:sz w:val="18"/>
                <w:szCs w:val="18"/>
                <w:lang w:bidi="ar-JO"/>
              </w:rPr>
            </w:pPr>
            <w:r w:rsidRPr="00376ECE">
              <w:rPr>
                <w:rFonts w:ascii="Arial Narrow" w:hAnsi="Arial Narrow"/>
                <w:sz w:val="18"/>
                <w:szCs w:val="18"/>
                <w:lang w:bidi="ar-JO"/>
              </w:rPr>
              <w:t>02-6264426</w:t>
            </w:r>
          </w:p>
          <w:p w:rsidR="006D392E" w:rsidRPr="00376ECE" w:rsidRDefault="006D392E" w:rsidP="00376ECE">
            <w:pPr>
              <w:spacing w:before="0" w:after="0"/>
              <w:jc w:val="left"/>
              <w:rPr>
                <w:rFonts w:ascii="Arial Narrow" w:hAnsi="Arial Narrow"/>
                <w:sz w:val="18"/>
                <w:szCs w:val="18"/>
                <w:lang w:bidi="ar-JO"/>
              </w:rPr>
            </w:pPr>
            <w:r w:rsidRPr="00376ECE">
              <w:rPr>
                <w:rFonts w:ascii="Arial Narrow" w:hAnsi="Arial Narrow"/>
                <w:sz w:val="18"/>
                <w:szCs w:val="18"/>
                <w:lang w:bidi="ar-JO"/>
              </w:rPr>
              <w:t>6286566</w:t>
            </w:r>
          </w:p>
        </w:tc>
        <w:tc>
          <w:tcPr>
            <w:tcW w:w="1222" w:type="pct"/>
            <w:shd w:val="clear" w:color="auto" w:fill="auto"/>
            <w:vAlign w:val="center"/>
          </w:tcPr>
          <w:p w:rsidR="006D392E" w:rsidRPr="00376ECE" w:rsidRDefault="00A43E18" w:rsidP="00376ECE">
            <w:pPr>
              <w:spacing w:before="0" w:after="0"/>
              <w:jc w:val="left"/>
              <w:rPr>
                <w:rFonts w:ascii="Arial Narrow" w:hAnsi="Arial Narrow"/>
                <w:sz w:val="18"/>
                <w:szCs w:val="18"/>
              </w:rPr>
            </w:pPr>
            <w:hyperlink r:id="rId92" w:history="1">
              <w:r w:rsidR="006D392E" w:rsidRPr="00376ECE">
                <w:rPr>
                  <w:rStyle w:val="Collegamentoipertestuale"/>
                  <w:rFonts w:ascii="Arial Narrow" w:hAnsi="Arial Narrow"/>
                  <w:sz w:val="18"/>
                  <w:szCs w:val="18"/>
                </w:rPr>
                <w:t>passia@passia.org</w:t>
              </w:r>
            </w:hyperlink>
          </w:p>
        </w:tc>
        <w:tc>
          <w:tcPr>
            <w:tcW w:w="1109" w:type="pct"/>
            <w:shd w:val="clear" w:color="auto" w:fill="auto"/>
            <w:vAlign w:val="center"/>
          </w:tcPr>
          <w:p w:rsidR="006D392E" w:rsidRPr="00376ECE" w:rsidRDefault="006D392E" w:rsidP="00376ECE">
            <w:pPr>
              <w:spacing w:before="0" w:after="0"/>
              <w:jc w:val="left"/>
              <w:rPr>
                <w:rFonts w:ascii="Arial Narrow" w:hAnsi="Arial Narrow"/>
                <w:sz w:val="18"/>
                <w:szCs w:val="18"/>
                <w:lang w:bidi="ar-JO"/>
              </w:rPr>
            </w:pPr>
            <w:r w:rsidRPr="00376ECE">
              <w:rPr>
                <w:rFonts w:ascii="Arial Narrow" w:hAnsi="Arial Narrow"/>
                <w:sz w:val="18"/>
                <w:szCs w:val="18"/>
              </w:rPr>
              <w:t>Seminars, research &amp; meetings on the Palestine Question, civil society empower</w:t>
            </w:r>
            <w:r w:rsidRPr="00376ECE">
              <w:rPr>
                <w:rFonts w:ascii="Arial Narrow" w:hAnsi="Arial Narrow"/>
                <w:sz w:val="18"/>
                <w:szCs w:val="18"/>
              </w:rPr>
              <w:softHyphen/>
              <w:t>ment training program</w:t>
            </w:r>
          </w:p>
        </w:tc>
      </w:tr>
      <w:tr w:rsidR="006D392E" w:rsidRPr="00376ECE" w:rsidTr="00043271">
        <w:trPr>
          <w:trHeight w:val="350"/>
        </w:trPr>
        <w:tc>
          <w:tcPr>
            <w:tcW w:w="1156" w:type="pct"/>
            <w:shd w:val="clear" w:color="auto" w:fill="auto"/>
            <w:vAlign w:val="center"/>
          </w:tcPr>
          <w:p w:rsidR="006D392E" w:rsidRPr="00376ECE" w:rsidRDefault="006D392E" w:rsidP="00376ECE">
            <w:pPr>
              <w:spacing w:before="0" w:after="0"/>
              <w:jc w:val="left"/>
              <w:rPr>
                <w:rFonts w:ascii="Arial Narrow" w:hAnsi="Arial Narrow"/>
                <w:sz w:val="18"/>
                <w:szCs w:val="18"/>
                <w:lang w:bidi="ar-JO"/>
              </w:rPr>
            </w:pPr>
            <w:proofErr w:type="spellStart"/>
            <w:r w:rsidRPr="00376ECE">
              <w:rPr>
                <w:rFonts w:ascii="Arial Narrow" w:hAnsi="Arial Narrow"/>
                <w:sz w:val="18"/>
                <w:szCs w:val="18"/>
                <w:lang w:bidi="ar-JO"/>
              </w:rPr>
              <w:t>Ru’ya</w:t>
            </w:r>
            <w:proofErr w:type="spellEnd"/>
            <w:r w:rsidRPr="00376ECE">
              <w:rPr>
                <w:rFonts w:ascii="Arial Narrow" w:hAnsi="Arial Narrow"/>
                <w:sz w:val="18"/>
                <w:szCs w:val="18"/>
                <w:lang w:bidi="ar-JO"/>
              </w:rPr>
              <w:t xml:space="preserve"> (Palestinian Vision)</w:t>
            </w:r>
          </w:p>
        </w:tc>
        <w:tc>
          <w:tcPr>
            <w:tcW w:w="730" w:type="pct"/>
            <w:shd w:val="clear" w:color="auto" w:fill="auto"/>
            <w:vAlign w:val="center"/>
          </w:tcPr>
          <w:p w:rsidR="006D392E" w:rsidRPr="00376ECE" w:rsidRDefault="006D392E" w:rsidP="00376ECE">
            <w:pPr>
              <w:spacing w:before="0" w:after="0"/>
              <w:jc w:val="left"/>
              <w:rPr>
                <w:rFonts w:ascii="Arial Narrow" w:hAnsi="Arial Narrow"/>
                <w:sz w:val="18"/>
                <w:szCs w:val="18"/>
                <w:lang w:bidi="ar-JO"/>
              </w:rPr>
            </w:pPr>
            <w:proofErr w:type="spellStart"/>
            <w:r w:rsidRPr="00376ECE">
              <w:rPr>
                <w:rFonts w:ascii="Arial Narrow" w:hAnsi="Arial Narrow"/>
                <w:sz w:val="18"/>
                <w:szCs w:val="18"/>
                <w:lang w:bidi="ar-JO"/>
              </w:rPr>
              <w:t>Rami</w:t>
            </w:r>
            <w:proofErr w:type="spellEnd"/>
            <w:r w:rsidRPr="00376ECE">
              <w:rPr>
                <w:rFonts w:ascii="Arial Narrow" w:hAnsi="Arial Narrow"/>
                <w:sz w:val="18"/>
                <w:szCs w:val="18"/>
                <w:lang w:bidi="ar-JO"/>
              </w:rPr>
              <w:t xml:space="preserve"> </w:t>
            </w:r>
            <w:proofErr w:type="spellStart"/>
            <w:r w:rsidRPr="00376ECE">
              <w:rPr>
                <w:rFonts w:ascii="Arial Narrow" w:hAnsi="Arial Narrow"/>
                <w:sz w:val="18"/>
                <w:szCs w:val="18"/>
                <w:lang w:bidi="ar-JO"/>
              </w:rPr>
              <w:t>NaserEddin</w:t>
            </w:r>
            <w:proofErr w:type="spellEnd"/>
          </w:p>
        </w:tc>
        <w:tc>
          <w:tcPr>
            <w:tcW w:w="783" w:type="pct"/>
            <w:shd w:val="clear" w:color="auto" w:fill="auto"/>
            <w:vAlign w:val="center"/>
          </w:tcPr>
          <w:p w:rsidR="006D392E" w:rsidRPr="00376ECE" w:rsidRDefault="006D392E" w:rsidP="00376ECE">
            <w:pPr>
              <w:spacing w:before="0" w:after="0"/>
              <w:jc w:val="left"/>
              <w:rPr>
                <w:rFonts w:ascii="Arial Narrow" w:hAnsi="Arial Narrow"/>
                <w:sz w:val="18"/>
                <w:szCs w:val="18"/>
                <w:lang w:bidi="ar-JO"/>
              </w:rPr>
            </w:pPr>
            <w:r w:rsidRPr="00376ECE">
              <w:rPr>
                <w:rFonts w:ascii="Arial Narrow" w:hAnsi="Arial Narrow"/>
                <w:sz w:val="18"/>
                <w:szCs w:val="18"/>
                <w:lang w:bidi="ar-JO"/>
              </w:rPr>
              <w:t>02-6285080</w:t>
            </w:r>
          </w:p>
        </w:tc>
        <w:tc>
          <w:tcPr>
            <w:tcW w:w="1222" w:type="pct"/>
            <w:shd w:val="clear" w:color="auto" w:fill="auto"/>
            <w:vAlign w:val="center"/>
          </w:tcPr>
          <w:p w:rsidR="006D392E" w:rsidRPr="00376ECE" w:rsidRDefault="00A43E18" w:rsidP="00376ECE">
            <w:pPr>
              <w:spacing w:before="0" w:after="0"/>
              <w:jc w:val="left"/>
              <w:rPr>
                <w:rFonts w:ascii="Arial Narrow" w:hAnsi="Arial Narrow"/>
                <w:spacing w:val="-2"/>
                <w:sz w:val="18"/>
                <w:szCs w:val="18"/>
              </w:rPr>
            </w:pPr>
            <w:hyperlink r:id="rId93" w:history="1">
              <w:r w:rsidR="006D392E" w:rsidRPr="00376ECE">
                <w:rPr>
                  <w:rStyle w:val="Collegamentoipertestuale"/>
                  <w:rFonts w:ascii="Arial Narrow" w:hAnsi="Arial Narrow"/>
                  <w:sz w:val="18"/>
                  <w:szCs w:val="18"/>
                </w:rPr>
                <w:t>info@palvision.ps</w:t>
              </w:r>
            </w:hyperlink>
          </w:p>
        </w:tc>
        <w:tc>
          <w:tcPr>
            <w:tcW w:w="1109" w:type="pct"/>
            <w:shd w:val="clear" w:color="auto" w:fill="auto"/>
            <w:vAlign w:val="center"/>
          </w:tcPr>
          <w:p w:rsidR="006D392E" w:rsidRPr="00376ECE" w:rsidRDefault="006D392E" w:rsidP="00376ECE">
            <w:pPr>
              <w:spacing w:before="0" w:after="0"/>
              <w:jc w:val="left"/>
              <w:rPr>
                <w:rFonts w:ascii="Arial Narrow" w:hAnsi="Arial Narrow"/>
                <w:sz w:val="18"/>
                <w:szCs w:val="18"/>
                <w:lang w:bidi="ar-JO"/>
              </w:rPr>
            </w:pPr>
            <w:r w:rsidRPr="00376ECE">
              <w:rPr>
                <w:rFonts w:ascii="Arial Narrow" w:hAnsi="Arial Narrow"/>
                <w:spacing w:val="-2"/>
                <w:sz w:val="18"/>
                <w:szCs w:val="18"/>
              </w:rPr>
              <w:t>Youth leadership in communi</w:t>
            </w:r>
            <w:r w:rsidRPr="00376ECE">
              <w:rPr>
                <w:rFonts w:ascii="Arial Narrow" w:hAnsi="Arial Narrow"/>
                <w:spacing w:val="-2"/>
                <w:sz w:val="18"/>
                <w:szCs w:val="18"/>
              </w:rPr>
              <w:softHyphen/>
              <w:t>ties; volun</w:t>
            </w:r>
            <w:r w:rsidRPr="00376ECE">
              <w:rPr>
                <w:rFonts w:ascii="Arial Narrow" w:hAnsi="Arial Narrow"/>
                <w:spacing w:val="-2"/>
                <w:sz w:val="18"/>
                <w:szCs w:val="18"/>
              </w:rPr>
              <w:softHyphen/>
              <w:t>tarism; networking</w:t>
            </w:r>
          </w:p>
        </w:tc>
      </w:tr>
      <w:tr w:rsidR="006D392E" w:rsidRPr="00376ECE" w:rsidTr="00043271">
        <w:trPr>
          <w:trHeight w:val="527"/>
        </w:trPr>
        <w:tc>
          <w:tcPr>
            <w:tcW w:w="1156" w:type="pct"/>
            <w:shd w:val="clear" w:color="auto" w:fill="auto"/>
            <w:vAlign w:val="center"/>
          </w:tcPr>
          <w:p w:rsidR="006D392E" w:rsidRPr="00376ECE" w:rsidRDefault="006D392E" w:rsidP="00376ECE">
            <w:pPr>
              <w:spacing w:before="0" w:after="0"/>
              <w:jc w:val="left"/>
              <w:rPr>
                <w:rFonts w:ascii="Arial Narrow" w:hAnsi="Arial Narrow"/>
                <w:sz w:val="18"/>
                <w:szCs w:val="18"/>
                <w:lang w:bidi="ar-JO"/>
              </w:rPr>
            </w:pPr>
            <w:proofErr w:type="spellStart"/>
            <w:r w:rsidRPr="00376ECE">
              <w:rPr>
                <w:rFonts w:ascii="Arial Narrow" w:hAnsi="Arial Narrow"/>
                <w:sz w:val="18"/>
                <w:szCs w:val="18"/>
                <w:lang w:bidi="ar-JO"/>
              </w:rPr>
              <w:t>Sabeel</w:t>
            </w:r>
            <w:proofErr w:type="spellEnd"/>
            <w:r w:rsidRPr="00376ECE">
              <w:rPr>
                <w:rFonts w:ascii="Arial Narrow" w:hAnsi="Arial Narrow"/>
                <w:sz w:val="18"/>
                <w:szCs w:val="18"/>
                <w:lang w:bidi="ar-JO"/>
              </w:rPr>
              <w:t xml:space="preserve"> - Ecumenical Liberation Theology Center</w:t>
            </w:r>
          </w:p>
        </w:tc>
        <w:tc>
          <w:tcPr>
            <w:tcW w:w="730" w:type="pct"/>
            <w:shd w:val="clear" w:color="auto" w:fill="auto"/>
            <w:vAlign w:val="center"/>
          </w:tcPr>
          <w:p w:rsidR="006D392E" w:rsidRPr="00376ECE" w:rsidRDefault="006D392E" w:rsidP="00376ECE">
            <w:pPr>
              <w:spacing w:before="0" w:after="0"/>
              <w:jc w:val="left"/>
              <w:rPr>
                <w:rFonts w:ascii="Arial Narrow" w:hAnsi="Arial Narrow"/>
                <w:sz w:val="18"/>
                <w:szCs w:val="18"/>
                <w:lang w:bidi="ar-JO"/>
              </w:rPr>
            </w:pPr>
            <w:proofErr w:type="spellStart"/>
            <w:r w:rsidRPr="00376ECE">
              <w:rPr>
                <w:rFonts w:ascii="Arial Narrow" w:hAnsi="Arial Narrow"/>
                <w:sz w:val="18"/>
                <w:szCs w:val="18"/>
                <w:lang w:bidi="ar-JO"/>
              </w:rPr>
              <w:t>Dr.NaimAteek</w:t>
            </w:r>
            <w:proofErr w:type="spellEnd"/>
          </w:p>
        </w:tc>
        <w:tc>
          <w:tcPr>
            <w:tcW w:w="783" w:type="pct"/>
            <w:shd w:val="clear" w:color="auto" w:fill="auto"/>
            <w:vAlign w:val="center"/>
          </w:tcPr>
          <w:p w:rsidR="006D392E" w:rsidRPr="00376ECE" w:rsidRDefault="006D392E" w:rsidP="00376ECE">
            <w:pPr>
              <w:spacing w:before="0" w:after="0"/>
              <w:jc w:val="left"/>
              <w:rPr>
                <w:rFonts w:ascii="Arial Narrow" w:hAnsi="Arial Narrow"/>
                <w:sz w:val="18"/>
                <w:szCs w:val="18"/>
                <w:lang w:bidi="ar-JO"/>
              </w:rPr>
            </w:pPr>
            <w:r w:rsidRPr="00376ECE">
              <w:rPr>
                <w:rFonts w:ascii="Arial Narrow" w:hAnsi="Arial Narrow"/>
                <w:sz w:val="18"/>
                <w:szCs w:val="18"/>
                <w:lang w:bidi="ar-JO"/>
              </w:rPr>
              <w:t>02-5327136</w:t>
            </w:r>
          </w:p>
        </w:tc>
        <w:tc>
          <w:tcPr>
            <w:tcW w:w="1222" w:type="pct"/>
            <w:shd w:val="clear" w:color="auto" w:fill="auto"/>
            <w:vAlign w:val="center"/>
          </w:tcPr>
          <w:p w:rsidR="006D392E" w:rsidRPr="00376ECE" w:rsidRDefault="00A43E18" w:rsidP="00376ECE">
            <w:pPr>
              <w:spacing w:before="0" w:after="0"/>
              <w:jc w:val="left"/>
              <w:rPr>
                <w:rFonts w:ascii="Arial Narrow" w:hAnsi="Arial Narrow"/>
                <w:sz w:val="18"/>
                <w:szCs w:val="18"/>
              </w:rPr>
            </w:pPr>
            <w:hyperlink r:id="rId94" w:history="1">
              <w:r w:rsidR="006D392E" w:rsidRPr="00376ECE">
                <w:rPr>
                  <w:rStyle w:val="Collegamentoipertestuale"/>
                  <w:rFonts w:ascii="Arial Narrow" w:hAnsi="Arial Narrow"/>
                  <w:sz w:val="18"/>
                  <w:szCs w:val="18"/>
                </w:rPr>
                <w:t>sabeel@sabeel.org</w:t>
              </w:r>
            </w:hyperlink>
          </w:p>
        </w:tc>
        <w:tc>
          <w:tcPr>
            <w:tcW w:w="1109" w:type="pct"/>
            <w:shd w:val="clear" w:color="auto" w:fill="auto"/>
            <w:vAlign w:val="center"/>
          </w:tcPr>
          <w:p w:rsidR="006D392E" w:rsidRPr="00376ECE" w:rsidRDefault="006D392E" w:rsidP="00376ECE">
            <w:pPr>
              <w:spacing w:before="0" w:after="0"/>
              <w:jc w:val="left"/>
              <w:rPr>
                <w:rFonts w:ascii="Arial Narrow" w:hAnsi="Arial Narrow"/>
                <w:sz w:val="18"/>
                <w:szCs w:val="18"/>
                <w:lang w:bidi="ar-JO"/>
              </w:rPr>
            </w:pPr>
            <w:r w:rsidRPr="00376ECE">
              <w:rPr>
                <w:rFonts w:ascii="Arial Narrow" w:hAnsi="Arial Narrow"/>
                <w:sz w:val="18"/>
                <w:szCs w:val="18"/>
              </w:rPr>
              <w:t>Advocacy; local &amp; international conferences; community building &amp; empowerment; special tours</w:t>
            </w:r>
          </w:p>
        </w:tc>
      </w:tr>
      <w:tr w:rsidR="006D392E" w:rsidRPr="00376ECE" w:rsidTr="00043271">
        <w:trPr>
          <w:trHeight w:val="538"/>
        </w:trPr>
        <w:tc>
          <w:tcPr>
            <w:tcW w:w="1156" w:type="pct"/>
            <w:shd w:val="clear" w:color="auto" w:fill="auto"/>
            <w:vAlign w:val="center"/>
          </w:tcPr>
          <w:p w:rsidR="006D392E" w:rsidRPr="00376ECE" w:rsidRDefault="006D392E" w:rsidP="00376ECE">
            <w:pPr>
              <w:spacing w:before="0" w:after="0"/>
              <w:jc w:val="left"/>
              <w:rPr>
                <w:rFonts w:ascii="Arial Narrow" w:hAnsi="Arial Narrow"/>
                <w:sz w:val="18"/>
                <w:szCs w:val="18"/>
                <w:lang w:bidi="ar-JO"/>
              </w:rPr>
            </w:pPr>
            <w:r w:rsidRPr="00376ECE">
              <w:rPr>
                <w:rFonts w:ascii="Arial Narrow" w:hAnsi="Arial Narrow"/>
                <w:sz w:val="18"/>
                <w:szCs w:val="18"/>
                <w:lang w:bidi="ar-JO"/>
              </w:rPr>
              <w:t>The Civic Coalition for Defending the Palestinians' Rights in Jerusalem</w:t>
            </w:r>
          </w:p>
        </w:tc>
        <w:tc>
          <w:tcPr>
            <w:tcW w:w="730" w:type="pct"/>
            <w:shd w:val="clear" w:color="auto" w:fill="auto"/>
            <w:vAlign w:val="center"/>
          </w:tcPr>
          <w:p w:rsidR="006D392E" w:rsidRPr="00376ECE" w:rsidRDefault="006D392E" w:rsidP="00376ECE">
            <w:pPr>
              <w:spacing w:before="0" w:after="0"/>
              <w:jc w:val="left"/>
              <w:rPr>
                <w:rFonts w:ascii="Arial Narrow" w:hAnsi="Arial Narrow"/>
                <w:sz w:val="18"/>
                <w:szCs w:val="18"/>
                <w:lang w:bidi="ar-JO"/>
              </w:rPr>
            </w:pPr>
            <w:proofErr w:type="spellStart"/>
            <w:r w:rsidRPr="00376ECE">
              <w:rPr>
                <w:rFonts w:ascii="Arial Narrow" w:hAnsi="Arial Narrow"/>
                <w:sz w:val="18"/>
                <w:szCs w:val="18"/>
                <w:lang w:bidi="ar-JO"/>
              </w:rPr>
              <w:t>ZakariyaOdeh</w:t>
            </w:r>
            <w:proofErr w:type="spellEnd"/>
          </w:p>
        </w:tc>
        <w:tc>
          <w:tcPr>
            <w:tcW w:w="783" w:type="pct"/>
            <w:shd w:val="clear" w:color="auto" w:fill="auto"/>
            <w:vAlign w:val="center"/>
          </w:tcPr>
          <w:p w:rsidR="006D392E" w:rsidRPr="00376ECE" w:rsidRDefault="006D392E" w:rsidP="00376ECE">
            <w:pPr>
              <w:spacing w:before="0" w:after="0"/>
              <w:jc w:val="left"/>
              <w:rPr>
                <w:rFonts w:ascii="Arial Narrow" w:hAnsi="Arial Narrow"/>
                <w:sz w:val="18"/>
                <w:szCs w:val="18"/>
                <w:lang w:bidi="ar-JO"/>
              </w:rPr>
            </w:pPr>
            <w:r w:rsidRPr="00376ECE">
              <w:rPr>
                <w:rFonts w:ascii="Arial Narrow" w:hAnsi="Arial Narrow"/>
                <w:sz w:val="18"/>
                <w:szCs w:val="18"/>
                <w:lang w:bidi="ar-JO"/>
              </w:rPr>
              <w:t>02-2343929</w:t>
            </w:r>
          </w:p>
          <w:p w:rsidR="006D392E" w:rsidRPr="00376ECE" w:rsidRDefault="006D392E" w:rsidP="00376ECE">
            <w:pPr>
              <w:spacing w:before="0" w:after="0"/>
              <w:jc w:val="left"/>
              <w:rPr>
                <w:rFonts w:ascii="Arial Narrow" w:hAnsi="Arial Narrow"/>
                <w:sz w:val="18"/>
                <w:szCs w:val="18"/>
                <w:lang w:bidi="ar-JO"/>
              </w:rPr>
            </w:pPr>
            <w:r w:rsidRPr="00376ECE">
              <w:rPr>
                <w:rFonts w:ascii="Arial Narrow" w:hAnsi="Arial Narrow"/>
                <w:sz w:val="18"/>
                <w:szCs w:val="18"/>
                <w:lang w:bidi="ar-JO"/>
              </w:rPr>
              <w:t>6287677</w:t>
            </w:r>
          </w:p>
        </w:tc>
        <w:tc>
          <w:tcPr>
            <w:tcW w:w="1222" w:type="pct"/>
            <w:shd w:val="clear" w:color="auto" w:fill="auto"/>
            <w:vAlign w:val="center"/>
          </w:tcPr>
          <w:p w:rsidR="006D392E" w:rsidRPr="00376ECE" w:rsidRDefault="00A43E18" w:rsidP="00376ECE">
            <w:pPr>
              <w:spacing w:before="0" w:after="0"/>
              <w:jc w:val="left"/>
              <w:rPr>
                <w:rFonts w:ascii="Arial Narrow" w:hAnsi="Arial Narrow"/>
                <w:sz w:val="18"/>
                <w:szCs w:val="18"/>
              </w:rPr>
            </w:pPr>
            <w:hyperlink r:id="rId95" w:history="1">
              <w:r w:rsidR="006D392E" w:rsidRPr="00376ECE">
                <w:rPr>
                  <w:rStyle w:val="Collegamentoipertestuale"/>
                  <w:rFonts w:ascii="Arial Narrow" w:hAnsi="Arial Narrow"/>
                  <w:sz w:val="18"/>
                  <w:szCs w:val="18"/>
                </w:rPr>
                <w:t>info@civiccoalition-jerusalem.org</w:t>
              </w:r>
            </w:hyperlink>
          </w:p>
        </w:tc>
        <w:tc>
          <w:tcPr>
            <w:tcW w:w="1109" w:type="pct"/>
            <w:shd w:val="clear" w:color="auto" w:fill="auto"/>
            <w:vAlign w:val="center"/>
          </w:tcPr>
          <w:p w:rsidR="006D392E" w:rsidRPr="00376ECE" w:rsidRDefault="006D392E" w:rsidP="00376ECE">
            <w:pPr>
              <w:spacing w:before="0" w:after="0"/>
              <w:jc w:val="left"/>
              <w:rPr>
                <w:rFonts w:ascii="Arial Narrow" w:hAnsi="Arial Narrow"/>
                <w:sz w:val="18"/>
                <w:szCs w:val="18"/>
                <w:lang w:bidi="ar-JO"/>
              </w:rPr>
            </w:pPr>
            <w:r w:rsidRPr="00376ECE">
              <w:rPr>
                <w:rFonts w:ascii="Arial Narrow" w:hAnsi="Arial Narrow"/>
                <w:sz w:val="18"/>
                <w:szCs w:val="18"/>
              </w:rPr>
              <w:t xml:space="preserve">Human Rights </w:t>
            </w:r>
          </w:p>
        </w:tc>
      </w:tr>
      <w:tr w:rsidR="006D392E" w:rsidRPr="00376ECE" w:rsidTr="00043271">
        <w:trPr>
          <w:trHeight w:val="350"/>
        </w:trPr>
        <w:tc>
          <w:tcPr>
            <w:tcW w:w="1156" w:type="pct"/>
            <w:shd w:val="clear" w:color="auto" w:fill="auto"/>
            <w:vAlign w:val="center"/>
          </w:tcPr>
          <w:p w:rsidR="006D392E" w:rsidRPr="00376ECE" w:rsidRDefault="006D392E" w:rsidP="00376ECE">
            <w:pPr>
              <w:spacing w:before="0" w:after="0"/>
              <w:jc w:val="left"/>
              <w:rPr>
                <w:rFonts w:ascii="Arial Narrow" w:hAnsi="Arial Narrow"/>
                <w:sz w:val="18"/>
                <w:szCs w:val="18"/>
                <w:lang w:bidi="ar-JO"/>
              </w:rPr>
            </w:pPr>
            <w:r w:rsidRPr="00376ECE">
              <w:rPr>
                <w:rFonts w:ascii="Arial Narrow" w:hAnsi="Arial Narrow"/>
                <w:sz w:val="18"/>
                <w:szCs w:val="18"/>
                <w:lang w:bidi="ar-JO"/>
              </w:rPr>
              <w:t>The East Jerusalem Hospitals Network (EJHN)</w:t>
            </w:r>
          </w:p>
        </w:tc>
        <w:tc>
          <w:tcPr>
            <w:tcW w:w="730" w:type="pct"/>
            <w:shd w:val="clear" w:color="auto" w:fill="auto"/>
            <w:vAlign w:val="center"/>
          </w:tcPr>
          <w:p w:rsidR="006D392E" w:rsidRPr="00376ECE" w:rsidRDefault="006D392E" w:rsidP="00376ECE">
            <w:pPr>
              <w:spacing w:before="0" w:after="0"/>
              <w:jc w:val="left"/>
              <w:rPr>
                <w:rFonts w:ascii="Arial Narrow" w:hAnsi="Arial Narrow"/>
                <w:sz w:val="18"/>
                <w:szCs w:val="18"/>
                <w:lang w:bidi="ar-JO"/>
              </w:rPr>
            </w:pPr>
            <w:proofErr w:type="spellStart"/>
            <w:r w:rsidRPr="00376ECE">
              <w:rPr>
                <w:rFonts w:ascii="Arial Narrow" w:hAnsi="Arial Narrow"/>
                <w:sz w:val="18"/>
                <w:szCs w:val="18"/>
                <w:lang w:bidi="ar-JO"/>
              </w:rPr>
              <w:t>Dr.Tawfiq</w:t>
            </w:r>
            <w:proofErr w:type="spellEnd"/>
            <w:r w:rsidRPr="00376ECE">
              <w:rPr>
                <w:rFonts w:ascii="Arial Narrow" w:hAnsi="Arial Narrow"/>
                <w:sz w:val="18"/>
                <w:szCs w:val="18"/>
                <w:lang w:bidi="ar-JO"/>
              </w:rPr>
              <w:t xml:space="preserve"> Nasser</w:t>
            </w:r>
          </w:p>
        </w:tc>
        <w:tc>
          <w:tcPr>
            <w:tcW w:w="783" w:type="pct"/>
            <w:shd w:val="clear" w:color="auto" w:fill="auto"/>
            <w:vAlign w:val="center"/>
          </w:tcPr>
          <w:p w:rsidR="006D392E" w:rsidRPr="00376ECE" w:rsidRDefault="006D392E" w:rsidP="00376ECE">
            <w:pPr>
              <w:spacing w:before="0" w:after="0"/>
              <w:jc w:val="left"/>
              <w:rPr>
                <w:rFonts w:ascii="Arial Narrow" w:hAnsi="Arial Narrow"/>
                <w:sz w:val="18"/>
                <w:szCs w:val="18"/>
                <w:lang w:bidi="ar-JO"/>
              </w:rPr>
            </w:pPr>
            <w:r w:rsidRPr="00376ECE">
              <w:rPr>
                <w:rFonts w:ascii="Arial Narrow" w:hAnsi="Arial Narrow"/>
                <w:sz w:val="18"/>
                <w:szCs w:val="18"/>
                <w:lang w:bidi="ar-JO"/>
              </w:rPr>
              <w:t>02-6279911/902</w:t>
            </w:r>
          </w:p>
        </w:tc>
        <w:tc>
          <w:tcPr>
            <w:tcW w:w="1222" w:type="pct"/>
            <w:shd w:val="clear" w:color="auto" w:fill="auto"/>
            <w:vAlign w:val="center"/>
          </w:tcPr>
          <w:p w:rsidR="006D392E" w:rsidRPr="00376ECE" w:rsidRDefault="00A43E18" w:rsidP="00376ECE">
            <w:pPr>
              <w:spacing w:before="0" w:after="0"/>
              <w:jc w:val="left"/>
              <w:rPr>
                <w:rFonts w:ascii="Arial Narrow" w:hAnsi="Arial Narrow"/>
                <w:color w:val="1E1E1E"/>
                <w:sz w:val="18"/>
                <w:szCs w:val="18"/>
              </w:rPr>
            </w:pPr>
            <w:hyperlink r:id="rId96" w:history="1">
              <w:r w:rsidR="006D392E" w:rsidRPr="00376ECE">
                <w:rPr>
                  <w:rStyle w:val="Collegamentoipertestuale"/>
                  <w:rFonts w:ascii="Arial Narrow" w:hAnsi="Arial Narrow"/>
                  <w:sz w:val="18"/>
                  <w:szCs w:val="18"/>
                </w:rPr>
                <w:t>info@avh.org</w:t>
              </w:r>
            </w:hyperlink>
          </w:p>
        </w:tc>
        <w:tc>
          <w:tcPr>
            <w:tcW w:w="1109" w:type="pct"/>
            <w:shd w:val="clear" w:color="auto" w:fill="auto"/>
            <w:vAlign w:val="center"/>
          </w:tcPr>
          <w:p w:rsidR="006D392E" w:rsidRPr="00376ECE" w:rsidRDefault="006D392E" w:rsidP="00376ECE">
            <w:pPr>
              <w:spacing w:before="0" w:after="0"/>
              <w:jc w:val="left"/>
              <w:rPr>
                <w:rFonts w:ascii="Arial Narrow" w:hAnsi="Arial Narrow"/>
                <w:sz w:val="18"/>
                <w:szCs w:val="18"/>
                <w:lang w:bidi="ar-JO"/>
              </w:rPr>
            </w:pPr>
            <w:r w:rsidRPr="00376ECE">
              <w:rPr>
                <w:rFonts w:ascii="Arial Narrow" w:hAnsi="Arial Narrow"/>
                <w:color w:val="1E1E1E"/>
                <w:sz w:val="18"/>
                <w:szCs w:val="18"/>
              </w:rPr>
              <w:t xml:space="preserve">Health and Rehabilitation </w:t>
            </w:r>
          </w:p>
        </w:tc>
      </w:tr>
      <w:tr w:rsidR="006D392E" w:rsidRPr="00376ECE" w:rsidTr="00043271">
        <w:trPr>
          <w:trHeight w:val="340"/>
        </w:trPr>
        <w:tc>
          <w:tcPr>
            <w:tcW w:w="1156" w:type="pct"/>
            <w:shd w:val="clear" w:color="auto" w:fill="auto"/>
            <w:vAlign w:val="center"/>
          </w:tcPr>
          <w:p w:rsidR="006D392E" w:rsidRPr="00376ECE" w:rsidRDefault="006D392E" w:rsidP="00376ECE">
            <w:pPr>
              <w:spacing w:before="0" w:after="0"/>
              <w:jc w:val="left"/>
              <w:rPr>
                <w:rFonts w:ascii="Arial Narrow" w:hAnsi="Arial Narrow"/>
                <w:sz w:val="18"/>
                <w:szCs w:val="18"/>
                <w:lang w:bidi="ar-JO"/>
              </w:rPr>
            </w:pPr>
            <w:r w:rsidRPr="00376ECE">
              <w:rPr>
                <w:rFonts w:ascii="Arial Narrow" w:hAnsi="Arial Narrow"/>
                <w:sz w:val="18"/>
                <w:szCs w:val="18"/>
                <w:lang w:bidi="ar-JO"/>
              </w:rPr>
              <w:t>Union of Parents’ Committees in East Jerusalem Schools</w:t>
            </w:r>
          </w:p>
        </w:tc>
        <w:tc>
          <w:tcPr>
            <w:tcW w:w="730" w:type="pct"/>
            <w:shd w:val="clear" w:color="auto" w:fill="auto"/>
            <w:vAlign w:val="center"/>
          </w:tcPr>
          <w:p w:rsidR="006D392E" w:rsidRPr="00376ECE" w:rsidRDefault="006D392E" w:rsidP="00376ECE">
            <w:pPr>
              <w:spacing w:before="0" w:after="0"/>
              <w:jc w:val="left"/>
              <w:rPr>
                <w:rFonts w:ascii="Arial Narrow" w:hAnsi="Arial Narrow"/>
                <w:sz w:val="18"/>
                <w:szCs w:val="18"/>
                <w:lang w:bidi="ar-JO"/>
              </w:rPr>
            </w:pPr>
            <w:r w:rsidRPr="00376ECE">
              <w:rPr>
                <w:rFonts w:ascii="Arial Narrow" w:hAnsi="Arial Narrow"/>
                <w:sz w:val="18"/>
                <w:szCs w:val="18"/>
                <w:lang w:bidi="ar-JO"/>
              </w:rPr>
              <w:t xml:space="preserve">Eng. Abdul </w:t>
            </w:r>
            <w:proofErr w:type="spellStart"/>
            <w:r w:rsidRPr="00376ECE">
              <w:rPr>
                <w:rFonts w:ascii="Arial Narrow" w:hAnsi="Arial Narrow"/>
                <w:sz w:val="18"/>
                <w:szCs w:val="18"/>
                <w:lang w:bidi="ar-JO"/>
              </w:rPr>
              <w:t>KarimLafi</w:t>
            </w:r>
            <w:proofErr w:type="spellEnd"/>
          </w:p>
        </w:tc>
        <w:tc>
          <w:tcPr>
            <w:tcW w:w="783" w:type="pct"/>
            <w:shd w:val="clear" w:color="auto" w:fill="auto"/>
            <w:vAlign w:val="center"/>
          </w:tcPr>
          <w:p w:rsidR="006D392E" w:rsidRPr="00376ECE" w:rsidRDefault="006D392E" w:rsidP="00376ECE">
            <w:pPr>
              <w:spacing w:before="0" w:after="0"/>
              <w:jc w:val="left"/>
              <w:rPr>
                <w:rFonts w:ascii="Arial Narrow" w:hAnsi="Arial Narrow"/>
                <w:sz w:val="18"/>
                <w:szCs w:val="18"/>
                <w:lang w:bidi="ar-JO"/>
              </w:rPr>
            </w:pPr>
            <w:r w:rsidRPr="00376ECE">
              <w:rPr>
                <w:rFonts w:ascii="Arial Narrow" w:hAnsi="Arial Narrow"/>
                <w:sz w:val="18"/>
                <w:szCs w:val="18"/>
                <w:lang w:bidi="ar-JO"/>
              </w:rPr>
              <w:t>0522-809881</w:t>
            </w:r>
          </w:p>
        </w:tc>
        <w:tc>
          <w:tcPr>
            <w:tcW w:w="1222" w:type="pct"/>
            <w:shd w:val="clear" w:color="auto" w:fill="auto"/>
            <w:vAlign w:val="center"/>
          </w:tcPr>
          <w:p w:rsidR="006D392E" w:rsidRPr="00376ECE" w:rsidRDefault="00A43E18" w:rsidP="00376ECE">
            <w:pPr>
              <w:spacing w:before="0" w:after="0"/>
              <w:jc w:val="left"/>
              <w:rPr>
                <w:rFonts w:ascii="Arial Narrow" w:hAnsi="Arial Narrow"/>
                <w:sz w:val="18"/>
                <w:szCs w:val="18"/>
                <w:lang w:bidi="ar-JO"/>
              </w:rPr>
            </w:pPr>
            <w:hyperlink r:id="rId97" w:history="1">
              <w:r w:rsidR="006D392E" w:rsidRPr="00376ECE">
                <w:rPr>
                  <w:rStyle w:val="Collegamentoipertestuale"/>
                  <w:rFonts w:ascii="Arial Narrow" w:hAnsi="Arial Narrow"/>
                  <w:sz w:val="18"/>
                  <w:szCs w:val="18"/>
                </w:rPr>
                <w:t>almaqdision@bezeqint.net</w:t>
              </w:r>
            </w:hyperlink>
          </w:p>
        </w:tc>
        <w:tc>
          <w:tcPr>
            <w:tcW w:w="1109" w:type="pct"/>
            <w:shd w:val="clear" w:color="auto" w:fill="auto"/>
            <w:vAlign w:val="center"/>
          </w:tcPr>
          <w:p w:rsidR="006D392E" w:rsidRPr="00376ECE" w:rsidRDefault="006D392E" w:rsidP="00376ECE">
            <w:pPr>
              <w:spacing w:before="0" w:after="0"/>
              <w:jc w:val="left"/>
              <w:rPr>
                <w:rFonts w:ascii="Arial Narrow" w:hAnsi="Arial Narrow"/>
                <w:sz w:val="18"/>
                <w:szCs w:val="18"/>
                <w:lang w:bidi="ar-JO"/>
              </w:rPr>
            </w:pPr>
            <w:r w:rsidRPr="00376ECE">
              <w:rPr>
                <w:rFonts w:ascii="Arial Narrow" w:hAnsi="Arial Narrow"/>
                <w:sz w:val="18"/>
                <w:szCs w:val="18"/>
                <w:lang w:bidi="ar-JO"/>
              </w:rPr>
              <w:t>Education</w:t>
            </w:r>
          </w:p>
        </w:tc>
      </w:tr>
      <w:tr w:rsidR="006D392E" w:rsidRPr="00376ECE" w:rsidTr="00043271">
        <w:trPr>
          <w:trHeight w:val="363"/>
        </w:trPr>
        <w:tc>
          <w:tcPr>
            <w:tcW w:w="1156" w:type="pct"/>
            <w:shd w:val="clear" w:color="auto" w:fill="auto"/>
            <w:vAlign w:val="center"/>
          </w:tcPr>
          <w:p w:rsidR="006D392E" w:rsidRPr="00376ECE" w:rsidRDefault="006D392E" w:rsidP="00376ECE">
            <w:pPr>
              <w:spacing w:before="0" w:after="0"/>
              <w:jc w:val="left"/>
              <w:rPr>
                <w:rFonts w:ascii="Arial Narrow" w:hAnsi="Arial Narrow"/>
                <w:sz w:val="18"/>
                <w:szCs w:val="18"/>
                <w:lang w:bidi="ar-JO"/>
              </w:rPr>
            </w:pPr>
            <w:r w:rsidRPr="00376ECE">
              <w:rPr>
                <w:rFonts w:ascii="Arial Narrow" w:hAnsi="Arial Narrow"/>
                <w:sz w:val="18"/>
                <w:szCs w:val="18"/>
                <w:lang w:bidi="ar-JO"/>
              </w:rPr>
              <w:t>Women's Center for Legal Aid &amp;Counseling (WCLAC)</w:t>
            </w:r>
          </w:p>
        </w:tc>
        <w:tc>
          <w:tcPr>
            <w:tcW w:w="730" w:type="pct"/>
            <w:shd w:val="clear" w:color="auto" w:fill="auto"/>
            <w:vAlign w:val="center"/>
          </w:tcPr>
          <w:p w:rsidR="006D392E" w:rsidRPr="00376ECE" w:rsidRDefault="006D392E" w:rsidP="00376ECE">
            <w:pPr>
              <w:spacing w:before="0" w:after="0"/>
              <w:jc w:val="left"/>
              <w:rPr>
                <w:rFonts w:ascii="Arial Narrow" w:hAnsi="Arial Narrow"/>
                <w:sz w:val="18"/>
                <w:szCs w:val="18"/>
                <w:lang w:bidi="ar-JO"/>
              </w:rPr>
            </w:pPr>
            <w:proofErr w:type="spellStart"/>
            <w:r w:rsidRPr="00376ECE">
              <w:rPr>
                <w:rFonts w:ascii="Arial Narrow" w:hAnsi="Arial Narrow"/>
                <w:sz w:val="18"/>
                <w:szCs w:val="18"/>
                <w:lang w:bidi="ar-JO"/>
              </w:rPr>
              <w:t>Maha</w:t>
            </w:r>
            <w:proofErr w:type="spellEnd"/>
            <w:r w:rsidRPr="00376ECE">
              <w:rPr>
                <w:rFonts w:ascii="Arial Narrow" w:hAnsi="Arial Narrow"/>
                <w:sz w:val="18"/>
                <w:szCs w:val="18"/>
                <w:lang w:bidi="ar-JO"/>
              </w:rPr>
              <w:t xml:space="preserve"> Abu </w:t>
            </w:r>
            <w:proofErr w:type="spellStart"/>
            <w:r w:rsidRPr="00376ECE">
              <w:rPr>
                <w:rFonts w:ascii="Arial Narrow" w:hAnsi="Arial Narrow"/>
                <w:sz w:val="18"/>
                <w:szCs w:val="18"/>
                <w:lang w:bidi="ar-JO"/>
              </w:rPr>
              <w:t>DayyehShamas</w:t>
            </w:r>
            <w:proofErr w:type="spellEnd"/>
          </w:p>
        </w:tc>
        <w:tc>
          <w:tcPr>
            <w:tcW w:w="783" w:type="pct"/>
            <w:shd w:val="clear" w:color="auto" w:fill="auto"/>
            <w:vAlign w:val="center"/>
          </w:tcPr>
          <w:p w:rsidR="006D392E" w:rsidRPr="00376ECE" w:rsidRDefault="006D392E" w:rsidP="00043271">
            <w:pPr>
              <w:spacing w:before="0" w:after="0"/>
              <w:jc w:val="left"/>
              <w:rPr>
                <w:rFonts w:ascii="Arial Narrow" w:hAnsi="Arial Narrow"/>
                <w:sz w:val="18"/>
                <w:szCs w:val="18"/>
                <w:lang w:bidi="ar-JO"/>
              </w:rPr>
            </w:pPr>
            <w:r w:rsidRPr="00376ECE">
              <w:rPr>
                <w:rFonts w:ascii="Arial Narrow" w:hAnsi="Arial Narrow"/>
                <w:sz w:val="18"/>
                <w:szCs w:val="18"/>
                <w:lang w:bidi="ar-JO"/>
              </w:rPr>
              <w:t>02-6281497</w:t>
            </w:r>
            <w:r w:rsidR="00043271">
              <w:rPr>
                <w:rFonts w:ascii="Arial Narrow" w:hAnsi="Arial Narrow"/>
                <w:sz w:val="18"/>
                <w:szCs w:val="18"/>
                <w:lang w:bidi="ar-JO"/>
              </w:rPr>
              <w:t xml:space="preserve">-  </w:t>
            </w:r>
            <w:r w:rsidRPr="00376ECE">
              <w:rPr>
                <w:rFonts w:ascii="Arial Narrow" w:hAnsi="Arial Narrow"/>
                <w:sz w:val="18"/>
                <w:szCs w:val="18"/>
                <w:lang w:bidi="ar-JO"/>
              </w:rPr>
              <w:t>6282449</w:t>
            </w:r>
          </w:p>
        </w:tc>
        <w:tc>
          <w:tcPr>
            <w:tcW w:w="1222" w:type="pct"/>
            <w:shd w:val="clear" w:color="auto" w:fill="auto"/>
            <w:vAlign w:val="center"/>
          </w:tcPr>
          <w:p w:rsidR="006D392E" w:rsidRPr="00376ECE" w:rsidRDefault="00A43E18" w:rsidP="00376ECE">
            <w:pPr>
              <w:spacing w:before="0" w:after="0"/>
              <w:jc w:val="left"/>
              <w:rPr>
                <w:rFonts w:ascii="Arial Narrow" w:hAnsi="Arial Narrow"/>
                <w:sz w:val="18"/>
                <w:szCs w:val="18"/>
                <w:lang w:bidi="ar-JO"/>
              </w:rPr>
            </w:pPr>
            <w:hyperlink r:id="rId98" w:history="1">
              <w:r w:rsidR="006D392E" w:rsidRPr="00376ECE">
                <w:rPr>
                  <w:rStyle w:val="Collegamentoipertestuale"/>
                  <w:rFonts w:ascii="Arial Narrow" w:hAnsi="Arial Narrow"/>
                  <w:sz w:val="18"/>
                  <w:szCs w:val="18"/>
                </w:rPr>
                <w:t>wclac@palnet.com</w:t>
              </w:r>
            </w:hyperlink>
          </w:p>
        </w:tc>
        <w:tc>
          <w:tcPr>
            <w:tcW w:w="1109" w:type="pct"/>
            <w:shd w:val="clear" w:color="auto" w:fill="auto"/>
            <w:vAlign w:val="center"/>
          </w:tcPr>
          <w:p w:rsidR="006D392E" w:rsidRPr="00376ECE" w:rsidRDefault="006D392E" w:rsidP="00376ECE">
            <w:pPr>
              <w:spacing w:before="0" w:after="0"/>
              <w:jc w:val="left"/>
              <w:rPr>
                <w:rFonts w:ascii="Arial Narrow" w:hAnsi="Arial Narrow"/>
                <w:sz w:val="18"/>
                <w:szCs w:val="18"/>
                <w:lang w:bidi="ar-JO"/>
              </w:rPr>
            </w:pPr>
            <w:r w:rsidRPr="00376ECE">
              <w:rPr>
                <w:rFonts w:ascii="Arial Narrow" w:hAnsi="Arial Narrow"/>
                <w:sz w:val="18"/>
                <w:szCs w:val="18"/>
                <w:lang w:bidi="ar-JO"/>
              </w:rPr>
              <w:t>Women and Legal Issues</w:t>
            </w:r>
          </w:p>
        </w:tc>
      </w:tr>
    </w:tbl>
    <w:p w:rsidR="00043271" w:rsidRDefault="00043271" w:rsidP="00376ECE">
      <w:pPr>
        <w:spacing w:before="0" w:after="0"/>
        <w:rPr>
          <w:rFonts w:ascii="Arial Narrow" w:hAnsi="Arial Narrow"/>
          <w:b/>
          <w:bCs/>
          <w:sz w:val="18"/>
          <w:szCs w:val="18"/>
          <w:lang w:bidi="ar-JO"/>
        </w:rPr>
        <w:sectPr w:rsidR="00043271" w:rsidSect="00E81D61">
          <w:footerReference w:type="default" r:id="rId99"/>
          <w:pgSz w:w="16838" w:h="11906" w:orient="landscape"/>
          <w:pgMar w:top="1134" w:right="1417" w:bottom="1134" w:left="1134" w:header="708" w:footer="708" w:gutter="0"/>
          <w:cols w:space="708"/>
          <w:docGrid w:linePitch="360"/>
        </w:sectPr>
      </w:pPr>
    </w:p>
    <w:p w:rsidR="00043271" w:rsidRPr="004A778B" w:rsidRDefault="00043271" w:rsidP="00043271">
      <w:pPr>
        <w:pStyle w:val="Titolo1"/>
      </w:pPr>
      <w:bookmarkStart w:id="23" w:name="_Toc382998023"/>
      <w:r w:rsidRPr="004A778B">
        <w:lastRenderedPageBreak/>
        <w:t xml:space="preserve">Annex </w:t>
      </w:r>
      <w:r>
        <w:t>4</w:t>
      </w:r>
      <w:r w:rsidRPr="004A778B">
        <w:t xml:space="preserve">: </w:t>
      </w:r>
      <w:r>
        <w:t>EVALUATION METHODOLOGY</w:t>
      </w:r>
      <w:bookmarkEnd w:id="23"/>
    </w:p>
    <w:p w:rsidR="0071776E" w:rsidRDefault="0071776E" w:rsidP="0071776E">
      <w:pPr>
        <w:pStyle w:val="Default"/>
        <w:spacing w:before="0" w:after="0"/>
        <w:rPr>
          <w:rFonts w:ascii="Arial" w:hAnsi="Arial" w:cs="Arial"/>
          <w:sz w:val="22"/>
          <w:szCs w:val="22"/>
        </w:rPr>
      </w:pPr>
    </w:p>
    <w:p w:rsidR="0071776E" w:rsidRDefault="0071776E" w:rsidP="0071776E">
      <w:pPr>
        <w:pStyle w:val="Default"/>
        <w:spacing w:before="0" w:after="0"/>
        <w:rPr>
          <w:rFonts w:ascii="Arial" w:hAnsi="Arial" w:cs="Arial"/>
          <w:sz w:val="22"/>
          <w:szCs w:val="22"/>
        </w:rPr>
      </w:pPr>
      <w:r w:rsidRPr="00C668DA">
        <w:rPr>
          <w:rFonts w:ascii="Arial" w:hAnsi="Arial" w:cs="Arial"/>
          <w:sz w:val="22"/>
          <w:szCs w:val="22"/>
        </w:rPr>
        <w:t xml:space="preserve">The progress of the work was closely followed by a Reference Group (RG) composed of members of the Commission’s Directorate-General (DG) Development and Cooperation - </w:t>
      </w:r>
      <w:proofErr w:type="spellStart"/>
      <w:r w:rsidRPr="00C668DA">
        <w:rPr>
          <w:rFonts w:ascii="Arial" w:hAnsi="Arial" w:cs="Arial"/>
          <w:sz w:val="22"/>
          <w:szCs w:val="22"/>
        </w:rPr>
        <w:t>EuropeAid</w:t>
      </w:r>
      <w:proofErr w:type="spellEnd"/>
      <w:r w:rsidRPr="00C668DA">
        <w:rPr>
          <w:rFonts w:ascii="Arial" w:hAnsi="Arial" w:cs="Arial"/>
          <w:sz w:val="22"/>
          <w:szCs w:val="22"/>
        </w:rPr>
        <w:t xml:space="preserve"> Office (DEVCO), of the European External Action Service (EEAS), of the EU Delegation in </w:t>
      </w:r>
      <w:r>
        <w:rPr>
          <w:rFonts w:ascii="Arial" w:hAnsi="Arial" w:cs="Arial"/>
          <w:sz w:val="22"/>
          <w:szCs w:val="22"/>
        </w:rPr>
        <w:t>Palestine</w:t>
      </w:r>
      <w:r w:rsidRPr="00C668DA">
        <w:rPr>
          <w:rFonts w:ascii="Arial" w:hAnsi="Arial" w:cs="Arial"/>
          <w:sz w:val="22"/>
          <w:szCs w:val="22"/>
        </w:rPr>
        <w:t>, and chaired by the Evaluation Unit of DG DEVCO-</w:t>
      </w:r>
      <w:proofErr w:type="spellStart"/>
      <w:r w:rsidRPr="00C668DA">
        <w:rPr>
          <w:rFonts w:ascii="Arial" w:hAnsi="Arial" w:cs="Arial"/>
          <w:sz w:val="22"/>
          <w:szCs w:val="22"/>
        </w:rPr>
        <w:t>EuropeAid</w:t>
      </w:r>
      <w:proofErr w:type="spellEnd"/>
      <w:r w:rsidRPr="00C668DA">
        <w:rPr>
          <w:rFonts w:ascii="Arial" w:hAnsi="Arial" w:cs="Arial"/>
          <w:sz w:val="22"/>
          <w:szCs w:val="22"/>
        </w:rPr>
        <w:t xml:space="preserve">. </w:t>
      </w:r>
    </w:p>
    <w:p w:rsidR="0071776E" w:rsidRDefault="0071776E" w:rsidP="0071776E">
      <w:pPr>
        <w:pStyle w:val="Default"/>
        <w:spacing w:before="0" w:after="0"/>
        <w:rPr>
          <w:rFonts w:ascii="Arial" w:hAnsi="Arial" w:cs="Arial"/>
          <w:sz w:val="22"/>
          <w:szCs w:val="22"/>
        </w:rPr>
      </w:pPr>
    </w:p>
    <w:p w:rsidR="0071776E" w:rsidRDefault="0071776E" w:rsidP="0071776E">
      <w:pPr>
        <w:pStyle w:val="Default"/>
        <w:spacing w:before="0" w:after="0"/>
        <w:rPr>
          <w:rFonts w:ascii="Arial" w:hAnsi="Arial" w:cs="Arial"/>
          <w:color w:val="1F497D" w:themeColor="text2"/>
        </w:rPr>
      </w:pPr>
      <w:r w:rsidRPr="00C668DA">
        <w:rPr>
          <w:rFonts w:ascii="Arial" w:hAnsi="Arial" w:cs="Arial"/>
          <w:sz w:val="22"/>
          <w:szCs w:val="22"/>
        </w:rPr>
        <w:t xml:space="preserve">In accordance with the guidelines issued by the Evaluation Unit, the methodology developed for this evaluation aimed to define and answer a set of Evaluation Questions in order to draw out conclusions based on sound analysis and useful corresponding recommendations. To this end, the evaluation was conducted in three main phases: desk phase, field phase and synthesis phase. This section briefly presents the overall evaluation process, the information on which the findings are based (data collection), and the main challenges and limits faced by the evaluation. </w:t>
      </w:r>
    </w:p>
    <w:p w:rsidR="0071776E" w:rsidRPr="00621BF3" w:rsidRDefault="0071776E" w:rsidP="0071776E">
      <w:pPr>
        <w:pStyle w:val="Default"/>
        <w:spacing w:before="0" w:after="0"/>
        <w:outlineLvl w:val="1"/>
        <w:rPr>
          <w:rFonts w:ascii="Arial" w:hAnsi="Arial" w:cs="Arial"/>
          <w:color w:val="1F497D" w:themeColor="text2"/>
        </w:rPr>
      </w:pPr>
    </w:p>
    <w:p w:rsidR="0071776E" w:rsidRDefault="0071776E" w:rsidP="001A745D">
      <w:pPr>
        <w:pStyle w:val="Default"/>
        <w:numPr>
          <w:ilvl w:val="2"/>
          <w:numId w:val="0"/>
        </w:numPr>
        <w:spacing w:before="0" w:after="0"/>
        <w:ind w:left="709" w:hanging="709"/>
        <w:rPr>
          <w:rFonts w:ascii="Arial" w:hAnsi="Arial" w:cs="Arial"/>
          <w:b/>
          <w:color w:val="1F497D" w:themeColor="text2"/>
          <w:sz w:val="22"/>
          <w:szCs w:val="22"/>
        </w:rPr>
      </w:pPr>
      <w:bookmarkStart w:id="24" w:name="_Toc380763121"/>
      <w:r w:rsidRPr="00621BF3">
        <w:rPr>
          <w:rFonts w:ascii="Arial" w:hAnsi="Arial" w:cs="Arial"/>
          <w:b/>
          <w:color w:val="1F497D" w:themeColor="text2"/>
          <w:sz w:val="22"/>
          <w:szCs w:val="22"/>
        </w:rPr>
        <w:t>Evaluation Process</w:t>
      </w:r>
      <w:bookmarkEnd w:id="24"/>
      <w:r w:rsidRPr="00621BF3">
        <w:rPr>
          <w:rFonts w:ascii="Arial" w:hAnsi="Arial" w:cs="Arial"/>
          <w:b/>
          <w:color w:val="1F497D" w:themeColor="text2"/>
          <w:sz w:val="22"/>
          <w:szCs w:val="22"/>
        </w:rPr>
        <w:t xml:space="preserve">  </w:t>
      </w:r>
    </w:p>
    <w:p w:rsidR="0071776E" w:rsidRPr="001B0810" w:rsidRDefault="0071776E" w:rsidP="0071776E">
      <w:pPr>
        <w:pStyle w:val="Default"/>
        <w:spacing w:before="0" w:after="0"/>
        <w:rPr>
          <w:rFonts w:ascii="Arial" w:hAnsi="Arial" w:cs="Arial"/>
          <w:sz w:val="22"/>
          <w:szCs w:val="22"/>
        </w:rPr>
      </w:pPr>
      <w:r w:rsidRPr="00A3685E">
        <w:rPr>
          <w:rFonts w:ascii="Arial" w:hAnsi="Arial" w:cs="Arial"/>
          <w:sz w:val="22"/>
          <w:szCs w:val="22"/>
        </w:rPr>
        <w:t xml:space="preserve">The evaluation </w:t>
      </w:r>
      <w:r w:rsidR="00B72654">
        <w:rPr>
          <w:rFonts w:ascii="Arial" w:hAnsi="Arial" w:cs="Arial"/>
          <w:sz w:val="22"/>
          <w:szCs w:val="22"/>
        </w:rPr>
        <w:t xml:space="preserve">has been carried out from March 2013 to April 2014, see </w:t>
      </w:r>
      <w:proofErr w:type="spellStart"/>
      <w:r w:rsidR="00B72654">
        <w:rPr>
          <w:rFonts w:ascii="Arial" w:hAnsi="Arial" w:cs="Arial"/>
          <w:sz w:val="22"/>
          <w:szCs w:val="22"/>
        </w:rPr>
        <w:t>workplan</w:t>
      </w:r>
      <w:proofErr w:type="spellEnd"/>
      <w:r w:rsidR="00B72654">
        <w:rPr>
          <w:rFonts w:ascii="Arial" w:hAnsi="Arial" w:cs="Arial"/>
          <w:sz w:val="22"/>
          <w:szCs w:val="22"/>
        </w:rPr>
        <w:t xml:space="preserve"> on next page. The evaluation </w:t>
      </w:r>
      <w:r w:rsidRPr="00A3685E">
        <w:rPr>
          <w:rFonts w:ascii="Arial" w:hAnsi="Arial" w:cs="Arial"/>
          <w:sz w:val="22"/>
          <w:szCs w:val="22"/>
        </w:rPr>
        <w:t xml:space="preserve">was structured in three main phases: </w:t>
      </w:r>
      <w:proofErr w:type="spellStart"/>
      <w:r w:rsidRPr="00A3685E">
        <w:rPr>
          <w:rFonts w:ascii="Arial" w:hAnsi="Arial" w:cs="Arial"/>
          <w:sz w:val="22"/>
          <w:szCs w:val="22"/>
        </w:rPr>
        <w:t>i</w:t>
      </w:r>
      <w:proofErr w:type="spellEnd"/>
      <w:r w:rsidRPr="00A3685E">
        <w:rPr>
          <w:rFonts w:ascii="Arial" w:hAnsi="Arial" w:cs="Arial"/>
          <w:sz w:val="22"/>
          <w:szCs w:val="22"/>
        </w:rPr>
        <w:t xml:space="preserve">) a desk phase; ii) a field phase; and iii) a synthesis phase. Figure 1 provides an overview of the three main phases, specifying for each of them the activities carried out, the deliverables produced and the meetings </w:t>
      </w:r>
      <w:proofErr w:type="spellStart"/>
      <w:r w:rsidRPr="00A3685E">
        <w:rPr>
          <w:rFonts w:ascii="Arial" w:hAnsi="Arial" w:cs="Arial"/>
          <w:sz w:val="22"/>
          <w:szCs w:val="22"/>
        </w:rPr>
        <w:t>organised</w:t>
      </w:r>
      <w:proofErr w:type="spellEnd"/>
      <w:r w:rsidRPr="00A3685E">
        <w:rPr>
          <w:rFonts w:ascii="Arial" w:hAnsi="Arial" w:cs="Arial"/>
          <w:sz w:val="22"/>
          <w:szCs w:val="22"/>
        </w:rPr>
        <w:t xml:space="preserve"> with the Reference Group (RG) and with the European Union Delegation (EUD) in Ecuador. </w:t>
      </w:r>
      <w:r w:rsidRPr="001B0810">
        <w:rPr>
          <w:rFonts w:ascii="Arial" w:hAnsi="Arial" w:cs="Arial"/>
          <w:sz w:val="22"/>
          <w:szCs w:val="22"/>
        </w:rPr>
        <w:t>Further details are provided in the paragraphs that follow.</w:t>
      </w:r>
    </w:p>
    <w:p w:rsidR="0071776E" w:rsidRPr="001B0810" w:rsidRDefault="0071776E" w:rsidP="0071776E">
      <w:pPr>
        <w:pStyle w:val="Default"/>
        <w:spacing w:before="0" w:after="0"/>
        <w:outlineLvl w:val="2"/>
        <w:rPr>
          <w:rFonts w:ascii="Arial" w:hAnsi="Arial" w:cs="Arial"/>
          <w:sz w:val="22"/>
          <w:szCs w:val="22"/>
        </w:rPr>
      </w:pPr>
    </w:p>
    <w:p w:rsidR="0071776E" w:rsidRPr="007C3012" w:rsidRDefault="0071776E" w:rsidP="0071776E">
      <w:pPr>
        <w:pStyle w:val="Default"/>
        <w:spacing w:before="0" w:after="0"/>
        <w:jc w:val="center"/>
        <w:rPr>
          <w:rFonts w:ascii="Arial" w:hAnsi="Arial" w:cs="Arial"/>
          <w:b/>
          <w:color w:val="1F497D" w:themeColor="text2"/>
          <w:sz w:val="20"/>
          <w:szCs w:val="20"/>
        </w:rPr>
      </w:pPr>
      <w:r w:rsidRPr="007C3012">
        <w:rPr>
          <w:rFonts w:ascii="Arial" w:hAnsi="Arial" w:cs="Arial"/>
          <w:b/>
          <w:color w:val="1F497D" w:themeColor="text2"/>
          <w:sz w:val="20"/>
          <w:szCs w:val="20"/>
        </w:rPr>
        <w:t xml:space="preserve">Figure </w:t>
      </w:r>
      <w:r w:rsidR="00A43E18" w:rsidRPr="007C3012">
        <w:rPr>
          <w:rFonts w:ascii="Arial" w:hAnsi="Arial" w:cs="Arial"/>
          <w:b/>
          <w:color w:val="1F497D" w:themeColor="text2"/>
          <w:sz w:val="20"/>
          <w:szCs w:val="20"/>
        </w:rPr>
        <w:fldChar w:fldCharType="begin"/>
      </w:r>
      <w:r w:rsidRPr="007C3012">
        <w:rPr>
          <w:rFonts w:ascii="Arial" w:hAnsi="Arial" w:cs="Arial"/>
          <w:b/>
          <w:color w:val="1F497D" w:themeColor="text2"/>
          <w:sz w:val="20"/>
          <w:szCs w:val="20"/>
        </w:rPr>
        <w:instrText xml:space="preserve"> SEQ Figure \* ARABIC </w:instrText>
      </w:r>
      <w:r w:rsidR="00A43E18" w:rsidRPr="007C3012">
        <w:rPr>
          <w:rFonts w:ascii="Arial" w:hAnsi="Arial" w:cs="Arial"/>
          <w:b/>
          <w:color w:val="1F497D" w:themeColor="text2"/>
          <w:sz w:val="20"/>
          <w:szCs w:val="20"/>
        </w:rPr>
        <w:fldChar w:fldCharType="separate"/>
      </w:r>
      <w:r w:rsidRPr="007C3012">
        <w:rPr>
          <w:rFonts w:ascii="Arial" w:hAnsi="Arial" w:cs="Arial"/>
          <w:b/>
          <w:noProof/>
          <w:color w:val="1F497D" w:themeColor="text2"/>
          <w:sz w:val="20"/>
          <w:szCs w:val="20"/>
        </w:rPr>
        <w:t>1</w:t>
      </w:r>
      <w:r w:rsidR="00A43E18" w:rsidRPr="007C3012">
        <w:rPr>
          <w:rFonts w:ascii="Arial" w:hAnsi="Arial" w:cs="Arial"/>
          <w:b/>
          <w:color w:val="1F497D" w:themeColor="text2"/>
          <w:sz w:val="20"/>
          <w:szCs w:val="20"/>
        </w:rPr>
        <w:fldChar w:fldCharType="end"/>
      </w:r>
      <w:r w:rsidRPr="007C3012">
        <w:rPr>
          <w:rFonts w:ascii="Arial" w:hAnsi="Arial" w:cs="Arial"/>
          <w:b/>
          <w:color w:val="1F497D" w:themeColor="text2"/>
          <w:sz w:val="20"/>
          <w:szCs w:val="20"/>
        </w:rPr>
        <w:t>: Key Steps of the Palestine Country Level Evaluation</w:t>
      </w:r>
    </w:p>
    <w:p w:rsidR="0071776E" w:rsidRDefault="0071776E" w:rsidP="0071776E">
      <w:pPr>
        <w:pStyle w:val="Default"/>
        <w:spacing w:before="0" w:after="0"/>
        <w:outlineLvl w:val="2"/>
        <w:rPr>
          <w:rFonts w:ascii="Arial" w:hAnsi="Arial" w:cs="Arial"/>
          <w:b/>
          <w:color w:val="1F497D" w:themeColor="text2"/>
          <w:sz w:val="22"/>
          <w:szCs w:val="22"/>
        </w:rPr>
      </w:pPr>
      <w:r w:rsidRPr="00E54906">
        <w:rPr>
          <w:noProof/>
          <w:szCs w:val="22"/>
          <w:lang w:val="it-IT" w:eastAsia="it-IT"/>
        </w:rPr>
        <w:drawing>
          <wp:inline distT="0" distB="0" distL="0" distR="0">
            <wp:extent cx="6121654" cy="4476750"/>
            <wp:effectExtent l="19050" t="0" r="0" b="0"/>
            <wp:docPr id="3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cstate="print"/>
                    <a:srcRect/>
                    <a:stretch>
                      <a:fillRect/>
                    </a:stretch>
                  </pic:blipFill>
                  <pic:spPr bwMode="auto">
                    <a:xfrm>
                      <a:off x="0" y="0"/>
                      <a:ext cx="6120130" cy="4475635"/>
                    </a:xfrm>
                    <a:prstGeom prst="rect">
                      <a:avLst/>
                    </a:prstGeom>
                    <a:noFill/>
                    <a:ln w="9525">
                      <a:noFill/>
                      <a:miter lim="800000"/>
                      <a:headEnd/>
                      <a:tailEnd/>
                    </a:ln>
                  </pic:spPr>
                </pic:pic>
              </a:graphicData>
            </a:graphic>
          </wp:inline>
        </w:drawing>
      </w:r>
    </w:p>
    <w:p w:rsidR="003152D8" w:rsidRDefault="003152D8" w:rsidP="0071776E">
      <w:pPr>
        <w:pStyle w:val="Default"/>
        <w:spacing w:before="0" w:after="0"/>
        <w:outlineLvl w:val="2"/>
        <w:rPr>
          <w:rFonts w:ascii="Arial" w:hAnsi="Arial" w:cs="Arial"/>
          <w:b/>
          <w:color w:val="1F497D" w:themeColor="text2"/>
          <w:sz w:val="22"/>
          <w:szCs w:val="22"/>
        </w:rPr>
        <w:sectPr w:rsidR="003152D8" w:rsidSect="00792401">
          <w:footerReference w:type="default" r:id="rId101"/>
          <w:pgSz w:w="11906" w:h="16838"/>
          <w:pgMar w:top="1417" w:right="1134" w:bottom="1134" w:left="1134" w:header="708" w:footer="708" w:gutter="0"/>
          <w:cols w:space="708"/>
          <w:docGrid w:linePitch="360"/>
        </w:sectPr>
      </w:pPr>
    </w:p>
    <w:p w:rsidR="0071776E" w:rsidRPr="003152D8" w:rsidRDefault="003152D8" w:rsidP="00227E35">
      <w:pPr>
        <w:pStyle w:val="Default"/>
        <w:spacing w:before="0" w:after="0"/>
        <w:jc w:val="center"/>
        <w:rPr>
          <w:rFonts w:ascii="Arial" w:hAnsi="Arial" w:cs="Arial"/>
          <w:b/>
          <w:color w:val="1F497D" w:themeColor="text2"/>
          <w:sz w:val="18"/>
          <w:szCs w:val="18"/>
        </w:rPr>
      </w:pPr>
      <w:proofErr w:type="spellStart"/>
      <w:r w:rsidRPr="003152D8">
        <w:rPr>
          <w:rFonts w:ascii="Arial" w:hAnsi="Arial" w:cs="Arial"/>
          <w:b/>
          <w:color w:val="1F497D" w:themeColor="text2"/>
          <w:sz w:val="18"/>
          <w:szCs w:val="18"/>
        </w:rPr>
        <w:lastRenderedPageBreak/>
        <w:t>Workplan</w:t>
      </w:r>
      <w:proofErr w:type="spellEnd"/>
      <w:r w:rsidRPr="003152D8">
        <w:rPr>
          <w:rFonts w:ascii="Arial" w:hAnsi="Arial" w:cs="Arial"/>
          <w:b/>
          <w:color w:val="1F497D" w:themeColor="text2"/>
          <w:sz w:val="18"/>
          <w:szCs w:val="18"/>
        </w:rPr>
        <w:t xml:space="preserve"> of the evaluation March 2013- April 2014</w:t>
      </w:r>
    </w:p>
    <w:p w:rsidR="00B72654" w:rsidRDefault="003369DE" w:rsidP="0071776E">
      <w:pPr>
        <w:spacing w:before="0" w:after="0"/>
        <w:jc w:val="left"/>
        <w:rPr>
          <w:rFonts w:ascii="Arial" w:hAnsi="Arial" w:cs="Arial"/>
          <w:b/>
          <w:color w:val="1F497D" w:themeColor="text2"/>
          <w:sz w:val="22"/>
          <w:szCs w:val="22"/>
        </w:rPr>
      </w:pPr>
      <w:r w:rsidRPr="003369DE">
        <w:rPr>
          <w:noProof/>
          <w:szCs w:val="22"/>
          <w:lang w:val="it-IT" w:eastAsia="it-IT"/>
        </w:rPr>
        <w:drawing>
          <wp:inline distT="0" distB="0" distL="0" distR="0">
            <wp:extent cx="9067800" cy="5715000"/>
            <wp:effectExtent l="19050" t="0" r="0" b="0"/>
            <wp:docPr id="36"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2" cstate="print"/>
                    <a:srcRect/>
                    <a:stretch>
                      <a:fillRect/>
                    </a:stretch>
                  </pic:blipFill>
                  <pic:spPr bwMode="auto">
                    <a:xfrm>
                      <a:off x="0" y="0"/>
                      <a:ext cx="9072245" cy="5717801"/>
                    </a:xfrm>
                    <a:prstGeom prst="rect">
                      <a:avLst/>
                    </a:prstGeom>
                    <a:noFill/>
                    <a:ln w="9525">
                      <a:noFill/>
                      <a:miter lim="800000"/>
                      <a:headEnd/>
                      <a:tailEnd/>
                    </a:ln>
                  </pic:spPr>
                </pic:pic>
              </a:graphicData>
            </a:graphic>
          </wp:inline>
        </w:drawing>
      </w:r>
    </w:p>
    <w:p w:rsidR="00B72654" w:rsidRDefault="00B72654" w:rsidP="0071776E">
      <w:pPr>
        <w:spacing w:before="0" w:after="0"/>
        <w:jc w:val="left"/>
        <w:rPr>
          <w:rFonts w:ascii="Arial" w:hAnsi="Arial" w:cs="Arial"/>
          <w:b/>
          <w:color w:val="1F497D" w:themeColor="text2"/>
          <w:sz w:val="22"/>
          <w:szCs w:val="22"/>
        </w:rPr>
      </w:pPr>
    </w:p>
    <w:p w:rsidR="00B72654" w:rsidRDefault="00B72654" w:rsidP="0071776E">
      <w:pPr>
        <w:spacing w:before="0" w:after="0"/>
        <w:jc w:val="left"/>
        <w:rPr>
          <w:rFonts w:ascii="Arial" w:hAnsi="Arial" w:cs="Arial"/>
          <w:b/>
          <w:color w:val="1F497D" w:themeColor="text2"/>
          <w:sz w:val="22"/>
          <w:szCs w:val="22"/>
          <w:lang w:eastAsia="it-IT"/>
        </w:rPr>
        <w:sectPr w:rsidR="00B72654" w:rsidSect="00B72654">
          <w:footerReference w:type="default" r:id="rId103"/>
          <w:pgSz w:w="16838" w:h="11906" w:orient="landscape"/>
          <w:pgMar w:top="1134" w:right="1417" w:bottom="1134" w:left="1134" w:header="708" w:footer="708" w:gutter="0"/>
          <w:cols w:space="708"/>
          <w:docGrid w:linePitch="360"/>
        </w:sectPr>
      </w:pPr>
    </w:p>
    <w:p w:rsidR="0071776E" w:rsidRPr="003B176E" w:rsidRDefault="0071776E" w:rsidP="001A745D">
      <w:pPr>
        <w:pStyle w:val="Default"/>
        <w:spacing w:before="0" w:after="0"/>
        <w:rPr>
          <w:rFonts w:ascii="Arial" w:hAnsi="Arial" w:cs="Arial"/>
          <w:b/>
          <w:color w:val="1F497D" w:themeColor="text2"/>
        </w:rPr>
      </w:pPr>
      <w:r w:rsidRPr="003B176E">
        <w:rPr>
          <w:rFonts w:ascii="Arial" w:hAnsi="Arial" w:cs="Arial"/>
          <w:b/>
          <w:color w:val="1F497D" w:themeColor="text2"/>
        </w:rPr>
        <w:lastRenderedPageBreak/>
        <w:t xml:space="preserve">DESK PHASE </w:t>
      </w:r>
    </w:p>
    <w:p w:rsidR="0071776E" w:rsidRPr="00956931" w:rsidRDefault="0071776E" w:rsidP="0071776E">
      <w:pPr>
        <w:spacing w:before="0" w:after="0"/>
      </w:pPr>
    </w:p>
    <w:p w:rsidR="0071776E" w:rsidRPr="00F86A1E" w:rsidRDefault="0071776E" w:rsidP="0071776E">
      <w:pPr>
        <w:spacing w:before="0" w:after="0"/>
        <w:rPr>
          <w:rFonts w:ascii="Arial" w:hAnsi="Arial" w:cs="Arial"/>
          <w:b/>
          <w:color w:val="1F497D" w:themeColor="text2"/>
          <w:sz w:val="22"/>
          <w:szCs w:val="22"/>
          <w:u w:val="single"/>
        </w:rPr>
      </w:pPr>
      <w:r w:rsidRPr="00F86A1E">
        <w:rPr>
          <w:rFonts w:ascii="Arial" w:hAnsi="Arial" w:cs="Arial"/>
          <w:b/>
          <w:color w:val="1F497D" w:themeColor="text2"/>
          <w:sz w:val="22"/>
          <w:szCs w:val="22"/>
          <w:u w:val="single"/>
        </w:rPr>
        <w:t>Inception stage</w:t>
      </w:r>
    </w:p>
    <w:p w:rsidR="0071776E" w:rsidRPr="00F86A1E" w:rsidRDefault="0071776E" w:rsidP="0071776E">
      <w:pPr>
        <w:spacing w:before="0" w:after="0"/>
        <w:rPr>
          <w:rFonts w:ascii="Arial" w:hAnsi="Arial" w:cs="Arial"/>
          <w:b/>
          <w:color w:val="1F497D" w:themeColor="text2"/>
          <w:sz w:val="22"/>
          <w:szCs w:val="22"/>
          <w:u w:val="single"/>
        </w:rPr>
      </w:pPr>
    </w:p>
    <w:p w:rsidR="0071776E" w:rsidRDefault="0071776E" w:rsidP="0071776E">
      <w:pPr>
        <w:pStyle w:val="Default"/>
        <w:spacing w:before="0" w:after="0"/>
        <w:rPr>
          <w:rFonts w:ascii="Arial" w:hAnsi="Arial" w:cs="Arial"/>
          <w:sz w:val="22"/>
          <w:szCs w:val="22"/>
        </w:rPr>
      </w:pPr>
      <w:r w:rsidRPr="00D23060">
        <w:rPr>
          <w:rFonts w:ascii="Arial" w:hAnsi="Arial" w:cs="Arial"/>
          <w:sz w:val="22"/>
          <w:szCs w:val="22"/>
        </w:rPr>
        <w:t xml:space="preserve">During the inception phase, the Team Leader has conducted a preliminary exploratory mission in March 2013 in Palestine. Throughout the inception phase, more than 10 representatives of </w:t>
      </w:r>
      <w:proofErr w:type="spellStart"/>
      <w:r w:rsidRPr="00D23060">
        <w:rPr>
          <w:rFonts w:ascii="Arial" w:hAnsi="Arial" w:cs="Arial"/>
          <w:sz w:val="22"/>
          <w:szCs w:val="22"/>
        </w:rPr>
        <w:t>EUREPstaff</w:t>
      </w:r>
      <w:proofErr w:type="spellEnd"/>
      <w:r w:rsidRPr="00D23060">
        <w:rPr>
          <w:rFonts w:ascii="Arial" w:hAnsi="Arial" w:cs="Arial"/>
          <w:sz w:val="22"/>
          <w:szCs w:val="22"/>
        </w:rPr>
        <w:t xml:space="preserve">, national authorities and other donors have been interviewed. The objective of the preparatory mission was to introduce to the reference group representatives and other partners the evaluation process, the methodological approach, set a first contact with EUREP and identify through a participatory approach the fundamental issues to be addressed during the evaluation. </w:t>
      </w:r>
    </w:p>
    <w:p w:rsidR="0071776E" w:rsidRPr="00D23060" w:rsidRDefault="0071776E" w:rsidP="0071776E">
      <w:pPr>
        <w:pStyle w:val="Default"/>
        <w:spacing w:before="0" w:after="0"/>
        <w:rPr>
          <w:rFonts w:ascii="Arial" w:hAnsi="Arial" w:cs="Arial"/>
          <w:sz w:val="22"/>
          <w:szCs w:val="22"/>
        </w:rPr>
      </w:pPr>
    </w:p>
    <w:p w:rsidR="0071776E" w:rsidRPr="00956931" w:rsidRDefault="0071776E" w:rsidP="0071776E">
      <w:pPr>
        <w:pStyle w:val="Default"/>
        <w:spacing w:before="0" w:after="0"/>
        <w:rPr>
          <w:rFonts w:ascii="Arial" w:hAnsi="Arial" w:cs="Arial"/>
          <w:color w:val="auto"/>
          <w:sz w:val="22"/>
          <w:szCs w:val="22"/>
        </w:rPr>
      </w:pPr>
      <w:r w:rsidRPr="00D23060">
        <w:rPr>
          <w:rFonts w:ascii="Arial" w:hAnsi="Arial" w:cs="Arial"/>
          <w:sz w:val="22"/>
          <w:szCs w:val="22"/>
        </w:rPr>
        <w:t xml:space="preserve">Following the preliminary analysis of the Commission’s strategy and policy documents, the team elaborated the </w:t>
      </w:r>
      <w:r w:rsidRPr="00D23060">
        <w:rPr>
          <w:rFonts w:ascii="Arial" w:hAnsi="Arial" w:cs="Arial"/>
          <w:b/>
          <w:bCs/>
          <w:sz w:val="22"/>
          <w:szCs w:val="22"/>
        </w:rPr>
        <w:t xml:space="preserve">intervention logic </w:t>
      </w:r>
      <w:r w:rsidRPr="00D23060">
        <w:rPr>
          <w:rFonts w:ascii="Arial" w:hAnsi="Arial" w:cs="Arial"/>
          <w:sz w:val="22"/>
          <w:szCs w:val="22"/>
        </w:rPr>
        <w:t>which represents the hierarchy of objectives and expected effects Evaluation of the Commission of the European Union’s co-opera</w:t>
      </w:r>
      <w:r>
        <w:rPr>
          <w:rFonts w:ascii="Arial" w:hAnsi="Arial" w:cs="Arial"/>
          <w:sz w:val="22"/>
          <w:szCs w:val="22"/>
        </w:rPr>
        <w:t xml:space="preserve">tion with Palestine </w:t>
      </w:r>
      <w:r w:rsidRPr="00D23060">
        <w:rPr>
          <w:rFonts w:ascii="Arial" w:hAnsi="Arial" w:cs="Arial"/>
          <w:color w:val="auto"/>
          <w:sz w:val="22"/>
          <w:szCs w:val="22"/>
        </w:rPr>
        <w:t xml:space="preserve">as expressed in the main strategy documents over the years. </w:t>
      </w:r>
      <w:r w:rsidRPr="00956931">
        <w:rPr>
          <w:rFonts w:ascii="Arial" w:hAnsi="Arial" w:cs="Arial"/>
          <w:color w:val="auto"/>
          <w:sz w:val="22"/>
          <w:szCs w:val="22"/>
        </w:rPr>
        <w:t xml:space="preserve">As such, it represents the backbone for the evaluation, and outlines the set of objectives against which the EC intervention will be assessed. </w:t>
      </w:r>
    </w:p>
    <w:p w:rsidR="0071776E" w:rsidRPr="00956931" w:rsidRDefault="0071776E" w:rsidP="0071776E">
      <w:pPr>
        <w:pStyle w:val="Default"/>
        <w:spacing w:before="0" w:after="0"/>
        <w:rPr>
          <w:rFonts w:ascii="Arial" w:hAnsi="Arial" w:cs="Arial"/>
          <w:color w:val="auto"/>
          <w:sz w:val="22"/>
          <w:szCs w:val="22"/>
        </w:rPr>
      </w:pPr>
    </w:p>
    <w:p w:rsidR="0071776E" w:rsidRPr="00D23060" w:rsidRDefault="0071776E" w:rsidP="0071776E">
      <w:pPr>
        <w:spacing w:before="0" w:after="0"/>
        <w:rPr>
          <w:rFonts w:ascii="Arial" w:hAnsi="Arial" w:cs="Arial"/>
          <w:sz w:val="22"/>
          <w:szCs w:val="22"/>
        </w:rPr>
      </w:pPr>
      <w:r w:rsidRPr="00D23060">
        <w:rPr>
          <w:rFonts w:ascii="Arial" w:hAnsi="Arial" w:cs="Arial"/>
          <w:sz w:val="22"/>
          <w:szCs w:val="22"/>
        </w:rPr>
        <w:t xml:space="preserve">The intervention logic was designed on six levels as follows: </w:t>
      </w:r>
    </w:p>
    <w:p w:rsidR="0071776E" w:rsidRPr="008D0C72" w:rsidRDefault="0071776E" w:rsidP="0071776E">
      <w:pPr>
        <w:spacing w:before="0" w:after="0"/>
        <w:rPr>
          <w:rFonts w:ascii="Times New Roman" w:hAnsi="Times New Roman"/>
          <w:szCs w:val="24"/>
        </w:rPr>
      </w:pPr>
      <w:bookmarkStart w:id="25" w:name="_Toc361409346"/>
    </w:p>
    <w:p w:rsidR="0071776E" w:rsidRPr="00D23060" w:rsidRDefault="0071776E" w:rsidP="0071776E">
      <w:pPr>
        <w:spacing w:before="0" w:after="0"/>
        <w:rPr>
          <w:rFonts w:ascii="Arial" w:hAnsi="Arial" w:cs="Arial"/>
          <w:sz w:val="22"/>
          <w:szCs w:val="22"/>
        </w:rPr>
      </w:pPr>
      <w:bookmarkStart w:id="26" w:name="_Toc367291888"/>
      <w:r w:rsidRPr="00D23060">
        <w:rPr>
          <w:rFonts w:ascii="Arial" w:hAnsi="Arial" w:cs="Arial"/>
          <w:b/>
          <w:sz w:val="22"/>
          <w:szCs w:val="22"/>
        </w:rPr>
        <w:t>Level 1</w:t>
      </w:r>
      <w:r w:rsidRPr="00D23060">
        <w:rPr>
          <w:rFonts w:ascii="Arial" w:hAnsi="Arial" w:cs="Arial"/>
          <w:sz w:val="22"/>
          <w:szCs w:val="22"/>
        </w:rPr>
        <w:t xml:space="preserve"> - the starting point: EU Political agenda and Palestinian priorities</w:t>
      </w:r>
      <w:bookmarkEnd w:id="25"/>
      <w:bookmarkEnd w:id="26"/>
    </w:p>
    <w:p w:rsidR="0071776E" w:rsidRPr="00D23060" w:rsidRDefault="0071776E" w:rsidP="0071776E">
      <w:pPr>
        <w:spacing w:before="0" w:after="0"/>
        <w:rPr>
          <w:rFonts w:ascii="Arial" w:hAnsi="Arial" w:cs="Arial"/>
          <w:sz w:val="22"/>
          <w:szCs w:val="22"/>
        </w:rPr>
      </w:pPr>
      <w:r w:rsidRPr="00D23060">
        <w:rPr>
          <w:rFonts w:ascii="Arial" w:hAnsi="Arial" w:cs="Arial"/>
          <w:b/>
          <w:sz w:val="22"/>
          <w:szCs w:val="22"/>
        </w:rPr>
        <w:t>Level 2</w:t>
      </w:r>
      <w:r w:rsidRPr="00D23060">
        <w:rPr>
          <w:rFonts w:ascii="Arial" w:hAnsi="Arial" w:cs="Arial"/>
          <w:sz w:val="22"/>
          <w:szCs w:val="22"/>
        </w:rPr>
        <w:t xml:space="preserve"> - Interventions areas and cooperation tools</w:t>
      </w:r>
    </w:p>
    <w:p w:rsidR="0071776E" w:rsidRPr="00D23060" w:rsidRDefault="0071776E" w:rsidP="0071776E">
      <w:pPr>
        <w:spacing w:before="0" w:after="0"/>
        <w:rPr>
          <w:rFonts w:ascii="Arial" w:hAnsi="Arial" w:cs="Arial"/>
          <w:sz w:val="22"/>
          <w:szCs w:val="22"/>
        </w:rPr>
      </w:pPr>
      <w:r w:rsidRPr="00D23060">
        <w:rPr>
          <w:rFonts w:ascii="Arial" w:hAnsi="Arial" w:cs="Arial"/>
          <w:b/>
          <w:sz w:val="22"/>
          <w:szCs w:val="22"/>
        </w:rPr>
        <w:t>Level 3</w:t>
      </w:r>
      <w:r w:rsidRPr="00D23060">
        <w:rPr>
          <w:rFonts w:ascii="Arial" w:hAnsi="Arial" w:cs="Arial"/>
          <w:sz w:val="22"/>
          <w:szCs w:val="22"/>
        </w:rPr>
        <w:t xml:space="preserve"> - Cooperation interventions</w:t>
      </w:r>
    </w:p>
    <w:p w:rsidR="0071776E" w:rsidRPr="00D23060" w:rsidRDefault="0071776E" w:rsidP="0071776E">
      <w:pPr>
        <w:spacing w:before="0" w:after="0"/>
        <w:rPr>
          <w:rFonts w:ascii="Arial" w:hAnsi="Arial" w:cs="Arial"/>
          <w:sz w:val="22"/>
          <w:szCs w:val="22"/>
        </w:rPr>
      </w:pPr>
      <w:r w:rsidRPr="00D23060">
        <w:rPr>
          <w:rFonts w:ascii="Arial" w:hAnsi="Arial" w:cs="Arial"/>
          <w:b/>
          <w:sz w:val="22"/>
          <w:szCs w:val="22"/>
        </w:rPr>
        <w:t>Levels 4, 5 and 6</w:t>
      </w:r>
      <w:r w:rsidRPr="00D23060">
        <w:rPr>
          <w:rFonts w:ascii="Arial" w:hAnsi="Arial" w:cs="Arial"/>
          <w:sz w:val="22"/>
          <w:szCs w:val="22"/>
        </w:rPr>
        <w:t xml:space="preserve"> – Benefits of the cooperation effort</w:t>
      </w:r>
      <w:r>
        <w:rPr>
          <w:rFonts w:ascii="Arial" w:hAnsi="Arial" w:cs="Arial"/>
          <w:sz w:val="22"/>
          <w:szCs w:val="22"/>
        </w:rPr>
        <w:t xml:space="preserve"> as follows: . </w:t>
      </w:r>
    </w:p>
    <w:p w:rsidR="0071776E" w:rsidRPr="00D23060" w:rsidRDefault="0071776E" w:rsidP="0071776E">
      <w:pPr>
        <w:pStyle w:val="Paragrafoelenco"/>
        <w:numPr>
          <w:ilvl w:val="0"/>
          <w:numId w:val="101"/>
        </w:numPr>
        <w:spacing w:before="0" w:after="0"/>
        <w:ind w:left="1134" w:hanging="283"/>
        <w:rPr>
          <w:rFonts w:ascii="Arial" w:hAnsi="Arial" w:cs="Arial"/>
          <w:sz w:val="22"/>
          <w:szCs w:val="22"/>
        </w:rPr>
      </w:pPr>
      <w:r w:rsidRPr="00D23060">
        <w:rPr>
          <w:rFonts w:ascii="Arial" w:hAnsi="Arial" w:cs="Arial"/>
          <w:b/>
          <w:sz w:val="22"/>
          <w:szCs w:val="22"/>
        </w:rPr>
        <w:t>Outcomes</w:t>
      </w:r>
      <w:r w:rsidRPr="00D23060">
        <w:rPr>
          <w:rFonts w:ascii="Arial" w:hAnsi="Arial" w:cs="Arial"/>
          <w:sz w:val="22"/>
          <w:szCs w:val="22"/>
        </w:rPr>
        <w:t xml:space="preserve"> (level 4) or immediate benefits relating to the interventions (benefits of DFS, sustainable changes induced in focal and non-focal sectors and benefits to refugees derived from support through UNRWA);</w:t>
      </w:r>
    </w:p>
    <w:p w:rsidR="0071776E" w:rsidRPr="00D23060" w:rsidRDefault="0071776E" w:rsidP="0071776E">
      <w:pPr>
        <w:pStyle w:val="Paragrafoelenco"/>
        <w:numPr>
          <w:ilvl w:val="0"/>
          <w:numId w:val="101"/>
        </w:numPr>
        <w:spacing w:before="0" w:after="0"/>
        <w:ind w:left="1134" w:hanging="283"/>
        <w:rPr>
          <w:rFonts w:ascii="Arial" w:hAnsi="Arial" w:cs="Arial"/>
          <w:sz w:val="22"/>
          <w:szCs w:val="22"/>
        </w:rPr>
      </w:pPr>
      <w:r w:rsidRPr="00D23060">
        <w:rPr>
          <w:rFonts w:ascii="Arial" w:hAnsi="Arial" w:cs="Arial"/>
          <w:b/>
          <w:sz w:val="22"/>
          <w:szCs w:val="22"/>
        </w:rPr>
        <w:t>Intermediate impacts</w:t>
      </w:r>
      <w:r w:rsidRPr="00D23060">
        <w:rPr>
          <w:rFonts w:ascii="Arial" w:hAnsi="Arial" w:cs="Arial"/>
          <w:sz w:val="22"/>
          <w:szCs w:val="22"/>
        </w:rPr>
        <w:t xml:space="preserve"> (level 5) or longer-term sustainable changes, derived from intervention outcomes. Intermediate impacts contribute to the final goal of cooperation efforts (see summary list in box).</w:t>
      </w:r>
    </w:p>
    <w:p w:rsidR="0071776E" w:rsidRPr="00D23060" w:rsidRDefault="0071776E" w:rsidP="0071776E">
      <w:pPr>
        <w:pStyle w:val="Paragrafoelenco"/>
        <w:numPr>
          <w:ilvl w:val="0"/>
          <w:numId w:val="101"/>
        </w:numPr>
        <w:spacing w:before="0" w:after="0"/>
        <w:ind w:left="1134" w:hanging="283"/>
        <w:rPr>
          <w:rFonts w:ascii="Arial" w:hAnsi="Arial" w:cs="Arial"/>
          <w:sz w:val="22"/>
          <w:szCs w:val="22"/>
        </w:rPr>
      </w:pPr>
      <w:r w:rsidRPr="00D23060">
        <w:rPr>
          <w:rFonts w:ascii="Arial" w:hAnsi="Arial" w:cs="Arial"/>
          <w:b/>
          <w:sz w:val="22"/>
          <w:szCs w:val="22"/>
        </w:rPr>
        <w:t>Final Impact</w:t>
      </w:r>
      <w:r w:rsidRPr="00D23060">
        <w:rPr>
          <w:rFonts w:ascii="Arial" w:hAnsi="Arial" w:cs="Arial"/>
          <w:sz w:val="22"/>
          <w:szCs w:val="22"/>
        </w:rPr>
        <w:t xml:space="preserve"> (level 6): the “</w:t>
      </w:r>
      <w:r w:rsidRPr="00D23060">
        <w:rPr>
          <w:rFonts w:ascii="Arial" w:hAnsi="Arial" w:cs="Arial"/>
          <w:i/>
          <w:sz w:val="22"/>
          <w:szCs w:val="22"/>
        </w:rPr>
        <w:t>2-state solution, including an independent, economically viable and democratic Palestinian state</w:t>
      </w:r>
      <w:r w:rsidRPr="00D23060">
        <w:rPr>
          <w:rFonts w:ascii="Arial" w:hAnsi="Arial" w:cs="Arial"/>
          <w:sz w:val="22"/>
          <w:szCs w:val="22"/>
        </w:rPr>
        <w:t>”. Level 6 matches with the EU political objectives described in level 1.</w:t>
      </w:r>
    </w:p>
    <w:p w:rsidR="0071776E" w:rsidRDefault="0071776E" w:rsidP="0071776E">
      <w:pPr>
        <w:pStyle w:val="Default"/>
        <w:spacing w:before="0" w:after="0"/>
        <w:rPr>
          <w:rFonts w:ascii="Arial" w:hAnsi="Arial" w:cs="Arial"/>
          <w:color w:val="auto"/>
          <w:sz w:val="22"/>
          <w:szCs w:val="22"/>
          <w:lang w:val="en-GB"/>
        </w:rPr>
      </w:pPr>
    </w:p>
    <w:p w:rsidR="0071776E" w:rsidRDefault="0071776E" w:rsidP="0071776E">
      <w:pPr>
        <w:pStyle w:val="Default"/>
        <w:spacing w:before="0" w:after="0"/>
        <w:rPr>
          <w:rFonts w:ascii="Arial" w:hAnsi="Arial" w:cs="Arial"/>
          <w:color w:val="auto"/>
          <w:sz w:val="22"/>
          <w:szCs w:val="22"/>
          <w:lang w:val="en-GB"/>
        </w:rPr>
      </w:pPr>
    </w:p>
    <w:p w:rsidR="0071776E" w:rsidRDefault="0071776E" w:rsidP="0071776E">
      <w:pPr>
        <w:pStyle w:val="Default"/>
        <w:spacing w:before="0" w:after="0"/>
        <w:rPr>
          <w:rFonts w:ascii="Arial" w:hAnsi="Arial" w:cs="Arial"/>
          <w:color w:val="auto"/>
          <w:sz w:val="22"/>
          <w:szCs w:val="22"/>
          <w:lang w:val="en-GB"/>
        </w:rPr>
      </w:pPr>
      <w:r>
        <w:rPr>
          <w:rFonts w:ascii="Arial" w:hAnsi="Arial" w:cs="Arial"/>
          <w:color w:val="auto"/>
          <w:sz w:val="22"/>
          <w:szCs w:val="22"/>
          <w:lang w:val="en-GB"/>
        </w:rPr>
        <w:t xml:space="preserve">The interventions logic is presented in two different versions: 1) for monetary activities 2) for non monetary activities. </w:t>
      </w:r>
    </w:p>
    <w:p w:rsidR="0071776E" w:rsidRDefault="0071776E" w:rsidP="0071776E">
      <w:pPr>
        <w:pStyle w:val="Default"/>
        <w:spacing w:before="0" w:after="0"/>
        <w:rPr>
          <w:rFonts w:ascii="Arial" w:hAnsi="Arial" w:cs="Arial"/>
          <w:b/>
          <w:color w:val="auto"/>
          <w:sz w:val="22"/>
          <w:szCs w:val="22"/>
          <w:lang w:val="en-GB"/>
        </w:rPr>
      </w:pPr>
    </w:p>
    <w:p w:rsidR="0071776E" w:rsidRPr="00742135" w:rsidRDefault="0071776E" w:rsidP="0071776E">
      <w:pPr>
        <w:pStyle w:val="Default"/>
        <w:spacing w:before="0" w:after="0"/>
        <w:rPr>
          <w:rFonts w:ascii="Arial" w:hAnsi="Arial" w:cs="Arial"/>
          <w:b/>
          <w:color w:val="auto"/>
          <w:sz w:val="22"/>
          <w:szCs w:val="22"/>
          <w:lang w:val="en-GB"/>
        </w:rPr>
        <w:sectPr w:rsidR="0071776E" w:rsidRPr="00742135" w:rsidSect="00B72654">
          <w:footerReference w:type="default" r:id="rId104"/>
          <w:pgSz w:w="11906" w:h="16838"/>
          <w:pgMar w:top="1417" w:right="1134" w:bottom="1134" w:left="1134" w:header="708" w:footer="708" w:gutter="0"/>
          <w:cols w:space="708"/>
          <w:docGrid w:linePitch="360"/>
        </w:sectPr>
      </w:pPr>
      <w:r w:rsidRPr="00742135">
        <w:rPr>
          <w:rFonts w:ascii="Arial" w:hAnsi="Arial" w:cs="Arial"/>
          <w:b/>
          <w:color w:val="auto"/>
          <w:sz w:val="22"/>
          <w:szCs w:val="22"/>
          <w:lang w:val="en-GB"/>
        </w:rPr>
        <w:t xml:space="preserve"> </w:t>
      </w:r>
    </w:p>
    <w:p w:rsidR="0071776E" w:rsidRDefault="00A43E18" w:rsidP="0071776E">
      <w:pPr>
        <w:pStyle w:val="Default"/>
        <w:spacing w:before="0" w:after="0"/>
        <w:rPr>
          <w:rFonts w:ascii="Arial" w:hAnsi="Arial" w:cs="Arial"/>
          <w:color w:val="auto"/>
          <w:sz w:val="22"/>
          <w:szCs w:val="22"/>
          <w:lang w:val="en-GB"/>
        </w:rPr>
      </w:pPr>
      <w:r w:rsidRPr="00A43E18">
        <w:rPr>
          <w:rFonts w:ascii="Arial" w:hAnsi="Arial" w:cs="Arial"/>
          <w:noProof/>
          <w:color w:val="auto"/>
          <w:sz w:val="22"/>
          <w:szCs w:val="22"/>
        </w:rPr>
        <w:lastRenderedPageBreak/>
        <w:pict>
          <v:shapetype id="_x0000_t202" coordsize="21600,21600" o:spt="202" path="m,l,21600r21600,l21600,xe">
            <v:stroke joinstyle="miter"/>
            <v:path gradientshapeok="t" o:connecttype="rect"/>
          </v:shapetype>
          <v:shape id="Text Box 2" o:spid="_x0000_s1118" type="#_x0000_t202" style="position:absolute;left:0;text-align:left;margin-left:15.05pt;margin-top:22.95pt;width:689.25pt;height:458.15pt;z-index:25172889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" filled="f" strokecolor="#1f497d [3215]">
            <v:textbox style="mso-next-textbox:#Text Box 2">
              <w:txbxContent>
                <w:p w:rsidR="005D72C2" w:rsidRPr="00742135" w:rsidRDefault="005D72C2" w:rsidP="0071776E">
                  <w:pPr>
                    <w:pStyle w:val="Didascalia"/>
                  </w:pPr>
                  <w:bookmarkStart w:id="27" w:name="_Ref361408374"/>
                  <w:bookmarkStart w:id="28" w:name="_Toc366743978"/>
                  <w:bookmarkStart w:id="29" w:name="_Toc366744058"/>
                  <w:bookmarkStart w:id="30" w:name="_Toc366744939"/>
                  <w:r w:rsidRPr="00742135">
                    <w:t xml:space="preserve">Figure </w:t>
                  </w:r>
                  <w:fldSimple w:instr=" SEQ Figure \* ARABIC ">
                    <w:r w:rsidRPr="00742135">
                      <w:rPr>
                        <w:noProof/>
                      </w:rPr>
                      <w:t>2</w:t>
                    </w:r>
                  </w:fldSimple>
                  <w:bookmarkEnd w:id="27"/>
                  <w:r w:rsidRPr="00742135">
                    <w:t>: Intervention Logic - Cooperation interventions EU – Palestine, spending activities</w:t>
                  </w:r>
                  <w:bookmarkEnd w:id="28"/>
                  <w:bookmarkEnd w:id="29"/>
                  <w:bookmarkEnd w:id="30"/>
                </w:p>
                <w:p w:rsidR="005D72C2" w:rsidRPr="00104CF0" w:rsidRDefault="005D72C2" w:rsidP="0071776E">
                  <w:pPr>
                    <w:jc w:val="center"/>
                    <w:rPr>
                      <w:i/>
                      <w:color w:val="141413"/>
                      <w:sz w:val="18"/>
                      <w:szCs w:val="18"/>
                    </w:rPr>
                  </w:pPr>
                  <w:r w:rsidRPr="004E28E3">
                    <w:rPr>
                      <w:noProof/>
                      <w:lang w:val="it-IT" w:eastAsia="it-IT"/>
                    </w:rPr>
                    <w:drawing>
                      <wp:inline distT="0" distB="0" distL="0" distR="0">
                        <wp:extent cx="8327508" cy="5337544"/>
                        <wp:effectExtent l="19050" t="0" r="0" b="0"/>
                        <wp:docPr id="28"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5"/>
                                <a:srcRect/>
                                <a:stretch>
                                  <a:fillRect/>
                                </a:stretch>
                              </pic:blipFill>
                              <pic:spPr bwMode="auto">
                                <a:xfrm>
                                  <a:off x="0" y="0"/>
                                  <a:ext cx="8328059" cy="5337897"/>
                                </a:xfrm>
                                <a:prstGeom prst="rect">
                                  <a:avLst/>
                                </a:prstGeom>
                                <a:noFill/>
                                <a:ln w="9525">
                                  <a:noFill/>
                                  <a:miter lim="800000"/>
                                  <a:headEnd/>
                                  <a:tailEnd/>
                                </a:ln>
                              </pic:spPr>
                            </pic:pic>
                          </a:graphicData>
                        </a:graphic>
                      </wp:inline>
                    </w:drawing>
                  </w:r>
                  <w:r w:rsidRPr="00381F10">
                    <w:rPr>
                      <w:i/>
                      <w:sz w:val="18"/>
                      <w:szCs w:val="18"/>
                    </w:rPr>
                    <w:t xml:space="preserve">Source total amounts are EC  </w:t>
                  </w:r>
                  <w:r w:rsidR="009D7E2C">
                    <w:rPr>
                      <w:i/>
                      <w:sz w:val="18"/>
                      <w:szCs w:val="18"/>
                    </w:rPr>
                    <w:t xml:space="preserve">committed </w:t>
                  </w:r>
                  <w:r w:rsidRPr="00381F10">
                    <w:rPr>
                      <w:i/>
                      <w:sz w:val="18"/>
                      <w:szCs w:val="18"/>
                    </w:rPr>
                    <w:t>amount, data retrieved from DWH and CRIS and DRN own elaboration</w:t>
                  </w:r>
                </w:p>
              </w:txbxContent>
            </v:textbox>
            <w10:wrap type="square"/>
          </v:shape>
        </w:pict>
      </w:r>
    </w:p>
    <w:p w:rsidR="0071776E" w:rsidRDefault="0071776E" w:rsidP="0071776E">
      <w:pPr>
        <w:pStyle w:val="Default"/>
        <w:spacing w:before="0" w:after="0"/>
        <w:rPr>
          <w:rFonts w:ascii="Arial" w:hAnsi="Arial" w:cs="Arial"/>
          <w:color w:val="auto"/>
          <w:sz w:val="22"/>
          <w:szCs w:val="22"/>
          <w:lang w:val="en-GB"/>
        </w:rPr>
        <w:sectPr w:rsidR="0071776E" w:rsidSect="00792401">
          <w:footerReference w:type="default" r:id="rId106"/>
          <w:pgSz w:w="16838" w:h="11906" w:orient="landscape"/>
          <w:pgMar w:top="1134" w:right="1417" w:bottom="1134" w:left="1134" w:header="708" w:footer="708" w:gutter="0"/>
          <w:cols w:space="708"/>
          <w:docGrid w:linePitch="360"/>
        </w:sectPr>
      </w:pPr>
    </w:p>
    <w:p w:rsidR="0071776E" w:rsidRDefault="0071776E" w:rsidP="0071776E">
      <w:pPr>
        <w:pStyle w:val="Default"/>
        <w:spacing w:before="0" w:after="0"/>
        <w:rPr>
          <w:rFonts w:ascii="Arial" w:hAnsi="Arial" w:cs="Arial"/>
          <w:color w:val="auto"/>
          <w:sz w:val="22"/>
          <w:szCs w:val="22"/>
          <w:lang w:val="en-GB"/>
        </w:rPr>
      </w:pPr>
    </w:p>
    <w:p w:rsidR="0071776E" w:rsidRDefault="00A43E18" w:rsidP="0071776E">
      <w:pPr>
        <w:pStyle w:val="Default"/>
        <w:spacing w:before="0" w:after="0"/>
        <w:rPr>
          <w:rFonts w:ascii="Arial" w:hAnsi="Arial" w:cs="Arial"/>
          <w:color w:val="auto"/>
          <w:sz w:val="22"/>
          <w:szCs w:val="22"/>
          <w:lang w:val="en-GB"/>
        </w:rPr>
      </w:pPr>
      <w:r w:rsidRPr="00A43E18">
        <w:rPr>
          <w:rFonts w:ascii="Arial" w:hAnsi="Arial" w:cs="Arial"/>
          <w:noProof/>
          <w:color w:val="auto"/>
          <w:sz w:val="22"/>
          <w:szCs w:val="22"/>
        </w:rPr>
        <w:pict>
          <v:shape id="Text Box 1" o:spid="_x0000_s1119" type="#_x0000_t202" style="position:absolute;left:0;text-align:left;margin-left:3pt;margin-top:-10.35pt;width:684pt;height:418.2pt;z-index:25172992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" filled="f" strokecolor="#000090">
            <v:path arrowok="t"/>
            <v:textbox style="mso-next-textbox:#Text Box 1">
              <w:txbxContent>
                <w:p w:rsidR="005D72C2" w:rsidRPr="00742135" w:rsidRDefault="005D72C2" w:rsidP="0071776E">
                  <w:pPr>
                    <w:pStyle w:val="Didascalia"/>
                    <w:rPr>
                      <w:lang w:val="fr-BE"/>
                    </w:rPr>
                  </w:pPr>
                  <w:bookmarkStart w:id="31" w:name="_Ref361408378"/>
                  <w:bookmarkStart w:id="32" w:name="_Toc366743979"/>
                  <w:bookmarkStart w:id="33" w:name="_Toc366744059"/>
                  <w:bookmarkStart w:id="34" w:name="_Toc366744940"/>
                  <w:r w:rsidRPr="00742135">
                    <w:rPr>
                      <w:lang w:val="fr-BE"/>
                    </w:rPr>
                    <w:t xml:space="preserve">Figure </w:t>
                  </w:r>
                  <w:r w:rsidRPr="00742135">
                    <w:fldChar w:fldCharType="begin"/>
                  </w:r>
                  <w:r w:rsidRPr="00742135">
                    <w:rPr>
                      <w:lang w:val="fr-BE"/>
                    </w:rPr>
                    <w:instrText xml:space="preserve"> SEQ Figure \* ARABIC </w:instrText>
                  </w:r>
                  <w:r w:rsidRPr="00742135">
                    <w:fldChar w:fldCharType="separate"/>
                  </w:r>
                  <w:r w:rsidRPr="00742135">
                    <w:rPr>
                      <w:noProof/>
                      <w:lang w:val="fr-BE"/>
                    </w:rPr>
                    <w:t>20</w:t>
                  </w:r>
                  <w:r w:rsidRPr="00742135">
                    <w:rPr>
                      <w:noProof/>
                    </w:rPr>
                    <w:fldChar w:fldCharType="end"/>
                  </w:r>
                  <w:bookmarkEnd w:id="31"/>
                  <w:r w:rsidRPr="00742135">
                    <w:rPr>
                      <w:lang w:val="fr-BE"/>
                    </w:rPr>
                    <w:t>: Intervention Logic – Cooperation EU-Palestine - Political dialogue and non-spending activities</w:t>
                  </w:r>
                  <w:bookmarkEnd w:id="32"/>
                  <w:bookmarkEnd w:id="33"/>
                  <w:bookmarkEnd w:id="34"/>
                </w:p>
                <w:p w:rsidR="005D72C2" w:rsidRDefault="005D72C2" w:rsidP="0071776E">
                  <w:pPr>
                    <w:jc w:val="center"/>
                    <w:rPr>
                      <w:noProof/>
                    </w:rPr>
                  </w:pPr>
                  <w:r w:rsidRPr="00EA6E83">
                    <w:rPr>
                      <w:noProof/>
                      <w:lang w:val="it-IT" w:eastAsia="it-IT"/>
                    </w:rPr>
                    <w:drawing>
                      <wp:inline distT="0" distB="0" distL="0" distR="0">
                        <wp:extent cx="8013886" cy="4619625"/>
                        <wp:effectExtent l="19050" t="0" r="6164" b="0"/>
                        <wp:docPr id="29"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7"/>
                                <a:srcRect/>
                                <a:stretch>
                                  <a:fillRect/>
                                </a:stretch>
                              </pic:blipFill>
                              <pic:spPr bwMode="auto">
                                <a:xfrm>
                                  <a:off x="0" y="0"/>
                                  <a:ext cx="8018205" cy="4622114"/>
                                </a:xfrm>
                                <a:prstGeom prst="rect">
                                  <a:avLst/>
                                </a:prstGeom>
                                <a:noFill/>
                                <a:ln w="9525">
                                  <a:noFill/>
                                  <a:miter lim="800000"/>
                                  <a:headEnd/>
                                  <a:tailEnd/>
                                </a:ln>
                              </pic:spPr>
                            </pic:pic>
                          </a:graphicData>
                        </a:graphic>
                      </wp:inline>
                    </w:drawing>
                  </w:r>
                </w:p>
                <w:p w:rsidR="005D72C2" w:rsidRPr="00F84D97" w:rsidRDefault="005D72C2" w:rsidP="0071776E">
                  <w:pPr>
                    <w:rPr>
                      <w:rFonts w:asciiTheme="majorHAnsi" w:hAnsiTheme="majorHAnsi" w:cs="Verdana"/>
                      <w:i/>
                      <w:sz w:val="18"/>
                      <w:szCs w:val="18"/>
                    </w:rPr>
                  </w:pPr>
                  <w:r w:rsidRPr="00381F10">
                    <w:rPr>
                      <w:rFonts w:asciiTheme="majorHAnsi" w:hAnsiTheme="majorHAnsi"/>
                      <w:i/>
                      <w:sz w:val="18"/>
                      <w:szCs w:val="18"/>
                    </w:rPr>
                    <w:t xml:space="preserve">Source: </w:t>
                  </w:r>
                  <w:r w:rsidRPr="00381F10">
                    <w:rPr>
                      <w:rFonts w:asciiTheme="majorHAnsi" w:hAnsiTheme="majorHAnsi"/>
                      <w:b/>
                      <w:i/>
                      <w:sz w:val="18"/>
                      <w:szCs w:val="18"/>
                    </w:rPr>
                    <w:t xml:space="preserve">Doc A) </w:t>
                  </w:r>
                  <w:r w:rsidRPr="0013558F">
                    <w:rPr>
                      <w:i/>
                      <w:sz w:val="18"/>
                      <w:szCs w:val="18"/>
                    </w:rPr>
                    <w:t>EU-PA ENP Action Plan of 2005 and 2013</w:t>
                  </w:r>
                  <w:r>
                    <w:rPr>
                      <w:i/>
                      <w:sz w:val="18"/>
                      <w:szCs w:val="18"/>
                    </w:rPr>
                    <w:t xml:space="preserve">; </w:t>
                  </w:r>
                  <w:r w:rsidRPr="00381F10">
                    <w:rPr>
                      <w:rFonts w:asciiTheme="majorHAnsi" w:hAnsiTheme="majorHAnsi"/>
                      <w:b/>
                      <w:i/>
                      <w:sz w:val="18"/>
                      <w:szCs w:val="18"/>
                    </w:rPr>
                    <w:t xml:space="preserve">Doc B) </w:t>
                  </w:r>
                  <w:r w:rsidRPr="0013558F">
                    <w:rPr>
                      <w:i/>
                      <w:color w:val="141413"/>
                      <w:sz w:val="18"/>
                      <w:szCs w:val="18"/>
                    </w:rPr>
                    <w:t xml:space="preserve">PA </w:t>
                  </w:r>
                  <w:r>
                    <w:rPr>
                      <w:i/>
                      <w:color w:val="141413"/>
                      <w:sz w:val="18"/>
                      <w:szCs w:val="18"/>
                    </w:rPr>
                    <w:t>Ending the Occupation</w:t>
                  </w:r>
                  <w:r w:rsidRPr="0013558F">
                    <w:rPr>
                      <w:i/>
                      <w:color w:val="141413"/>
                      <w:sz w:val="18"/>
                      <w:szCs w:val="18"/>
                    </w:rPr>
                    <w:t xml:space="preserve"> Establishing the State August 2009, PA </w:t>
                  </w:r>
                  <w:r>
                    <w:rPr>
                      <w:i/>
                      <w:color w:val="141413"/>
                      <w:sz w:val="18"/>
                      <w:szCs w:val="18"/>
                    </w:rPr>
                    <w:t xml:space="preserve">National Development Plan </w:t>
                  </w:r>
                  <w:r w:rsidRPr="0013558F">
                    <w:rPr>
                      <w:i/>
                      <w:color w:val="141413"/>
                      <w:sz w:val="18"/>
                      <w:szCs w:val="18"/>
                    </w:rPr>
                    <w:t>2011</w:t>
                  </w:r>
                  <w:r>
                    <w:rPr>
                      <w:i/>
                      <w:color w:val="141413"/>
                      <w:sz w:val="18"/>
                      <w:szCs w:val="18"/>
                    </w:rPr>
                    <w:t>-2013</w:t>
                  </w:r>
                  <w:r w:rsidRPr="0013558F">
                    <w:rPr>
                      <w:i/>
                      <w:color w:val="141413"/>
                      <w:sz w:val="18"/>
                      <w:szCs w:val="18"/>
                    </w:rPr>
                    <w:t xml:space="preserve">, </w:t>
                  </w:r>
                  <w:r>
                    <w:rPr>
                      <w:i/>
                      <w:color w:val="141413"/>
                      <w:sz w:val="18"/>
                      <w:szCs w:val="18"/>
                    </w:rPr>
                    <w:t>PA Palestinian R</w:t>
                  </w:r>
                  <w:r w:rsidRPr="0013558F">
                    <w:rPr>
                      <w:i/>
                      <w:color w:val="141413"/>
                      <w:sz w:val="18"/>
                      <w:szCs w:val="18"/>
                    </w:rPr>
                    <w:t xml:space="preserve">eform and </w:t>
                  </w:r>
                  <w:r>
                    <w:rPr>
                      <w:i/>
                      <w:color w:val="141413"/>
                      <w:sz w:val="18"/>
                      <w:szCs w:val="18"/>
                    </w:rPr>
                    <w:t xml:space="preserve">Development Plan 2008-2011; </w:t>
                  </w:r>
                  <w:r w:rsidRPr="00A337EC">
                    <w:rPr>
                      <w:rFonts w:asciiTheme="majorHAnsi" w:hAnsiTheme="majorHAnsi"/>
                      <w:b/>
                      <w:i/>
                      <w:iCs/>
                      <w:sz w:val="18"/>
                      <w:szCs w:val="18"/>
                    </w:rPr>
                    <w:t>Doc C</w:t>
                  </w:r>
                  <w:r>
                    <w:rPr>
                      <w:rFonts w:asciiTheme="majorHAnsi" w:hAnsiTheme="majorHAnsi"/>
                      <w:i/>
                      <w:iCs/>
                      <w:sz w:val="18"/>
                      <w:szCs w:val="18"/>
                    </w:rPr>
                    <w:t xml:space="preserve">) UN Reports to AHLC 2008- 2012 </w:t>
                  </w:r>
                  <w:r w:rsidRPr="00381F10">
                    <w:rPr>
                      <w:rFonts w:asciiTheme="majorHAnsi" w:hAnsiTheme="majorHAnsi"/>
                      <w:b/>
                      <w:i/>
                      <w:sz w:val="18"/>
                      <w:szCs w:val="18"/>
                    </w:rPr>
                    <w:t>Doc D)</w:t>
                  </w:r>
                  <w:r w:rsidRPr="00381F10">
                    <w:rPr>
                      <w:rFonts w:asciiTheme="majorHAnsi" w:hAnsiTheme="majorHAnsi"/>
                      <w:i/>
                      <w:sz w:val="18"/>
                      <w:szCs w:val="18"/>
                    </w:rPr>
                    <w:t xml:space="preserve"> </w:t>
                  </w:r>
                  <w:r w:rsidRPr="00381F10">
                    <w:rPr>
                      <w:rFonts w:asciiTheme="majorHAnsi" w:hAnsiTheme="majorHAnsi" w:cs="Verdana"/>
                      <w:i/>
                      <w:color w:val="000000"/>
                      <w:sz w:val="18"/>
                      <w:szCs w:val="18"/>
                    </w:rPr>
                    <w:t>Measures Taken by Israel in Support of Developing the Palestinian Economy, the Socio-Economic Structure, and</w:t>
                  </w:r>
                  <w:r w:rsidRPr="00381F10">
                    <w:rPr>
                      <w:rFonts w:asciiTheme="majorHAnsi" w:hAnsiTheme="majorHAnsi" w:cs="Verdana"/>
                      <w:i/>
                      <w:sz w:val="18"/>
                      <w:szCs w:val="18"/>
                    </w:rPr>
                    <w:t xml:space="preserve"> </w:t>
                  </w:r>
                  <w:r w:rsidRPr="00381F10">
                    <w:rPr>
                      <w:rFonts w:asciiTheme="majorHAnsi" w:hAnsiTheme="majorHAnsi" w:cs="Verdana"/>
                      <w:i/>
                      <w:color w:val="000000"/>
                      <w:sz w:val="18"/>
                      <w:szCs w:val="18"/>
                    </w:rPr>
                    <w:t>the Security Reforms</w:t>
                  </w:r>
                  <w:r w:rsidRPr="00381F10">
                    <w:rPr>
                      <w:rFonts w:asciiTheme="majorHAnsi" w:hAnsiTheme="majorHAnsi"/>
                      <w:i/>
                      <w:sz w:val="18"/>
                      <w:szCs w:val="18"/>
                    </w:rPr>
                    <w:t xml:space="preserve"> </w:t>
                  </w:r>
                  <w:r w:rsidRPr="00381F10">
                    <w:rPr>
                      <w:rFonts w:asciiTheme="majorHAnsi" w:hAnsiTheme="majorHAnsi" w:cs="Verdana"/>
                      <w:i/>
                      <w:sz w:val="18"/>
                      <w:szCs w:val="18"/>
                    </w:rPr>
                    <w:t xml:space="preserve">Report of the Government of Israel to the AHLC, </w:t>
                  </w:r>
                  <w:r w:rsidRPr="00381F10">
                    <w:rPr>
                      <w:rFonts w:asciiTheme="majorHAnsi" w:hAnsiTheme="majorHAnsi"/>
                      <w:i/>
                      <w:sz w:val="18"/>
                      <w:szCs w:val="18"/>
                    </w:rPr>
                    <w:t xml:space="preserve"> April 2010; </w:t>
                  </w:r>
                  <w:r w:rsidRPr="00381F10">
                    <w:rPr>
                      <w:rFonts w:asciiTheme="majorHAnsi" w:hAnsiTheme="majorHAnsi"/>
                      <w:b/>
                      <w:i/>
                      <w:sz w:val="18"/>
                      <w:szCs w:val="18"/>
                    </w:rPr>
                    <w:t>Doc E)</w:t>
                  </w:r>
                  <w:r w:rsidRPr="00381F10">
                    <w:rPr>
                      <w:rFonts w:asciiTheme="majorHAnsi" w:hAnsiTheme="majorHAnsi"/>
                      <w:i/>
                      <w:sz w:val="18"/>
                      <w:szCs w:val="18"/>
                    </w:rPr>
                    <w:t xml:space="preserve"> Reports for AHLC on OQR Action in Support of PA - April 2011, March 2012, March 2013; </w:t>
                  </w:r>
                  <w:r w:rsidRPr="00381F10">
                    <w:rPr>
                      <w:rFonts w:asciiTheme="majorHAnsi" w:hAnsiTheme="majorHAnsi" w:cs="Verdana"/>
                      <w:b/>
                      <w:i/>
                      <w:sz w:val="18"/>
                      <w:szCs w:val="18"/>
                    </w:rPr>
                    <w:t>Doc F)</w:t>
                  </w:r>
                  <w:r w:rsidRPr="001B2126">
                    <w:rPr>
                      <w:i/>
                      <w:color w:val="141413"/>
                      <w:sz w:val="18"/>
                      <w:szCs w:val="18"/>
                    </w:rPr>
                    <w:t xml:space="preserve"> </w:t>
                  </w:r>
                  <w:r>
                    <w:rPr>
                      <w:i/>
                      <w:color w:val="141413"/>
                      <w:sz w:val="18"/>
                      <w:szCs w:val="18"/>
                    </w:rPr>
                    <w:t xml:space="preserve">UNRWA: EU Discussion Paper 18 Oct 2010, </w:t>
                  </w:r>
                  <w:r w:rsidRPr="00381F10">
                    <w:rPr>
                      <w:rFonts w:asciiTheme="majorHAnsi" w:hAnsiTheme="majorHAnsi" w:cs="Verdana"/>
                      <w:i/>
                      <w:sz w:val="18"/>
                      <w:szCs w:val="18"/>
                    </w:rPr>
                    <w:t xml:space="preserve"> The Mandate of UNRWA at Sixty Lance </w:t>
                  </w:r>
                  <w:proofErr w:type="spellStart"/>
                  <w:r w:rsidRPr="00381F10">
                    <w:rPr>
                      <w:rFonts w:asciiTheme="majorHAnsi" w:hAnsiTheme="majorHAnsi" w:cs="Verdana"/>
                      <w:i/>
                      <w:sz w:val="18"/>
                      <w:szCs w:val="18"/>
                    </w:rPr>
                    <w:t>Bartholomeusz</w:t>
                  </w:r>
                  <w:proofErr w:type="spellEnd"/>
                  <w:r w:rsidRPr="00381F10">
                    <w:rPr>
                      <w:rFonts w:asciiTheme="majorHAnsi" w:hAnsiTheme="majorHAnsi" w:cs="Verdana"/>
                      <w:i/>
                      <w:sz w:val="18"/>
                      <w:szCs w:val="18"/>
                    </w:rPr>
                    <w:t xml:space="preserve">; </w:t>
                  </w:r>
                  <w:r w:rsidRPr="00381F10">
                    <w:rPr>
                      <w:rFonts w:asciiTheme="majorHAnsi" w:hAnsiTheme="majorHAnsi"/>
                      <w:b/>
                      <w:i/>
                      <w:sz w:val="18"/>
                      <w:szCs w:val="18"/>
                    </w:rPr>
                    <w:t>Doc G)</w:t>
                  </w:r>
                  <w:r w:rsidRPr="00381F10">
                    <w:rPr>
                      <w:rFonts w:asciiTheme="majorHAnsi" w:hAnsiTheme="majorHAnsi"/>
                      <w:i/>
                      <w:sz w:val="18"/>
                      <w:szCs w:val="18"/>
                    </w:rPr>
                    <w:t xml:space="preserve"> WB Interim Strategy Note for the </w:t>
                  </w:r>
                  <w:r w:rsidRPr="00381F10">
                    <w:rPr>
                      <w:rFonts w:asciiTheme="majorHAnsi" w:hAnsiTheme="majorHAnsi" w:cs="Verdana"/>
                      <w:i/>
                      <w:sz w:val="18"/>
                      <w:szCs w:val="18"/>
                    </w:rPr>
                    <w:t xml:space="preserve">WB&amp;GS 2012-2014 Report No: 66781-GZ, March 13, 2012; </w:t>
                  </w:r>
                  <w:r w:rsidRPr="00381F10">
                    <w:rPr>
                      <w:rFonts w:asciiTheme="majorHAnsi" w:hAnsiTheme="majorHAnsi" w:cs="Verdana"/>
                      <w:b/>
                      <w:i/>
                      <w:sz w:val="18"/>
                      <w:szCs w:val="18"/>
                    </w:rPr>
                    <w:t>Doc H)</w:t>
                  </w:r>
                  <w:r w:rsidRPr="00381F10">
                    <w:rPr>
                      <w:rFonts w:asciiTheme="majorHAnsi" w:hAnsiTheme="majorHAnsi" w:cs="Verdana"/>
                      <w:i/>
                      <w:sz w:val="18"/>
                      <w:szCs w:val="18"/>
                    </w:rPr>
                    <w:t xml:space="preserve"> </w:t>
                  </w:r>
                  <w:r>
                    <w:rPr>
                      <w:i/>
                      <w:sz w:val="18"/>
                      <w:szCs w:val="18"/>
                    </w:rPr>
                    <w:t xml:space="preserve">Foreign Affairs </w:t>
                  </w:r>
                  <w:r w:rsidRPr="0013558F">
                    <w:rPr>
                      <w:i/>
                      <w:color w:val="141413"/>
                      <w:sz w:val="18"/>
                      <w:szCs w:val="18"/>
                    </w:rPr>
                    <w:t>Council Conclusions (Conclusion of 8 December 2009 on MEPP, Conclusion on MEPP of 14 May and 10 December 2012) and Communications (COM2010(207), COM2011(303))</w:t>
                  </w:r>
                  <w:r w:rsidRPr="00F84D97">
                    <w:rPr>
                      <w:rFonts w:asciiTheme="majorHAnsi" w:hAnsiTheme="majorHAnsi" w:cs="Verdana"/>
                      <w:i/>
                      <w:sz w:val="18"/>
                      <w:szCs w:val="18"/>
                    </w:rPr>
                    <w:t xml:space="preserve"> </w:t>
                  </w:r>
                </w:p>
              </w:txbxContent>
            </v:textbox>
            <w10:wrap type="square"/>
          </v:shape>
        </w:pict>
      </w:r>
    </w:p>
    <w:p w:rsidR="0071776E" w:rsidRDefault="0071776E" w:rsidP="0071776E">
      <w:pPr>
        <w:pStyle w:val="Default"/>
        <w:spacing w:before="0" w:after="0"/>
        <w:rPr>
          <w:rFonts w:ascii="Arial" w:hAnsi="Arial" w:cs="Arial"/>
          <w:color w:val="auto"/>
          <w:sz w:val="22"/>
          <w:szCs w:val="22"/>
          <w:lang w:val="en-GB"/>
        </w:rPr>
        <w:sectPr w:rsidR="0071776E" w:rsidSect="00792401">
          <w:footerReference w:type="default" r:id="rId108"/>
          <w:pgSz w:w="16838" w:h="11906" w:orient="landscape"/>
          <w:pgMar w:top="1134" w:right="1417" w:bottom="1134" w:left="1134" w:header="708" w:footer="708" w:gutter="0"/>
          <w:cols w:space="708"/>
          <w:docGrid w:linePitch="360"/>
        </w:sectPr>
      </w:pPr>
    </w:p>
    <w:p w:rsidR="0071776E" w:rsidRPr="000E6E81" w:rsidRDefault="0071776E" w:rsidP="0071776E">
      <w:pPr>
        <w:spacing w:before="0" w:after="0"/>
        <w:rPr>
          <w:rFonts w:ascii="Arial" w:hAnsi="Arial" w:cs="Arial"/>
          <w:sz w:val="22"/>
          <w:szCs w:val="22"/>
        </w:rPr>
      </w:pPr>
      <w:r w:rsidRPr="000E6E81">
        <w:rPr>
          <w:rFonts w:ascii="Arial" w:hAnsi="Arial" w:cs="Arial"/>
          <w:sz w:val="22"/>
          <w:szCs w:val="22"/>
        </w:rPr>
        <w:lastRenderedPageBreak/>
        <w:t>The intervention logic demonstrates the need to focus evaluation efforts on different levels of the causes–effects progression:</w:t>
      </w:r>
    </w:p>
    <w:p w:rsidR="0071776E" w:rsidRPr="000E6E81" w:rsidRDefault="0071776E" w:rsidP="0071776E">
      <w:pPr>
        <w:spacing w:before="0" w:after="0"/>
        <w:rPr>
          <w:rFonts w:ascii="Arial" w:hAnsi="Arial" w:cs="Arial"/>
          <w:sz w:val="22"/>
          <w:szCs w:val="22"/>
        </w:rPr>
      </w:pPr>
    </w:p>
    <w:p w:rsidR="0071776E" w:rsidRPr="000E6E81" w:rsidRDefault="0071776E" w:rsidP="0071776E">
      <w:pPr>
        <w:pStyle w:val="ColorfulList-Accent11"/>
        <w:numPr>
          <w:ilvl w:val="0"/>
          <w:numId w:val="102"/>
        </w:numPr>
        <w:rPr>
          <w:rFonts w:ascii="Arial" w:hAnsi="Arial" w:cs="Arial"/>
          <w:sz w:val="22"/>
          <w:szCs w:val="22"/>
        </w:rPr>
      </w:pPr>
      <w:r w:rsidRPr="000E6E81">
        <w:rPr>
          <w:rFonts w:ascii="Arial" w:hAnsi="Arial" w:cs="Arial"/>
          <w:sz w:val="22"/>
          <w:szCs w:val="22"/>
        </w:rPr>
        <w:t>Links between interventions and political objectives driving the cooperation efforts, with attention to the first segments of the cooperation logic (relationships between political goals, beneficiary needs and the cooperation interventions);</w:t>
      </w:r>
    </w:p>
    <w:p w:rsidR="0071776E" w:rsidRPr="000E6E81" w:rsidRDefault="0071776E" w:rsidP="0071776E">
      <w:pPr>
        <w:pStyle w:val="ColorfulList-Accent11"/>
        <w:ind w:left="360"/>
        <w:rPr>
          <w:rFonts w:ascii="Arial" w:hAnsi="Arial" w:cs="Arial"/>
          <w:sz w:val="22"/>
          <w:szCs w:val="22"/>
        </w:rPr>
      </w:pPr>
    </w:p>
    <w:p w:rsidR="0071776E" w:rsidRPr="000E6E81" w:rsidRDefault="0071776E" w:rsidP="0071776E">
      <w:pPr>
        <w:pStyle w:val="ColorfulList-Accent11"/>
        <w:numPr>
          <w:ilvl w:val="0"/>
          <w:numId w:val="102"/>
        </w:numPr>
        <w:rPr>
          <w:rFonts w:ascii="Arial" w:hAnsi="Arial" w:cs="Arial"/>
          <w:sz w:val="22"/>
          <w:szCs w:val="22"/>
        </w:rPr>
      </w:pPr>
      <w:r w:rsidRPr="000E6E81">
        <w:rPr>
          <w:rFonts w:ascii="Arial" w:hAnsi="Arial" w:cs="Arial"/>
          <w:sz w:val="22"/>
          <w:szCs w:val="22"/>
        </w:rPr>
        <w:t>Relationships between interventions and goals, exploring the higher level of the results sequence (contribution of cooperation efforts to outcomes, intermediate impacts and political goals relating to the two-states solution);</w:t>
      </w:r>
    </w:p>
    <w:p w:rsidR="0071776E" w:rsidRPr="000E6E81" w:rsidRDefault="0071776E" w:rsidP="0071776E">
      <w:pPr>
        <w:pStyle w:val="Paragrafoelenco"/>
        <w:spacing w:before="0" w:after="0"/>
        <w:rPr>
          <w:rFonts w:ascii="Arial" w:hAnsi="Arial" w:cs="Arial"/>
          <w:sz w:val="22"/>
          <w:szCs w:val="22"/>
        </w:rPr>
      </w:pPr>
    </w:p>
    <w:p w:rsidR="0071776E" w:rsidRPr="000E6E81" w:rsidRDefault="0071776E" w:rsidP="0071776E">
      <w:pPr>
        <w:pStyle w:val="ColorfulList-Accent11"/>
        <w:numPr>
          <w:ilvl w:val="0"/>
          <w:numId w:val="102"/>
        </w:numPr>
        <w:rPr>
          <w:rFonts w:ascii="Arial" w:hAnsi="Arial" w:cs="Arial"/>
          <w:sz w:val="22"/>
          <w:szCs w:val="22"/>
        </w:rPr>
      </w:pPr>
      <w:r w:rsidRPr="000E6E81">
        <w:rPr>
          <w:rFonts w:ascii="Arial" w:hAnsi="Arial" w:cs="Arial"/>
          <w:sz w:val="22"/>
          <w:szCs w:val="22"/>
        </w:rPr>
        <w:t>Analysis of the central part of the sequence, assessing processes, resources, capacities and partnerships in terms of achieving the cooperation goals (how effectively interventions are translated into benefits and the ultimate goals of the cooperation efforts).</w:t>
      </w:r>
    </w:p>
    <w:p w:rsidR="0071776E" w:rsidRPr="000E6E81" w:rsidRDefault="0071776E" w:rsidP="0071776E">
      <w:pPr>
        <w:pStyle w:val="ColorfulList-Accent11"/>
        <w:ind w:left="360"/>
        <w:rPr>
          <w:rFonts w:ascii="Arial" w:hAnsi="Arial" w:cs="Arial"/>
          <w:sz w:val="22"/>
          <w:szCs w:val="22"/>
        </w:rPr>
      </w:pPr>
    </w:p>
    <w:p w:rsidR="0071776E" w:rsidRPr="002430D3" w:rsidRDefault="00A43E18" w:rsidP="0071776E">
      <w:pPr>
        <w:spacing w:before="0" w:after="0"/>
        <w:rPr>
          <w:rFonts w:ascii="Times New Roman" w:hAnsi="Times New Roman"/>
          <w:szCs w:val="24"/>
        </w:rPr>
      </w:pPr>
      <w:r w:rsidRPr="00A43E18">
        <w:rPr>
          <w:rFonts w:ascii="Times New Roman" w:hAnsi="Times New Roman"/>
          <w:noProof/>
          <w:szCs w:val="24"/>
        </w:rPr>
      </w:r>
      <w:r w:rsidR="005D72C2">
        <w:rPr>
          <w:rFonts w:ascii="Times New Roman" w:hAnsi="Times New Roman"/>
          <w:noProof/>
          <w:szCs w:val="24"/>
        </w:rPr>
        <w:pict>
          <v:shape id="Text Box 3" o:spid="_x0000_s1129" type="#_x0000_t202" style="width:478.05pt;height:352.9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" filled="f" strokecolor="#000090">
            <v:textbox style="mso-fit-shape-to-text:t" inset=",7.2pt,,7.2pt">
              <w:txbxContent>
                <w:p w:rsidR="005D72C2" w:rsidRPr="000E6E81" w:rsidRDefault="005D72C2" w:rsidP="0071776E">
                  <w:pPr>
                    <w:pStyle w:val="Didascalia"/>
                  </w:pPr>
                  <w:bookmarkStart w:id="35" w:name="_Toc366743980"/>
                  <w:bookmarkStart w:id="36" w:name="_Toc366744060"/>
                  <w:bookmarkStart w:id="37" w:name="_Toc366744941"/>
                  <w:r w:rsidRPr="000E6E81">
                    <w:t xml:space="preserve">Figure </w:t>
                  </w:r>
                  <w:fldSimple w:instr=" SEQ Figure \* ARABIC ">
                    <w:r w:rsidRPr="000E6E81">
                      <w:rPr>
                        <w:noProof/>
                      </w:rPr>
                      <w:t>4</w:t>
                    </w:r>
                  </w:fldSimple>
                  <w:r w:rsidRPr="000E6E81">
                    <w:t>: Evaluation Questions and Intervention Logic</w:t>
                  </w:r>
                  <w:bookmarkEnd w:id="35"/>
                  <w:bookmarkEnd w:id="36"/>
                  <w:bookmarkEnd w:id="37"/>
                </w:p>
                <w:p w:rsidR="005D72C2" w:rsidRPr="001731B4" w:rsidRDefault="005D72C2" w:rsidP="0071776E">
                  <w:pPr>
                    <w:jc w:val="center"/>
                    <w:rPr>
                      <w:lang w:eastAsia="pl-PL"/>
                    </w:rPr>
                  </w:pPr>
                  <w:r w:rsidRPr="001731B4">
                    <w:rPr>
                      <w:noProof/>
                      <w:lang w:val="it-IT" w:eastAsia="it-IT"/>
                    </w:rPr>
                    <w:drawing>
                      <wp:inline distT="0" distB="0" distL="0" distR="0">
                        <wp:extent cx="5827273" cy="3511685"/>
                        <wp:effectExtent l="19050" t="0" r="2027" b="0"/>
                        <wp:docPr id="30"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9"/>
                                <a:srcRect/>
                                <a:stretch>
                                  <a:fillRect/>
                                </a:stretch>
                              </pic:blipFill>
                              <pic:spPr bwMode="auto">
                                <a:xfrm>
                                  <a:off x="0" y="0"/>
                                  <a:ext cx="5837529" cy="3517866"/>
                                </a:xfrm>
                                <a:prstGeom prst="rect">
                                  <a:avLst/>
                                </a:prstGeom>
                                <a:noFill/>
                                <a:ln w="9525">
                                  <a:noFill/>
                                  <a:miter lim="800000"/>
                                  <a:headEnd/>
                                  <a:tailEnd/>
                                </a:ln>
                              </pic:spPr>
                            </pic:pic>
                          </a:graphicData>
                        </a:graphic>
                      </wp:inline>
                    </w:drawing>
                  </w:r>
                </w:p>
              </w:txbxContent>
            </v:textbox>
            <w10:wrap type="none"/>
            <w10:anchorlock/>
          </v:shape>
        </w:pict>
      </w:r>
    </w:p>
    <w:p w:rsidR="0071776E" w:rsidRDefault="0071776E" w:rsidP="0071776E">
      <w:pPr>
        <w:spacing w:before="0" w:after="0"/>
        <w:rPr>
          <w:rFonts w:ascii="Times New Roman" w:hAnsi="Times New Roman"/>
          <w:szCs w:val="24"/>
        </w:rPr>
      </w:pPr>
    </w:p>
    <w:p w:rsidR="0071776E" w:rsidRPr="000E6E81" w:rsidRDefault="0071776E" w:rsidP="0071776E">
      <w:pPr>
        <w:spacing w:before="0" w:after="0"/>
        <w:rPr>
          <w:rFonts w:ascii="Arial" w:hAnsi="Arial" w:cs="Arial"/>
          <w:sz w:val="22"/>
          <w:szCs w:val="22"/>
        </w:rPr>
      </w:pPr>
      <w:r w:rsidRPr="000E6E81">
        <w:rPr>
          <w:rFonts w:ascii="Arial" w:hAnsi="Arial" w:cs="Arial"/>
          <w:sz w:val="22"/>
          <w:szCs w:val="22"/>
        </w:rPr>
        <w:t>To address these levels the evaluation team designed four thematic clusters, embracing nine main Evaluation Questions focusing on critical aspects of the EC Palestine cooperation:</w:t>
      </w:r>
    </w:p>
    <w:tbl>
      <w:tblPr>
        <w:tblW w:w="9606" w:type="dxa"/>
        <w:tblBorders>
          <w:top w:val="single" w:sz="12" w:space="0" w:color="1F497D" w:themeColor="text2"/>
          <w:left w:val="single" w:sz="12" w:space="0" w:color="1F497D" w:themeColor="text2"/>
          <w:bottom w:val="single" w:sz="12" w:space="0" w:color="1F497D" w:themeColor="text2"/>
          <w:right w:val="single" w:sz="12" w:space="0" w:color="1F497D" w:themeColor="text2"/>
          <w:insideH w:val="single" w:sz="6" w:space="0" w:color="1F497D" w:themeColor="text2"/>
          <w:insideV w:val="single" w:sz="6" w:space="0" w:color="1F497D" w:themeColor="text2"/>
        </w:tblBorders>
        <w:tblLook w:val="04A0"/>
      </w:tblPr>
      <w:tblGrid>
        <w:gridCol w:w="3133"/>
        <w:gridCol w:w="6473"/>
      </w:tblGrid>
      <w:tr w:rsidR="0071776E" w:rsidRPr="000E6E81" w:rsidTr="00792401">
        <w:tc>
          <w:tcPr>
            <w:tcW w:w="3133" w:type="dxa"/>
            <w:shd w:val="clear" w:color="auto" w:fill="1F497D" w:themeFill="text2"/>
          </w:tcPr>
          <w:p w:rsidR="0071776E" w:rsidRPr="000E6E81" w:rsidRDefault="0071776E" w:rsidP="0071776E">
            <w:pPr>
              <w:spacing w:before="0" w:after="0"/>
              <w:jc w:val="center"/>
              <w:rPr>
                <w:rFonts w:ascii="Arial" w:hAnsi="Arial" w:cs="Arial"/>
                <w:b/>
                <w:color w:val="FFFFFF" w:themeColor="background1"/>
                <w:sz w:val="22"/>
                <w:szCs w:val="22"/>
                <w:lang w:eastAsia="it-IT"/>
              </w:rPr>
            </w:pPr>
            <w:r w:rsidRPr="000E6E81">
              <w:rPr>
                <w:rFonts w:ascii="Arial" w:hAnsi="Arial" w:cs="Arial"/>
                <w:b/>
                <w:color w:val="FFFFFF" w:themeColor="background1"/>
                <w:sz w:val="22"/>
                <w:szCs w:val="22"/>
                <w:lang w:eastAsia="it-IT"/>
              </w:rPr>
              <w:t>Cluster</w:t>
            </w:r>
          </w:p>
        </w:tc>
        <w:tc>
          <w:tcPr>
            <w:tcW w:w="6473" w:type="dxa"/>
            <w:shd w:val="clear" w:color="auto" w:fill="1F497D" w:themeFill="text2"/>
          </w:tcPr>
          <w:p w:rsidR="0071776E" w:rsidRPr="000E6E81" w:rsidRDefault="0071776E" w:rsidP="0071776E">
            <w:pPr>
              <w:spacing w:before="0" w:after="0"/>
              <w:jc w:val="center"/>
              <w:rPr>
                <w:rFonts w:ascii="Arial" w:hAnsi="Arial" w:cs="Arial"/>
                <w:b/>
                <w:color w:val="FFFFFF" w:themeColor="background1"/>
                <w:sz w:val="22"/>
                <w:szCs w:val="22"/>
                <w:lang w:eastAsia="it-IT"/>
              </w:rPr>
            </w:pPr>
            <w:r w:rsidRPr="000E6E81">
              <w:rPr>
                <w:rFonts w:ascii="Arial" w:hAnsi="Arial" w:cs="Arial"/>
                <w:b/>
                <w:color w:val="FFFFFF" w:themeColor="background1"/>
                <w:sz w:val="22"/>
                <w:szCs w:val="22"/>
                <w:lang w:eastAsia="it-IT"/>
              </w:rPr>
              <w:t>Evaluation Question: main focus</w:t>
            </w:r>
          </w:p>
        </w:tc>
      </w:tr>
      <w:tr w:rsidR="0071776E" w:rsidRPr="000E6E81" w:rsidTr="00792401">
        <w:tc>
          <w:tcPr>
            <w:tcW w:w="3133" w:type="dxa"/>
            <w:vMerge w:val="restart"/>
            <w:shd w:val="clear" w:color="auto" w:fill="auto"/>
            <w:vAlign w:val="center"/>
          </w:tcPr>
          <w:p w:rsidR="0071776E" w:rsidRPr="000E6E81" w:rsidRDefault="0071776E" w:rsidP="0071776E">
            <w:pPr>
              <w:spacing w:before="0" w:after="0"/>
              <w:jc w:val="left"/>
              <w:rPr>
                <w:rFonts w:ascii="Arial" w:hAnsi="Arial" w:cs="Arial"/>
                <w:sz w:val="22"/>
                <w:szCs w:val="22"/>
                <w:lang w:eastAsia="it-IT"/>
              </w:rPr>
            </w:pPr>
            <w:r w:rsidRPr="000E6E81">
              <w:rPr>
                <w:rFonts w:ascii="Arial" w:hAnsi="Arial" w:cs="Arial"/>
                <w:sz w:val="22"/>
                <w:szCs w:val="22"/>
                <w:lang w:eastAsia="it-IT"/>
              </w:rPr>
              <w:t>A - POLITICAL COHERENCE</w:t>
            </w:r>
          </w:p>
        </w:tc>
        <w:tc>
          <w:tcPr>
            <w:tcW w:w="6473" w:type="dxa"/>
            <w:shd w:val="clear" w:color="auto" w:fill="auto"/>
          </w:tcPr>
          <w:p w:rsidR="0071776E" w:rsidRPr="000E6E81" w:rsidRDefault="0071776E" w:rsidP="0071776E">
            <w:pPr>
              <w:numPr>
                <w:ilvl w:val="0"/>
                <w:numId w:val="103"/>
              </w:numPr>
              <w:spacing w:before="0" w:after="0"/>
              <w:ind w:left="269"/>
              <w:contextualSpacing/>
              <w:jc w:val="left"/>
              <w:rPr>
                <w:rFonts w:ascii="Arial" w:hAnsi="Arial" w:cs="Arial"/>
                <w:sz w:val="22"/>
                <w:szCs w:val="22"/>
                <w:lang w:eastAsia="it-IT"/>
              </w:rPr>
            </w:pPr>
            <w:r w:rsidRPr="000E6E81">
              <w:rPr>
                <w:rFonts w:ascii="Arial" w:hAnsi="Arial" w:cs="Arial"/>
                <w:sz w:val="22"/>
                <w:szCs w:val="22"/>
                <w:lang w:eastAsia="it-IT"/>
              </w:rPr>
              <w:t>Political coherence in relations with Palestine</w:t>
            </w:r>
          </w:p>
        </w:tc>
      </w:tr>
      <w:tr w:rsidR="0071776E" w:rsidRPr="000E6E81" w:rsidTr="00792401">
        <w:tc>
          <w:tcPr>
            <w:tcW w:w="3133" w:type="dxa"/>
            <w:vMerge/>
            <w:shd w:val="clear" w:color="auto" w:fill="auto"/>
            <w:vAlign w:val="center"/>
          </w:tcPr>
          <w:p w:rsidR="0071776E" w:rsidRPr="000E6E81" w:rsidRDefault="0071776E" w:rsidP="0071776E">
            <w:pPr>
              <w:spacing w:before="0" w:after="0"/>
              <w:jc w:val="left"/>
              <w:rPr>
                <w:rFonts w:ascii="Arial" w:hAnsi="Arial" w:cs="Arial"/>
                <w:sz w:val="22"/>
                <w:szCs w:val="22"/>
                <w:lang w:eastAsia="it-IT"/>
              </w:rPr>
            </w:pPr>
          </w:p>
        </w:tc>
        <w:tc>
          <w:tcPr>
            <w:tcW w:w="6473" w:type="dxa"/>
            <w:shd w:val="clear" w:color="auto" w:fill="auto"/>
          </w:tcPr>
          <w:p w:rsidR="0071776E" w:rsidRPr="000E6E81" w:rsidRDefault="0071776E" w:rsidP="0071776E">
            <w:pPr>
              <w:numPr>
                <w:ilvl w:val="0"/>
                <w:numId w:val="103"/>
              </w:numPr>
              <w:spacing w:before="0" w:after="0"/>
              <w:ind w:left="269"/>
              <w:contextualSpacing/>
              <w:jc w:val="left"/>
              <w:rPr>
                <w:rFonts w:ascii="Arial" w:hAnsi="Arial" w:cs="Arial"/>
                <w:sz w:val="22"/>
                <w:szCs w:val="22"/>
                <w:lang w:eastAsia="it-IT"/>
              </w:rPr>
            </w:pPr>
            <w:r w:rsidRPr="000E6E81">
              <w:rPr>
                <w:rFonts w:ascii="Arial" w:hAnsi="Arial" w:cs="Arial"/>
                <w:sz w:val="22"/>
                <w:szCs w:val="22"/>
                <w:lang w:eastAsia="it-IT"/>
              </w:rPr>
              <w:t>Political coherence in relations with key players</w:t>
            </w:r>
          </w:p>
        </w:tc>
      </w:tr>
      <w:tr w:rsidR="0071776E" w:rsidRPr="000E6E81" w:rsidTr="00792401">
        <w:tc>
          <w:tcPr>
            <w:tcW w:w="3133" w:type="dxa"/>
            <w:vMerge w:val="restart"/>
            <w:shd w:val="clear" w:color="auto" w:fill="auto"/>
            <w:vAlign w:val="center"/>
          </w:tcPr>
          <w:p w:rsidR="0071776E" w:rsidRPr="000E6E81" w:rsidRDefault="0071776E" w:rsidP="0071776E">
            <w:pPr>
              <w:spacing w:before="0" w:after="0"/>
              <w:jc w:val="left"/>
              <w:rPr>
                <w:rFonts w:ascii="Arial" w:hAnsi="Arial" w:cs="Arial"/>
                <w:sz w:val="22"/>
                <w:szCs w:val="22"/>
                <w:lang w:eastAsia="it-IT"/>
              </w:rPr>
            </w:pPr>
            <w:r w:rsidRPr="000E6E81">
              <w:rPr>
                <w:rFonts w:ascii="Arial" w:hAnsi="Arial" w:cs="Arial"/>
                <w:sz w:val="22"/>
                <w:szCs w:val="22"/>
                <w:lang w:eastAsia="it-IT"/>
              </w:rPr>
              <w:t>B - EU RESPONSIVENESS</w:t>
            </w:r>
          </w:p>
        </w:tc>
        <w:tc>
          <w:tcPr>
            <w:tcW w:w="6473" w:type="dxa"/>
            <w:shd w:val="clear" w:color="auto" w:fill="auto"/>
            <w:vAlign w:val="center"/>
          </w:tcPr>
          <w:p w:rsidR="0071776E" w:rsidRPr="000E6E81" w:rsidRDefault="0071776E" w:rsidP="0071776E">
            <w:pPr>
              <w:pStyle w:val="ColorfulList-Accent11"/>
              <w:numPr>
                <w:ilvl w:val="0"/>
                <w:numId w:val="103"/>
              </w:numPr>
              <w:ind w:left="269"/>
              <w:jc w:val="left"/>
              <w:rPr>
                <w:rFonts w:ascii="Arial" w:hAnsi="Arial" w:cs="Arial"/>
                <w:sz w:val="22"/>
                <w:szCs w:val="22"/>
                <w:lang w:eastAsia="it-IT"/>
              </w:rPr>
            </w:pPr>
            <w:r w:rsidRPr="000E6E81">
              <w:rPr>
                <w:rFonts w:ascii="Arial" w:hAnsi="Arial" w:cs="Arial"/>
                <w:sz w:val="22"/>
                <w:szCs w:val="22"/>
                <w:lang w:eastAsia="it-IT"/>
              </w:rPr>
              <w:t>EC processes, resources and capacities</w:t>
            </w:r>
          </w:p>
        </w:tc>
      </w:tr>
      <w:tr w:rsidR="0071776E" w:rsidRPr="000E6E81" w:rsidTr="00792401">
        <w:tc>
          <w:tcPr>
            <w:tcW w:w="3133" w:type="dxa"/>
            <w:vMerge/>
            <w:shd w:val="clear" w:color="auto" w:fill="auto"/>
            <w:vAlign w:val="center"/>
          </w:tcPr>
          <w:p w:rsidR="0071776E" w:rsidRPr="000E6E81" w:rsidRDefault="0071776E" w:rsidP="0071776E">
            <w:pPr>
              <w:spacing w:before="0" w:after="0"/>
              <w:jc w:val="left"/>
              <w:rPr>
                <w:rFonts w:ascii="Arial" w:hAnsi="Arial" w:cs="Arial"/>
                <w:sz w:val="22"/>
                <w:szCs w:val="22"/>
                <w:lang w:eastAsia="it-IT"/>
              </w:rPr>
            </w:pPr>
          </w:p>
        </w:tc>
        <w:tc>
          <w:tcPr>
            <w:tcW w:w="6473" w:type="dxa"/>
            <w:shd w:val="clear" w:color="auto" w:fill="auto"/>
            <w:vAlign w:val="center"/>
          </w:tcPr>
          <w:p w:rsidR="0071776E" w:rsidRPr="000E6E81" w:rsidRDefault="0071776E" w:rsidP="0071776E">
            <w:pPr>
              <w:pStyle w:val="ColorfulList-Accent11"/>
              <w:numPr>
                <w:ilvl w:val="0"/>
                <w:numId w:val="103"/>
              </w:numPr>
              <w:ind w:left="269"/>
              <w:jc w:val="left"/>
              <w:rPr>
                <w:rFonts w:ascii="Arial" w:hAnsi="Arial" w:cs="Arial"/>
                <w:sz w:val="22"/>
                <w:szCs w:val="22"/>
                <w:lang w:eastAsia="it-IT"/>
              </w:rPr>
            </w:pPr>
            <w:r w:rsidRPr="000E6E81">
              <w:rPr>
                <w:rFonts w:ascii="Arial" w:hAnsi="Arial" w:cs="Arial"/>
                <w:sz w:val="22"/>
                <w:szCs w:val="22"/>
                <w:lang w:eastAsia="it-IT"/>
              </w:rPr>
              <w:t>Cooperation instruments</w:t>
            </w:r>
          </w:p>
        </w:tc>
      </w:tr>
      <w:tr w:rsidR="0071776E" w:rsidRPr="000E6E81" w:rsidTr="00792401">
        <w:tc>
          <w:tcPr>
            <w:tcW w:w="3133" w:type="dxa"/>
            <w:shd w:val="clear" w:color="auto" w:fill="auto"/>
            <w:vAlign w:val="center"/>
          </w:tcPr>
          <w:p w:rsidR="0071776E" w:rsidRPr="000E6E81" w:rsidRDefault="0071776E" w:rsidP="0071776E">
            <w:pPr>
              <w:spacing w:before="0" w:after="0"/>
              <w:jc w:val="left"/>
              <w:rPr>
                <w:rFonts w:ascii="Arial" w:hAnsi="Arial" w:cs="Arial"/>
                <w:sz w:val="22"/>
                <w:szCs w:val="22"/>
                <w:lang w:eastAsia="it-IT"/>
              </w:rPr>
            </w:pPr>
            <w:r w:rsidRPr="000E6E81">
              <w:rPr>
                <w:rFonts w:ascii="Arial" w:hAnsi="Arial" w:cs="Arial"/>
                <w:sz w:val="22"/>
                <w:szCs w:val="22"/>
                <w:lang w:eastAsia="it-IT"/>
              </w:rPr>
              <w:t>C - STRATEGIC ALLIANCES</w:t>
            </w:r>
          </w:p>
        </w:tc>
        <w:tc>
          <w:tcPr>
            <w:tcW w:w="6473" w:type="dxa"/>
            <w:shd w:val="clear" w:color="auto" w:fill="auto"/>
            <w:vAlign w:val="center"/>
          </w:tcPr>
          <w:p w:rsidR="0071776E" w:rsidRPr="000E6E81" w:rsidRDefault="0071776E" w:rsidP="0071776E">
            <w:pPr>
              <w:pStyle w:val="ColorfulList-Accent11"/>
              <w:numPr>
                <w:ilvl w:val="0"/>
                <w:numId w:val="103"/>
              </w:numPr>
              <w:ind w:left="269"/>
              <w:jc w:val="left"/>
              <w:rPr>
                <w:rFonts w:ascii="Arial" w:hAnsi="Arial" w:cs="Arial"/>
                <w:sz w:val="22"/>
                <w:szCs w:val="22"/>
                <w:lang w:eastAsia="it-IT"/>
              </w:rPr>
            </w:pPr>
            <w:r w:rsidRPr="000E6E81">
              <w:rPr>
                <w:rFonts w:ascii="Arial" w:hAnsi="Arial" w:cs="Arial"/>
                <w:sz w:val="22"/>
                <w:szCs w:val="22"/>
                <w:lang w:eastAsia="it-IT"/>
              </w:rPr>
              <w:t>Partnerships</w:t>
            </w:r>
          </w:p>
        </w:tc>
      </w:tr>
      <w:tr w:rsidR="0071776E" w:rsidRPr="000E6E81" w:rsidTr="00792401">
        <w:tc>
          <w:tcPr>
            <w:tcW w:w="3133" w:type="dxa"/>
            <w:vMerge w:val="restart"/>
            <w:shd w:val="clear" w:color="auto" w:fill="auto"/>
            <w:vAlign w:val="center"/>
          </w:tcPr>
          <w:p w:rsidR="0071776E" w:rsidRPr="000E6E81" w:rsidRDefault="0071776E" w:rsidP="0071776E">
            <w:pPr>
              <w:spacing w:before="0" w:after="0"/>
              <w:jc w:val="left"/>
              <w:rPr>
                <w:rFonts w:ascii="Arial" w:hAnsi="Arial" w:cs="Arial"/>
                <w:sz w:val="22"/>
                <w:szCs w:val="22"/>
                <w:lang w:eastAsia="it-IT"/>
              </w:rPr>
            </w:pPr>
            <w:r w:rsidRPr="000E6E81">
              <w:rPr>
                <w:rFonts w:ascii="Arial" w:hAnsi="Arial" w:cs="Arial"/>
                <w:sz w:val="22"/>
                <w:szCs w:val="22"/>
                <w:lang w:eastAsia="it-IT"/>
              </w:rPr>
              <w:t>D - DELIVERY OF THE COOPERATION EFFORT</w:t>
            </w:r>
          </w:p>
        </w:tc>
        <w:tc>
          <w:tcPr>
            <w:tcW w:w="6473" w:type="dxa"/>
            <w:shd w:val="clear" w:color="auto" w:fill="auto"/>
            <w:vAlign w:val="center"/>
          </w:tcPr>
          <w:p w:rsidR="0071776E" w:rsidRPr="000E6E81" w:rsidRDefault="0071776E" w:rsidP="0071776E">
            <w:pPr>
              <w:pStyle w:val="ColorfulList-Accent11"/>
              <w:numPr>
                <w:ilvl w:val="0"/>
                <w:numId w:val="103"/>
              </w:numPr>
              <w:ind w:left="269"/>
              <w:jc w:val="left"/>
              <w:rPr>
                <w:rFonts w:ascii="Arial" w:hAnsi="Arial" w:cs="Arial"/>
                <w:sz w:val="22"/>
                <w:szCs w:val="22"/>
                <w:lang w:eastAsia="it-IT"/>
              </w:rPr>
            </w:pPr>
            <w:r w:rsidRPr="000E6E81">
              <w:rPr>
                <w:rFonts w:ascii="Arial" w:hAnsi="Arial" w:cs="Arial"/>
                <w:sz w:val="22"/>
                <w:szCs w:val="22"/>
                <w:lang w:eastAsia="it-IT"/>
              </w:rPr>
              <w:t>Governance</w:t>
            </w:r>
          </w:p>
        </w:tc>
      </w:tr>
      <w:tr w:rsidR="0071776E" w:rsidRPr="000E6E81" w:rsidTr="00792401">
        <w:tc>
          <w:tcPr>
            <w:tcW w:w="3133" w:type="dxa"/>
            <w:vMerge/>
            <w:shd w:val="clear" w:color="auto" w:fill="auto"/>
          </w:tcPr>
          <w:p w:rsidR="0071776E" w:rsidRPr="000E6E81" w:rsidRDefault="0071776E" w:rsidP="0071776E">
            <w:pPr>
              <w:spacing w:before="0" w:after="0"/>
              <w:jc w:val="left"/>
              <w:rPr>
                <w:rFonts w:ascii="Arial" w:hAnsi="Arial" w:cs="Arial"/>
                <w:sz w:val="22"/>
                <w:szCs w:val="22"/>
                <w:lang w:eastAsia="it-IT"/>
              </w:rPr>
            </w:pPr>
          </w:p>
        </w:tc>
        <w:tc>
          <w:tcPr>
            <w:tcW w:w="6473" w:type="dxa"/>
            <w:shd w:val="clear" w:color="auto" w:fill="auto"/>
            <w:vAlign w:val="center"/>
          </w:tcPr>
          <w:p w:rsidR="0071776E" w:rsidRPr="000E6E81" w:rsidRDefault="0071776E" w:rsidP="0071776E">
            <w:pPr>
              <w:pStyle w:val="ColorfulList-Accent11"/>
              <w:numPr>
                <w:ilvl w:val="0"/>
                <w:numId w:val="103"/>
              </w:numPr>
              <w:ind w:left="269"/>
              <w:jc w:val="left"/>
              <w:rPr>
                <w:rFonts w:ascii="Arial" w:hAnsi="Arial" w:cs="Arial"/>
                <w:sz w:val="22"/>
                <w:szCs w:val="22"/>
                <w:lang w:eastAsia="it-IT"/>
              </w:rPr>
            </w:pPr>
            <w:r w:rsidRPr="000E6E81">
              <w:rPr>
                <w:rFonts w:ascii="Arial" w:hAnsi="Arial" w:cs="Arial"/>
                <w:sz w:val="22"/>
                <w:szCs w:val="22"/>
                <w:lang w:eastAsia="it-IT"/>
              </w:rPr>
              <w:t xml:space="preserve">Social sector </w:t>
            </w:r>
          </w:p>
        </w:tc>
      </w:tr>
      <w:tr w:rsidR="0071776E" w:rsidRPr="000E6E81" w:rsidTr="00792401">
        <w:tc>
          <w:tcPr>
            <w:tcW w:w="3133" w:type="dxa"/>
            <w:vMerge/>
            <w:shd w:val="clear" w:color="auto" w:fill="auto"/>
          </w:tcPr>
          <w:p w:rsidR="0071776E" w:rsidRPr="000E6E81" w:rsidRDefault="0071776E" w:rsidP="0071776E">
            <w:pPr>
              <w:spacing w:before="0" w:after="0"/>
              <w:jc w:val="left"/>
              <w:rPr>
                <w:rFonts w:ascii="Arial" w:hAnsi="Arial" w:cs="Arial"/>
                <w:sz w:val="22"/>
                <w:szCs w:val="22"/>
                <w:lang w:eastAsia="it-IT"/>
              </w:rPr>
            </w:pPr>
          </w:p>
        </w:tc>
        <w:tc>
          <w:tcPr>
            <w:tcW w:w="6473" w:type="dxa"/>
            <w:shd w:val="clear" w:color="auto" w:fill="auto"/>
            <w:vAlign w:val="center"/>
          </w:tcPr>
          <w:p w:rsidR="0071776E" w:rsidRPr="000E6E81" w:rsidRDefault="0071776E" w:rsidP="0071776E">
            <w:pPr>
              <w:pStyle w:val="ColorfulList-Accent11"/>
              <w:numPr>
                <w:ilvl w:val="0"/>
                <w:numId w:val="103"/>
              </w:numPr>
              <w:ind w:left="269"/>
              <w:jc w:val="left"/>
              <w:rPr>
                <w:rFonts w:ascii="Arial" w:hAnsi="Arial" w:cs="Arial"/>
                <w:sz w:val="22"/>
                <w:szCs w:val="22"/>
                <w:lang w:eastAsia="it-IT"/>
              </w:rPr>
            </w:pPr>
            <w:r w:rsidRPr="000E6E81">
              <w:rPr>
                <w:rFonts w:ascii="Arial" w:hAnsi="Arial" w:cs="Arial"/>
                <w:sz w:val="22"/>
                <w:szCs w:val="22"/>
                <w:lang w:eastAsia="it-IT"/>
              </w:rPr>
              <w:t>Private sector and trade</w:t>
            </w:r>
          </w:p>
        </w:tc>
      </w:tr>
      <w:tr w:rsidR="0071776E" w:rsidRPr="000E6E81" w:rsidTr="00792401">
        <w:tc>
          <w:tcPr>
            <w:tcW w:w="3133" w:type="dxa"/>
            <w:vMerge/>
            <w:shd w:val="clear" w:color="auto" w:fill="auto"/>
          </w:tcPr>
          <w:p w:rsidR="0071776E" w:rsidRPr="000E6E81" w:rsidRDefault="0071776E" w:rsidP="0071776E">
            <w:pPr>
              <w:spacing w:before="0" w:after="0"/>
              <w:jc w:val="left"/>
              <w:rPr>
                <w:rFonts w:ascii="Arial" w:hAnsi="Arial" w:cs="Arial"/>
                <w:sz w:val="22"/>
                <w:szCs w:val="22"/>
                <w:lang w:eastAsia="it-IT"/>
              </w:rPr>
            </w:pPr>
          </w:p>
        </w:tc>
        <w:tc>
          <w:tcPr>
            <w:tcW w:w="6473" w:type="dxa"/>
            <w:shd w:val="clear" w:color="auto" w:fill="auto"/>
            <w:vAlign w:val="center"/>
          </w:tcPr>
          <w:p w:rsidR="0071776E" w:rsidRPr="000E6E81" w:rsidRDefault="0071776E" w:rsidP="0071776E">
            <w:pPr>
              <w:pStyle w:val="ColorfulList-Accent11"/>
              <w:numPr>
                <w:ilvl w:val="0"/>
                <w:numId w:val="103"/>
              </w:numPr>
              <w:ind w:left="269"/>
              <w:jc w:val="left"/>
              <w:rPr>
                <w:rFonts w:ascii="Arial" w:hAnsi="Arial" w:cs="Arial"/>
                <w:sz w:val="22"/>
                <w:szCs w:val="22"/>
                <w:lang w:eastAsia="it-IT"/>
              </w:rPr>
            </w:pPr>
            <w:r w:rsidRPr="000E6E81">
              <w:rPr>
                <w:rFonts w:ascii="Arial" w:hAnsi="Arial" w:cs="Arial"/>
                <w:sz w:val="22"/>
                <w:szCs w:val="22"/>
                <w:lang w:eastAsia="it-IT"/>
              </w:rPr>
              <w:t xml:space="preserve">Water and sanitation </w:t>
            </w:r>
          </w:p>
        </w:tc>
      </w:tr>
    </w:tbl>
    <w:p w:rsidR="0071776E" w:rsidRDefault="0071776E" w:rsidP="0071776E">
      <w:pPr>
        <w:spacing w:before="0" w:after="0"/>
        <w:rPr>
          <w:rFonts w:ascii="Times New Roman" w:hAnsi="Times New Roman"/>
          <w:szCs w:val="24"/>
        </w:rPr>
      </w:pPr>
    </w:p>
    <w:p w:rsidR="0071776E" w:rsidRDefault="0071776E" w:rsidP="0071776E">
      <w:pPr>
        <w:spacing w:before="0" w:after="0"/>
        <w:rPr>
          <w:rFonts w:ascii="Arial" w:hAnsi="Arial" w:cs="Arial"/>
          <w:b/>
          <w:caps/>
          <w:color w:val="1F497D" w:themeColor="text2"/>
          <w:sz w:val="22"/>
          <w:szCs w:val="22"/>
          <w:u w:val="single"/>
          <w:lang w:val="it-IT"/>
        </w:rPr>
      </w:pPr>
    </w:p>
    <w:p w:rsidR="0071776E" w:rsidRPr="00F86A1E" w:rsidRDefault="0071776E" w:rsidP="0071776E">
      <w:pPr>
        <w:spacing w:before="0" w:after="0"/>
        <w:rPr>
          <w:rFonts w:ascii="Arial" w:hAnsi="Arial" w:cs="Arial"/>
          <w:b/>
          <w:color w:val="1F497D" w:themeColor="text2"/>
          <w:sz w:val="22"/>
          <w:szCs w:val="22"/>
          <w:u w:val="single"/>
        </w:rPr>
      </w:pPr>
      <w:r>
        <w:rPr>
          <w:rFonts w:ascii="Arial" w:hAnsi="Arial" w:cs="Arial"/>
          <w:b/>
          <w:color w:val="1F497D" w:themeColor="text2"/>
          <w:sz w:val="22"/>
          <w:szCs w:val="22"/>
          <w:u w:val="single"/>
        </w:rPr>
        <w:lastRenderedPageBreak/>
        <w:t>Desk Stage</w:t>
      </w:r>
    </w:p>
    <w:p w:rsidR="0071776E" w:rsidRPr="00A76CFA" w:rsidRDefault="0071776E" w:rsidP="006D3B79">
      <w:pPr>
        <w:spacing w:before="0" w:after="0"/>
        <w:rPr>
          <w:rFonts w:ascii="Arial" w:eastAsiaTheme="minorHAnsi" w:hAnsi="Arial" w:cs="Arial"/>
          <w:sz w:val="22"/>
          <w:szCs w:val="22"/>
        </w:rPr>
      </w:pPr>
      <w:r w:rsidRPr="00A76CFA">
        <w:rPr>
          <w:rFonts w:ascii="Arial" w:eastAsiaTheme="minorHAnsi" w:hAnsi="Arial" w:cs="Arial"/>
          <w:sz w:val="22"/>
          <w:szCs w:val="22"/>
        </w:rPr>
        <w:t xml:space="preserve">The desk study has consisted of a </w:t>
      </w:r>
      <w:r w:rsidRPr="00A76CFA">
        <w:rPr>
          <w:rFonts w:ascii="Arial" w:eastAsiaTheme="minorHAnsi" w:hAnsi="Arial" w:cs="Arial"/>
          <w:b/>
          <w:bCs/>
          <w:sz w:val="22"/>
          <w:szCs w:val="22"/>
        </w:rPr>
        <w:t xml:space="preserve">review of available documentary sources </w:t>
      </w:r>
      <w:r w:rsidRPr="00A76CFA">
        <w:rPr>
          <w:rFonts w:ascii="Arial" w:eastAsiaTheme="minorHAnsi" w:hAnsi="Arial" w:cs="Arial"/>
          <w:sz w:val="22"/>
          <w:szCs w:val="22"/>
        </w:rPr>
        <w:t>by the Evaluation team (see Bibliography</w:t>
      </w:r>
      <w:r w:rsidRPr="006D3B79">
        <w:rPr>
          <w:rFonts w:ascii="Arial" w:eastAsiaTheme="minorHAnsi" w:hAnsi="Arial" w:cs="Arial"/>
          <w:sz w:val="22"/>
          <w:szCs w:val="22"/>
        </w:rPr>
        <w:t>, annex 2</w:t>
      </w:r>
      <w:r w:rsidRPr="006D3B79">
        <w:rPr>
          <w:rFonts w:ascii="Arial" w:eastAsiaTheme="minorHAnsi" w:hAnsi="Arial" w:cs="Arial"/>
          <w:iCs/>
          <w:sz w:val="22"/>
          <w:szCs w:val="22"/>
        </w:rPr>
        <w:t>)</w:t>
      </w:r>
      <w:r w:rsidRPr="006D3B79">
        <w:rPr>
          <w:rFonts w:ascii="Arial" w:eastAsiaTheme="minorHAnsi" w:hAnsi="Arial" w:cs="Arial"/>
          <w:sz w:val="22"/>
          <w:szCs w:val="22"/>
        </w:rPr>
        <w:t xml:space="preserve">. It also builds on the inception visit to Palestine and exchanges with EU Representation staff (March 2013), as well as on interviews with a broad range of stakeholders (see List of People </w:t>
      </w:r>
      <w:r w:rsidR="00740262" w:rsidRPr="006D3B79">
        <w:rPr>
          <w:rFonts w:ascii="Arial" w:eastAsiaTheme="minorHAnsi" w:hAnsi="Arial" w:cs="Arial"/>
          <w:sz w:val="22"/>
          <w:szCs w:val="22"/>
        </w:rPr>
        <w:t>Interviewed</w:t>
      </w:r>
      <w:r w:rsidRPr="006D3B79">
        <w:rPr>
          <w:rFonts w:ascii="Arial" w:eastAsiaTheme="minorHAnsi" w:hAnsi="Arial" w:cs="Arial"/>
          <w:sz w:val="22"/>
          <w:szCs w:val="22"/>
        </w:rPr>
        <w:t xml:space="preserve"> in annex 3).</w:t>
      </w:r>
      <w:r>
        <w:rPr>
          <w:rFonts w:ascii="Arial" w:eastAsiaTheme="minorHAnsi" w:hAnsi="Arial" w:cs="Arial"/>
          <w:sz w:val="22"/>
          <w:szCs w:val="22"/>
        </w:rPr>
        <w:t xml:space="preserve"> </w:t>
      </w:r>
    </w:p>
    <w:p w:rsidR="0071776E" w:rsidRPr="00A76CFA" w:rsidRDefault="0071776E" w:rsidP="006D3B79">
      <w:pPr>
        <w:spacing w:before="0" w:after="0"/>
        <w:rPr>
          <w:rFonts w:ascii="Arial" w:eastAsiaTheme="minorHAnsi" w:hAnsi="Arial" w:cs="Arial"/>
          <w:sz w:val="22"/>
          <w:szCs w:val="22"/>
        </w:rPr>
      </w:pPr>
    </w:p>
    <w:p w:rsidR="0071776E" w:rsidRPr="00A76CFA" w:rsidRDefault="0071776E" w:rsidP="006D3B79">
      <w:pPr>
        <w:spacing w:before="0" w:after="0"/>
        <w:rPr>
          <w:rFonts w:ascii="Arial" w:eastAsiaTheme="minorHAnsi" w:hAnsi="Arial" w:cs="Arial"/>
          <w:sz w:val="22"/>
          <w:szCs w:val="22"/>
        </w:rPr>
      </w:pPr>
      <w:r w:rsidRPr="00A76CFA">
        <w:rPr>
          <w:rFonts w:ascii="Arial" w:eastAsiaTheme="minorHAnsi" w:hAnsi="Arial" w:cs="Arial"/>
          <w:sz w:val="22"/>
          <w:szCs w:val="22"/>
        </w:rPr>
        <w:t>Five main categories of information have been collected and analyzed for the desk study:</w:t>
      </w:r>
    </w:p>
    <w:p w:rsidR="0071776E" w:rsidRPr="00A76CFA" w:rsidRDefault="0071776E" w:rsidP="006D3B79">
      <w:pPr>
        <w:spacing w:before="0" w:after="0"/>
        <w:rPr>
          <w:rFonts w:ascii="Arial" w:eastAsiaTheme="minorHAnsi" w:hAnsi="Arial" w:cs="Arial"/>
          <w:sz w:val="22"/>
          <w:szCs w:val="22"/>
        </w:rPr>
      </w:pPr>
    </w:p>
    <w:p w:rsidR="0071776E" w:rsidRPr="00A76CFA" w:rsidRDefault="0071776E" w:rsidP="006D3B79">
      <w:pPr>
        <w:numPr>
          <w:ilvl w:val="0"/>
          <w:numId w:val="104"/>
        </w:numPr>
        <w:tabs>
          <w:tab w:val="left" w:pos="540"/>
          <w:tab w:val="left" w:pos="1620"/>
        </w:tabs>
        <w:spacing w:before="0" w:after="0"/>
        <w:ind w:left="538" w:hanging="357"/>
        <w:rPr>
          <w:rFonts w:ascii="Arial" w:eastAsiaTheme="minorHAnsi" w:hAnsi="Arial" w:cs="Arial"/>
          <w:sz w:val="22"/>
          <w:szCs w:val="22"/>
        </w:rPr>
      </w:pPr>
      <w:r w:rsidRPr="00A76CFA">
        <w:rPr>
          <w:rFonts w:ascii="Arial" w:eastAsiaTheme="minorHAnsi" w:hAnsi="Arial" w:cs="Arial"/>
          <w:b/>
          <w:bCs/>
          <w:sz w:val="22"/>
          <w:szCs w:val="22"/>
        </w:rPr>
        <w:t xml:space="preserve">Background and context information </w:t>
      </w:r>
      <w:r w:rsidRPr="00A76CFA">
        <w:rPr>
          <w:rFonts w:ascii="Arial" w:eastAsiaTheme="minorHAnsi" w:hAnsi="Arial" w:cs="Arial"/>
          <w:sz w:val="22"/>
          <w:szCs w:val="22"/>
        </w:rPr>
        <w:t>on the country, the region and the Cooperation policy of the Commission. This information is necessary first for an understanding of the main issues addressed, or that should have been addressed, by the Commission’s support, and second for an overview of the country’s situation in relation to these issues, so as to form a first idea of the possible contribution of the Commission’s contribution to the observed trends. This work was started during the Inception Phase and then complemented during the Desk Study stage with information under each specific Evaluation Question.</w:t>
      </w:r>
    </w:p>
    <w:p w:rsidR="0071776E" w:rsidRPr="00A76CFA" w:rsidRDefault="0071776E" w:rsidP="0071776E">
      <w:pPr>
        <w:numPr>
          <w:ilvl w:val="0"/>
          <w:numId w:val="104"/>
        </w:numPr>
        <w:tabs>
          <w:tab w:val="left" w:pos="540"/>
          <w:tab w:val="left" w:pos="1620"/>
        </w:tabs>
        <w:spacing w:before="0" w:after="0"/>
        <w:ind w:left="538" w:hanging="357"/>
        <w:rPr>
          <w:rFonts w:ascii="Arial" w:eastAsiaTheme="minorHAnsi" w:hAnsi="Arial" w:cs="Arial"/>
          <w:sz w:val="22"/>
          <w:szCs w:val="22"/>
        </w:rPr>
      </w:pPr>
      <w:r w:rsidRPr="00A76CFA">
        <w:rPr>
          <w:rFonts w:ascii="Arial" w:eastAsiaTheme="minorHAnsi" w:hAnsi="Arial" w:cs="Arial"/>
          <w:b/>
          <w:bCs/>
          <w:sz w:val="22"/>
          <w:szCs w:val="22"/>
        </w:rPr>
        <w:t xml:space="preserve">EU cooperation with Palestine </w:t>
      </w:r>
      <w:r w:rsidRPr="00A76CFA">
        <w:rPr>
          <w:rFonts w:ascii="Arial" w:eastAsiaTheme="minorHAnsi" w:hAnsi="Arial" w:cs="Arial"/>
          <w:sz w:val="22"/>
          <w:szCs w:val="22"/>
        </w:rPr>
        <w:t xml:space="preserve">including a systematic review of strategic and programming documents, alignment with the PA’s policies, an inventory of Commission’s funding, etc. This started during the inception phase and has continued throughout the desk study. </w:t>
      </w:r>
    </w:p>
    <w:p w:rsidR="0071776E" w:rsidRPr="00FF46E1" w:rsidRDefault="0071776E" w:rsidP="006D3B79">
      <w:pPr>
        <w:numPr>
          <w:ilvl w:val="0"/>
          <w:numId w:val="104"/>
        </w:numPr>
        <w:tabs>
          <w:tab w:val="left" w:pos="540"/>
          <w:tab w:val="left" w:pos="1620"/>
        </w:tabs>
        <w:spacing w:before="0" w:after="0"/>
        <w:ind w:left="538" w:hanging="357"/>
        <w:rPr>
          <w:rFonts w:ascii="Arial" w:eastAsiaTheme="minorHAnsi" w:hAnsi="Arial" w:cs="Arial"/>
          <w:sz w:val="22"/>
          <w:szCs w:val="22"/>
        </w:rPr>
      </w:pPr>
      <w:r w:rsidRPr="00A76CFA">
        <w:rPr>
          <w:rFonts w:ascii="Arial" w:eastAsiaTheme="minorHAnsi" w:hAnsi="Arial" w:cs="Arial"/>
          <w:b/>
          <w:bCs/>
          <w:sz w:val="22"/>
          <w:szCs w:val="22"/>
        </w:rPr>
        <w:t>Information on the interventions selected for in-depth analysis</w:t>
      </w:r>
      <w:r w:rsidRPr="00A76CFA">
        <w:rPr>
          <w:rFonts w:ascii="Arial" w:eastAsiaTheme="minorHAnsi" w:hAnsi="Arial" w:cs="Arial"/>
          <w:sz w:val="22"/>
          <w:szCs w:val="22"/>
        </w:rPr>
        <w:t xml:space="preserve">. A set of </w:t>
      </w:r>
      <w:r w:rsidRPr="00FF46E1">
        <w:rPr>
          <w:rFonts w:ascii="Arial" w:eastAsiaTheme="minorHAnsi" w:hAnsi="Arial" w:cs="Arial"/>
          <w:sz w:val="22"/>
          <w:szCs w:val="22"/>
        </w:rPr>
        <w:t>19 interventions</w:t>
      </w:r>
      <w:r w:rsidRPr="00A76CFA">
        <w:rPr>
          <w:rFonts w:ascii="Arial" w:eastAsiaTheme="minorHAnsi" w:hAnsi="Arial" w:cs="Arial"/>
          <w:sz w:val="22"/>
          <w:szCs w:val="22"/>
        </w:rPr>
        <w:t xml:space="preserve"> </w:t>
      </w:r>
      <w:r>
        <w:rPr>
          <w:rFonts w:ascii="Arial" w:eastAsiaTheme="minorHAnsi" w:hAnsi="Arial" w:cs="Arial"/>
          <w:sz w:val="22"/>
          <w:szCs w:val="22"/>
        </w:rPr>
        <w:t>was</w:t>
      </w:r>
      <w:r w:rsidRPr="00A76CFA">
        <w:rPr>
          <w:rFonts w:ascii="Arial" w:eastAsiaTheme="minorHAnsi" w:hAnsi="Arial" w:cs="Arial"/>
          <w:sz w:val="22"/>
          <w:szCs w:val="22"/>
        </w:rPr>
        <w:t xml:space="preserve"> identified and selected for further analysis during the desk and field work. This sample of cooperation interventions </w:t>
      </w:r>
      <w:r w:rsidR="006D3B79">
        <w:rPr>
          <w:rFonts w:ascii="Arial" w:eastAsiaTheme="minorHAnsi" w:hAnsi="Arial" w:cs="Arial"/>
          <w:sz w:val="22"/>
          <w:szCs w:val="22"/>
        </w:rPr>
        <w:t>has</w:t>
      </w:r>
      <w:r w:rsidRPr="00A76CFA">
        <w:rPr>
          <w:rFonts w:ascii="Arial" w:eastAsiaTheme="minorHAnsi" w:hAnsi="Arial" w:cs="Arial"/>
          <w:sz w:val="22"/>
          <w:szCs w:val="22"/>
        </w:rPr>
        <w:t xml:space="preserve"> support</w:t>
      </w:r>
      <w:r w:rsidR="006D3B79">
        <w:rPr>
          <w:rFonts w:ascii="Arial" w:eastAsiaTheme="minorHAnsi" w:hAnsi="Arial" w:cs="Arial"/>
          <w:sz w:val="22"/>
          <w:szCs w:val="22"/>
        </w:rPr>
        <w:t>ed</w:t>
      </w:r>
      <w:r w:rsidRPr="00A76CFA">
        <w:rPr>
          <w:rFonts w:ascii="Arial" w:eastAsiaTheme="minorHAnsi" w:hAnsi="Arial" w:cs="Arial"/>
          <w:sz w:val="22"/>
          <w:szCs w:val="22"/>
        </w:rPr>
        <w:t xml:space="preserve"> the identification of lessons and provide elements of the answers relating to each of the Judgment Criteria, particularly for the last cluster (relating to delivery) of Evaluation Questions. The available documentation on these interventions has been screened at the level of the relevant Judgment Criteria. </w:t>
      </w:r>
      <w:r w:rsidRPr="00FF46E1">
        <w:rPr>
          <w:rFonts w:ascii="Arial" w:eastAsiaTheme="minorHAnsi" w:hAnsi="Arial" w:cs="Arial"/>
          <w:sz w:val="22"/>
          <w:szCs w:val="22"/>
        </w:rPr>
        <w:t>Due to the particular nature of this evaluation the case study analysis hasn’t been carried out following the standard procedures. The interventions selected have been reviewed only for particular sectors (governance, human rights, social protection, water and sanitation) but in-depth analysis at project level has</w:t>
      </w:r>
      <w:r w:rsidR="00FF46E1" w:rsidRPr="00FF46E1">
        <w:rPr>
          <w:rFonts w:ascii="Arial" w:eastAsiaTheme="minorHAnsi" w:hAnsi="Arial" w:cs="Arial"/>
          <w:sz w:val="22"/>
          <w:szCs w:val="22"/>
        </w:rPr>
        <w:t xml:space="preserve"> not</w:t>
      </w:r>
      <w:r w:rsidRPr="00FF46E1">
        <w:rPr>
          <w:rFonts w:ascii="Arial" w:eastAsiaTheme="minorHAnsi" w:hAnsi="Arial" w:cs="Arial"/>
          <w:sz w:val="22"/>
          <w:szCs w:val="22"/>
        </w:rPr>
        <w:t xml:space="preserve"> been developed. </w:t>
      </w:r>
    </w:p>
    <w:p w:rsidR="0071776E" w:rsidRPr="00A76CFA" w:rsidRDefault="0071776E" w:rsidP="006D3B79">
      <w:pPr>
        <w:numPr>
          <w:ilvl w:val="0"/>
          <w:numId w:val="104"/>
        </w:numPr>
        <w:tabs>
          <w:tab w:val="left" w:pos="540"/>
          <w:tab w:val="left" w:pos="1620"/>
        </w:tabs>
        <w:spacing w:before="0" w:after="0"/>
        <w:ind w:left="538" w:hanging="357"/>
        <w:rPr>
          <w:rFonts w:ascii="Arial" w:eastAsiaTheme="minorHAnsi" w:hAnsi="Arial" w:cs="Arial"/>
          <w:sz w:val="22"/>
          <w:szCs w:val="22"/>
        </w:rPr>
      </w:pPr>
      <w:r w:rsidRPr="00A76CFA">
        <w:rPr>
          <w:rFonts w:ascii="Arial" w:eastAsiaTheme="minorHAnsi" w:hAnsi="Arial" w:cs="Arial"/>
          <w:b/>
          <w:bCs/>
          <w:sz w:val="22"/>
          <w:szCs w:val="22"/>
        </w:rPr>
        <w:t>Information on ROM reports</w:t>
      </w:r>
      <w:r w:rsidRPr="00A76CFA">
        <w:rPr>
          <w:rFonts w:ascii="Arial" w:eastAsiaTheme="minorHAnsi" w:hAnsi="Arial" w:cs="Arial"/>
          <w:sz w:val="22"/>
          <w:szCs w:val="22"/>
        </w:rPr>
        <w:t xml:space="preserve">. A set of 10 ROM </w:t>
      </w:r>
      <w:r w:rsidR="006D3B79">
        <w:rPr>
          <w:rFonts w:ascii="Arial" w:eastAsiaTheme="minorHAnsi" w:hAnsi="Arial" w:cs="Arial"/>
          <w:sz w:val="22"/>
          <w:szCs w:val="22"/>
        </w:rPr>
        <w:t>has been identified (see Annex 11</w:t>
      </w:r>
      <w:r w:rsidRPr="00A76CFA">
        <w:rPr>
          <w:rFonts w:ascii="Arial" w:eastAsiaTheme="minorHAnsi" w:hAnsi="Arial" w:cs="Arial"/>
          <w:sz w:val="22"/>
          <w:szCs w:val="22"/>
        </w:rPr>
        <w:t xml:space="preserve">) and selected for analysis during the desk and field phases and the information is to be used to support preliminary findings for each of the Evaluation Questions. </w:t>
      </w:r>
    </w:p>
    <w:p w:rsidR="0071776E" w:rsidRPr="00A76CFA" w:rsidRDefault="0071776E" w:rsidP="006D3B79">
      <w:pPr>
        <w:numPr>
          <w:ilvl w:val="0"/>
          <w:numId w:val="104"/>
        </w:numPr>
        <w:tabs>
          <w:tab w:val="left" w:pos="540"/>
          <w:tab w:val="left" w:pos="1620"/>
        </w:tabs>
        <w:spacing w:before="0" w:after="0"/>
        <w:ind w:left="538" w:hanging="357"/>
        <w:rPr>
          <w:rFonts w:ascii="Arial" w:eastAsiaTheme="minorHAnsi" w:hAnsi="Arial" w:cs="Arial"/>
          <w:sz w:val="22"/>
          <w:szCs w:val="22"/>
        </w:rPr>
      </w:pPr>
      <w:r w:rsidRPr="00A76CFA">
        <w:rPr>
          <w:rFonts w:ascii="Arial" w:eastAsiaTheme="minorHAnsi" w:hAnsi="Arial" w:cs="Arial"/>
          <w:b/>
          <w:sz w:val="22"/>
          <w:szCs w:val="22"/>
        </w:rPr>
        <w:t>Inventory</w:t>
      </w:r>
      <w:r w:rsidRPr="00A76CFA">
        <w:rPr>
          <w:rFonts w:ascii="Arial" w:eastAsiaTheme="minorHAnsi" w:hAnsi="Arial" w:cs="Arial"/>
          <w:sz w:val="22"/>
          <w:szCs w:val="22"/>
        </w:rPr>
        <w:t xml:space="preserve">. The DEVCO Inventory has been reviewed on the basis of documents collected for the UNRWA and PEGASE mechanisms and an additional inventory for ECHO interventions has been analyzed. </w:t>
      </w:r>
    </w:p>
    <w:p w:rsidR="0071776E" w:rsidRPr="00A76CFA" w:rsidRDefault="0071776E" w:rsidP="006D3B79">
      <w:pPr>
        <w:spacing w:before="0" w:after="0"/>
        <w:ind w:left="426" w:hanging="426"/>
        <w:rPr>
          <w:rFonts w:ascii="Arial" w:hAnsi="Arial" w:cs="Arial"/>
          <w:sz w:val="22"/>
          <w:szCs w:val="22"/>
        </w:rPr>
      </w:pPr>
    </w:p>
    <w:p w:rsidR="0071776E" w:rsidRPr="00A76CFA" w:rsidRDefault="0071776E" w:rsidP="006D3B79">
      <w:pPr>
        <w:pStyle w:val="Paragrafoelenco"/>
        <w:spacing w:before="0" w:after="0"/>
        <w:ind w:left="0"/>
        <w:rPr>
          <w:rFonts w:ascii="Arial" w:hAnsi="Arial" w:cs="Arial"/>
          <w:sz w:val="22"/>
          <w:szCs w:val="22"/>
        </w:rPr>
      </w:pPr>
      <w:r w:rsidRPr="00A76CFA">
        <w:rPr>
          <w:rFonts w:ascii="Arial" w:hAnsi="Arial" w:cs="Arial"/>
          <w:sz w:val="22"/>
          <w:szCs w:val="22"/>
        </w:rPr>
        <w:t>The process of data gathering and analysis is structured in two steps (see figure 1):</w:t>
      </w:r>
    </w:p>
    <w:p w:rsidR="0071776E" w:rsidRPr="00A76CFA" w:rsidRDefault="0071776E" w:rsidP="006D3B79">
      <w:pPr>
        <w:pStyle w:val="Paragrafoelenco"/>
        <w:numPr>
          <w:ilvl w:val="0"/>
          <w:numId w:val="106"/>
        </w:numPr>
        <w:autoSpaceDE w:val="0"/>
        <w:autoSpaceDN w:val="0"/>
        <w:adjustRightInd w:val="0"/>
        <w:spacing w:before="0" w:after="0"/>
        <w:ind w:left="567" w:hanging="425"/>
        <w:contextualSpacing w:val="0"/>
        <w:rPr>
          <w:rFonts w:ascii="Arial" w:eastAsiaTheme="minorHAnsi" w:hAnsi="Arial" w:cs="Arial"/>
          <w:sz w:val="22"/>
          <w:szCs w:val="22"/>
        </w:rPr>
      </w:pPr>
      <w:r w:rsidRPr="00A76CFA">
        <w:rPr>
          <w:rFonts w:ascii="Arial" w:eastAsiaTheme="minorHAnsi" w:hAnsi="Arial" w:cs="Arial"/>
          <w:b/>
          <w:sz w:val="22"/>
          <w:szCs w:val="22"/>
        </w:rPr>
        <w:t>Identification, collection and processing of information</w:t>
      </w:r>
      <w:r w:rsidRPr="00A76CFA">
        <w:rPr>
          <w:rFonts w:ascii="Arial" w:eastAsiaTheme="minorHAnsi" w:hAnsi="Arial" w:cs="Arial"/>
          <w:sz w:val="22"/>
          <w:szCs w:val="22"/>
        </w:rPr>
        <w:t xml:space="preserve"> relevant to all Judgment Criteria and Indicators. </w:t>
      </w:r>
    </w:p>
    <w:p w:rsidR="0071776E" w:rsidRPr="00A76CFA" w:rsidRDefault="0071776E" w:rsidP="006D3B79">
      <w:pPr>
        <w:pStyle w:val="Paragrafoelenco"/>
        <w:numPr>
          <w:ilvl w:val="0"/>
          <w:numId w:val="106"/>
        </w:numPr>
        <w:autoSpaceDE w:val="0"/>
        <w:autoSpaceDN w:val="0"/>
        <w:adjustRightInd w:val="0"/>
        <w:spacing w:before="0" w:after="0"/>
        <w:ind w:left="567" w:hanging="425"/>
        <w:contextualSpacing w:val="0"/>
        <w:rPr>
          <w:rFonts w:ascii="Arial" w:eastAsiaTheme="minorHAnsi" w:hAnsi="Arial" w:cs="Arial"/>
          <w:sz w:val="22"/>
          <w:szCs w:val="22"/>
        </w:rPr>
      </w:pPr>
      <w:r w:rsidRPr="00A76CFA">
        <w:rPr>
          <w:rFonts w:ascii="Arial" w:eastAsiaTheme="minorHAnsi" w:hAnsi="Arial" w:cs="Arial"/>
          <w:b/>
          <w:sz w:val="22"/>
          <w:szCs w:val="22"/>
        </w:rPr>
        <w:t xml:space="preserve">Analysis and synthesis of the information </w:t>
      </w:r>
      <w:r w:rsidRPr="00A76CFA">
        <w:rPr>
          <w:rFonts w:ascii="Arial" w:eastAsiaTheme="minorHAnsi" w:hAnsi="Arial" w:cs="Arial"/>
          <w:sz w:val="22"/>
          <w:szCs w:val="22"/>
        </w:rPr>
        <w:t>at the level of Judgment Criteria and Indicators. For each Judgment Criterion the team has structured the information in order to provide the basis for:</w:t>
      </w:r>
    </w:p>
    <w:p w:rsidR="0071776E" w:rsidRPr="00A76CFA" w:rsidRDefault="0071776E" w:rsidP="0071776E">
      <w:pPr>
        <w:numPr>
          <w:ilvl w:val="0"/>
          <w:numId w:val="105"/>
        </w:numPr>
        <w:autoSpaceDE w:val="0"/>
        <w:autoSpaceDN w:val="0"/>
        <w:adjustRightInd w:val="0"/>
        <w:spacing w:before="0" w:after="0"/>
        <w:ind w:left="993" w:hanging="426"/>
        <w:rPr>
          <w:rFonts w:ascii="Arial" w:eastAsiaTheme="minorHAnsi" w:hAnsi="Arial" w:cs="Arial"/>
          <w:sz w:val="22"/>
          <w:szCs w:val="22"/>
        </w:rPr>
      </w:pPr>
      <w:r w:rsidRPr="00A76CFA">
        <w:rPr>
          <w:rFonts w:ascii="Arial" w:eastAsiaTheme="minorHAnsi" w:hAnsi="Arial" w:cs="Arial"/>
          <w:sz w:val="22"/>
          <w:szCs w:val="22"/>
        </w:rPr>
        <w:t>Preliminary elements of the answers and findings (</w:t>
      </w:r>
      <w:r w:rsidRPr="00A76CFA">
        <w:rPr>
          <w:rFonts w:ascii="Arial" w:eastAsiaTheme="minorHAnsi" w:hAnsi="Arial" w:cs="Arial"/>
          <w:i/>
          <w:iCs/>
          <w:sz w:val="22"/>
          <w:szCs w:val="22"/>
        </w:rPr>
        <w:t>what has been observed at this stage</w:t>
      </w:r>
      <w:r w:rsidRPr="00A76CFA">
        <w:rPr>
          <w:rFonts w:ascii="Arial" w:eastAsiaTheme="minorHAnsi" w:hAnsi="Arial" w:cs="Arial"/>
          <w:sz w:val="22"/>
          <w:szCs w:val="22"/>
        </w:rPr>
        <w:t>);</w:t>
      </w:r>
    </w:p>
    <w:p w:rsidR="0071776E" w:rsidRPr="00A76CFA" w:rsidRDefault="0071776E" w:rsidP="0071776E">
      <w:pPr>
        <w:numPr>
          <w:ilvl w:val="0"/>
          <w:numId w:val="105"/>
        </w:numPr>
        <w:autoSpaceDE w:val="0"/>
        <w:autoSpaceDN w:val="0"/>
        <w:adjustRightInd w:val="0"/>
        <w:spacing w:before="0" w:after="0"/>
        <w:ind w:left="993" w:hanging="426"/>
        <w:rPr>
          <w:rFonts w:ascii="Arial" w:eastAsiaTheme="minorHAnsi" w:hAnsi="Arial" w:cs="Arial"/>
          <w:sz w:val="22"/>
          <w:szCs w:val="22"/>
        </w:rPr>
      </w:pPr>
      <w:r w:rsidRPr="00A76CFA">
        <w:rPr>
          <w:rFonts w:ascii="Arial" w:eastAsiaTheme="minorHAnsi" w:hAnsi="Arial" w:cs="Arial"/>
          <w:sz w:val="22"/>
          <w:szCs w:val="22"/>
        </w:rPr>
        <w:t>Formulation of hypotheses for field work (</w:t>
      </w:r>
      <w:r w:rsidRPr="00A76CFA">
        <w:rPr>
          <w:rFonts w:ascii="Arial" w:eastAsiaTheme="minorHAnsi" w:hAnsi="Arial" w:cs="Arial"/>
          <w:i/>
          <w:iCs/>
          <w:sz w:val="22"/>
          <w:szCs w:val="22"/>
        </w:rPr>
        <w:t>what is presumed on the basis of the preliminary findings</w:t>
      </w:r>
      <w:r w:rsidRPr="00A76CFA">
        <w:rPr>
          <w:rFonts w:ascii="Arial" w:eastAsiaTheme="minorHAnsi" w:hAnsi="Arial" w:cs="Arial"/>
          <w:sz w:val="22"/>
          <w:szCs w:val="22"/>
        </w:rPr>
        <w:t>);</w:t>
      </w:r>
    </w:p>
    <w:p w:rsidR="0071776E" w:rsidRPr="00A76CFA" w:rsidRDefault="0071776E" w:rsidP="0071776E">
      <w:pPr>
        <w:numPr>
          <w:ilvl w:val="0"/>
          <w:numId w:val="105"/>
        </w:numPr>
        <w:autoSpaceDE w:val="0"/>
        <w:autoSpaceDN w:val="0"/>
        <w:adjustRightInd w:val="0"/>
        <w:spacing w:before="0" w:after="0"/>
        <w:ind w:left="993" w:hanging="426"/>
        <w:rPr>
          <w:rFonts w:ascii="Arial" w:eastAsiaTheme="minorHAnsi" w:hAnsi="Arial" w:cs="Arial"/>
          <w:sz w:val="22"/>
          <w:szCs w:val="22"/>
        </w:rPr>
      </w:pPr>
      <w:r w:rsidRPr="00A76CFA">
        <w:rPr>
          <w:rFonts w:ascii="Arial" w:eastAsiaTheme="minorHAnsi" w:hAnsi="Arial" w:cs="Arial"/>
          <w:sz w:val="22"/>
          <w:szCs w:val="22"/>
        </w:rPr>
        <w:t>Identification of information gaps (</w:t>
      </w:r>
      <w:r w:rsidRPr="00A76CFA">
        <w:rPr>
          <w:rFonts w:ascii="Arial" w:eastAsiaTheme="minorHAnsi" w:hAnsi="Arial" w:cs="Arial"/>
          <w:i/>
          <w:iCs/>
          <w:sz w:val="22"/>
          <w:szCs w:val="22"/>
        </w:rPr>
        <w:t>what could not be observed at this stage</w:t>
      </w:r>
      <w:r w:rsidRPr="00A76CFA">
        <w:rPr>
          <w:rFonts w:ascii="Arial" w:eastAsiaTheme="minorHAnsi" w:hAnsi="Arial" w:cs="Arial"/>
          <w:sz w:val="22"/>
          <w:szCs w:val="22"/>
        </w:rPr>
        <w:t>).</w:t>
      </w:r>
    </w:p>
    <w:p w:rsidR="0071776E" w:rsidRDefault="0071776E" w:rsidP="0071776E">
      <w:pPr>
        <w:autoSpaceDE w:val="0"/>
        <w:autoSpaceDN w:val="0"/>
        <w:adjustRightInd w:val="0"/>
        <w:rPr>
          <w:rFonts w:ascii="Arial" w:eastAsiaTheme="minorHAnsi" w:hAnsi="Arial" w:cs="Arial"/>
          <w:sz w:val="22"/>
          <w:szCs w:val="22"/>
        </w:rPr>
      </w:pPr>
    </w:p>
    <w:p w:rsidR="0071776E" w:rsidRDefault="0071776E" w:rsidP="0071776E">
      <w:pPr>
        <w:autoSpaceDE w:val="0"/>
        <w:autoSpaceDN w:val="0"/>
        <w:adjustRightInd w:val="0"/>
        <w:rPr>
          <w:rFonts w:ascii="Arial" w:eastAsiaTheme="minorHAnsi" w:hAnsi="Arial" w:cs="Arial"/>
          <w:sz w:val="22"/>
          <w:szCs w:val="22"/>
        </w:rPr>
      </w:pPr>
      <w:r w:rsidRPr="00FF46E1">
        <w:rPr>
          <w:rFonts w:ascii="Arial" w:eastAsiaTheme="minorHAnsi" w:hAnsi="Arial" w:cs="Arial"/>
          <w:sz w:val="22"/>
          <w:szCs w:val="22"/>
        </w:rPr>
        <w:t xml:space="preserve">The desk study has been also </w:t>
      </w:r>
      <w:proofErr w:type="spellStart"/>
      <w:r w:rsidRPr="00FF46E1">
        <w:rPr>
          <w:rFonts w:ascii="Arial" w:eastAsiaTheme="minorHAnsi" w:hAnsi="Arial" w:cs="Arial"/>
          <w:sz w:val="22"/>
          <w:szCs w:val="22"/>
        </w:rPr>
        <w:t>characterised</w:t>
      </w:r>
      <w:proofErr w:type="spellEnd"/>
      <w:r w:rsidRPr="00FF46E1">
        <w:rPr>
          <w:rFonts w:ascii="Arial" w:eastAsiaTheme="minorHAnsi" w:hAnsi="Arial" w:cs="Arial"/>
          <w:sz w:val="22"/>
          <w:szCs w:val="22"/>
        </w:rPr>
        <w:t xml:space="preserve"> by several team meetings carried out in Rome and </w:t>
      </w:r>
      <w:proofErr w:type="spellStart"/>
      <w:r w:rsidRPr="00FF46E1">
        <w:rPr>
          <w:rFonts w:ascii="Arial" w:eastAsiaTheme="minorHAnsi" w:hAnsi="Arial" w:cs="Arial"/>
          <w:sz w:val="22"/>
          <w:szCs w:val="22"/>
        </w:rPr>
        <w:t>Bruxelles</w:t>
      </w:r>
      <w:proofErr w:type="spellEnd"/>
      <w:r w:rsidRPr="00FF46E1">
        <w:rPr>
          <w:rFonts w:ascii="Arial" w:eastAsiaTheme="minorHAnsi" w:hAnsi="Arial" w:cs="Arial"/>
          <w:sz w:val="22"/>
          <w:szCs w:val="22"/>
        </w:rPr>
        <w:t xml:space="preserve"> throughout the whole period. These meetings allowed to develop internal discussions on key points of the evaluation and focus on particular issues linked to the specific political nature of this evaluation.</w:t>
      </w:r>
      <w:r>
        <w:rPr>
          <w:rFonts w:ascii="Arial" w:eastAsiaTheme="minorHAnsi" w:hAnsi="Arial" w:cs="Arial"/>
          <w:sz w:val="22"/>
          <w:szCs w:val="22"/>
        </w:rPr>
        <w:t xml:space="preserve"> </w:t>
      </w:r>
    </w:p>
    <w:p w:rsidR="006D3B79" w:rsidRDefault="006D3B79" w:rsidP="0071776E">
      <w:pPr>
        <w:autoSpaceDE w:val="0"/>
        <w:autoSpaceDN w:val="0"/>
        <w:adjustRightInd w:val="0"/>
        <w:rPr>
          <w:rFonts w:ascii="Arial" w:eastAsiaTheme="minorHAnsi" w:hAnsi="Arial" w:cs="Arial"/>
          <w:sz w:val="22"/>
          <w:szCs w:val="22"/>
        </w:rPr>
      </w:pPr>
    </w:p>
    <w:p w:rsidR="006D3B79" w:rsidRDefault="006D3B79" w:rsidP="0071776E">
      <w:pPr>
        <w:autoSpaceDE w:val="0"/>
        <w:autoSpaceDN w:val="0"/>
        <w:adjustRightInd w:val="0"/>
        <w:rPr>
          <w:rFonts w:ascii="Arial" w:eastAsiaTheme="minorHAnsi" w:hAnsi="Arial" w:cs="Arial"/>
          <w:sz w:val="22"/>
          <w:szCs w:val="22"/>
        </w:rPr>
      </w:pPr>
    </w:p>
    <w:p w:rsidR="006D3B79" w:rsidRDefault="006D3B79" w:rsidP="0071776E">
      <w:pPr>
        <w:autoSpaceDE w:val="0"/>
        <w:autoSpaceDN w:val="0"/>
        <w:adjustRightInd w:val="0"/>
        <w:rPr>
          <w:rFonts w:ascii="Arial" w:eastAsiaTheme="minorHAnsi" w:hAnsi="Arial" w:cs="Arial"/>
          <w:sz w:val="22"/>
          <w:szCs w:val="22"/>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336"/>
      </w:tblGrid>
      <w:tr w:rsidR="0071776E" w:rsidRPr="000D5C93" w:rsidTr="00792401">
        <w:tc>
          <w:tcPr>
            <w:tcW w:w="9336" w:type="dxa"/>
          </w:tcPr>
          <w:p w:rsidR="0071776E" w:rsidRPr="000448C8" w:rsidRDefault="0071776E" w:rsidP="00792401">
            <w:pPr>
              <w:pStyle w:val="Didascalia"/>
              <w:framePr w:wrap="around"/>
            </w:pPr>
            <w:bookmarkStart w:id="38" w:name="_Toc373155581"/>
            <w:bookmarkStart w:id="39" w:name="_Toc307498587"/>
            <w:r w:rsidRPr="000448C8">
              <w:lastRenderedPageBreak/>
              <w:t xml:space="preserve">Figure </w:t>
            </w:r>
            <w:fldSimple w:instr=" SEQ Figure \* ARABIC ">
              <w:r w:rsidRPr="000448C8">
                <w:rPr>
                  <w:noProof/>
                </w:rPr>
                <w:t>5</w:t>
              </w:r>
            </w:fldSimple>
            <w:r w:rsidRPr="000448C8">
              <w:t>: Evaluation of Cooperation with Palestine, Desk Phase: approach to information processing</w:t>
            </w:r>
            <w:bookmarkEnd w:id="38"/>
            <w:bookmarkEnd w:id="39"/>
          </w:p>
        </w:tc>
      </w:tr>
    </w:tbl>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606"/>
      </w:tblGrid>
      <w:tr w:rsidR="0071776E" w:rsidRPr="000D5C93" w:rsidTr="00792401">
        <w:tc>
          <w:tcPr>
            <w:tcW w:w="9336" w:type="dxa"/>
          </w:tcPr>
          <w:p w:rsidR="0071776E" w:rsidRPr="000D5C93" w:rsidRDefault="0071776E" w:rsidP="00792401">
            <w:pPr>
              <w:autoSpaceDE w:val="0"/>
              <w:autoSpaceDN w:val="0"/>
              <w:adjustRightInd w:val="0"/>
              <w:rPr>
                <w:rFonts w:eastAsiaTheme="minorHAnsi" w:cs="Garamond"/>
                <w:noProof/>
                <w:szCs w:val="24"/>
              </w:rPr>
            </w:pPr>
            <w:r w:rsidRPr="000D5C93">
              <w:rPr>
                <w:rFonts w:eastAsiaTheme="minorHAnsi" w:cs="Garamond"/>
                <w:noProof/>
                <w:szCs w:val="24"/>
                <w:lang w:val="it-IT" w:eastAsia="it-IT"/>
              </w:rPr>
              <w:drawing>
                <wp:inline distT="0" distB="0" distL="0" distR="0">
                  <wp:extent cx="5934710" cy="2914650"/>
                  <wp:effectExtent l="19050" t="0" r="8890" b="0"/>
                  <wp:docPr id="32"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0" cstate="print"/>
                          <a:srcRect/>
                          <a:stretch>
                            <a:fillRect/>
                          </a:stretch>
                        </pic:blipFill>
                        <pic:spPr bwMode="auto">
                          <a:xfrm>
                            <a:off x="0" y="0"/>
                            <a:ext cx="5934261" cy="2914430"/>
                          </a:xfrm>
                          <a:prstGeom prst="rect">
                            <a:avLst/>
                          </a:prstGeom>
                          <a:noFill/>
                          <a:ln w="9525">
                            <a:noFill/>
                            <a:miter lim="800000"/>
                            <a:headEnd/>
                            <a:tailEnd/>
                          </a:ln>
                        </pic:spPr>
                      </pic:pic>
                    </a:graphicData>
                  </a:graphic>
                </wp:inline>
              </w:drawing>
            </w:r>
          </w:p>
        </w:tc>
      </w:tr>
    </w:tbl>
    <w:p w:rsidR="0071776E" w:rsidRDefault="0071776E" w:rsidP="0071776E">
      <w:pPr>
        <w:pStyle w:val="Default"/>
        <w:spacing w:before="0" w:after="0"/>
        <w:outlineLvl w:val="2"/>
        <w:rPr>
          <w:rFonts w:ascii="Arial" w:hAnsi="Arial" w:cs="Arial"/>
          <w:b/>
          <w:caps/>
          <w:color w:val="1F497D" w:themeColor="text2"/>
        </w:rPr>
      </w:pPr>
    </w:p>
    <w:p w:rsidR="00FF46E1" w:rsidRDefault="00FF46E1" w:rsidP="0071776E">
      <w:pPr>
        <w:pStyle w:val="Default"/>
        <w:spacing w:before="0" w:after="0"/>
        <w:outlineLvl w:val="2"/>
        <w:rPr>
          <w:rFonts w:ascii="Arial" w:hAnsi="Arial" w:cs="Arial"/>
          <w:b/>
          <w:caps/>
          <w:color w:val="1F497D" w:themeColor="text2"/>
        </w:rPr>
      </w:pPr>
    </w:p>
    <w:p w:rsidR="0071776E" w:rsidRPr="004B64B5" w:rsidRDefault="0071776E" w:rsidP="001A745D">
      <w:pPr>
        <w:pStyle w:val="Default"/>
        <w:spacing w:before="0" w:after="0"/>
        <w:rPr>
          <w:rFonts w:ascii="Arial" w:hAnsi="Arial" w:cs="Arial"/>
          <w:b/>
          <w:caps/>
          <w:color w:val="1F497D" w:themeColor="text2"/>
        </w:rPr>
      </w:pPr>
      <w:r w:rsidRPr="004B64B5">
        <w:rPr>
          <w:rFonts w:ascii="Arial" w:hAnsi="Arial" w:cs="Arial"/>
          <w:b/>
          <w:caps/>
          <w:color w:val="1F497D" w:themeColor="text2"/>
        </w:rPr>
        <w:t xml:space="preserve">Field Phase </w:t>
      </w:r>
    </w:p>
    <w:p w:rsidR="0071776E" w:rsidRPr="00A76CFA" w:rsidRDefault="0071776E" w:rsidP="0071776E">
      <w:pPr>
        <w:autoSpaceDE w:val="0"/>
        <w:autoSpaceDN w:val="0"/>
        <w:adjustRightInd w:val="0"/>
        <w:spacing w:before="0" w:after="0"/>
        <w:rPr>
          <w:rFonts w:ascii="Arial" w:eastAsiaTheme="minorHAnsi" w:hAnsi="Arial" w:cs="Arial"/>
          <w:sz w:val="22"/>
          <w:szCs w:val="22"/>
        </w:rPr>
      </w:pPr>
      <w:r>
        <w:rPr>
          <w:rFonts w:ascii="Arial" w:eastAsiaTheme="minorHAnsi" w:hAnsi="Arial" w:cs="Arial"/>
          <w:sz w:val="22"/>
          <w:szCs w:val="22"/>
        </w:rPr>
        <w:t>The w</w:t>
      </w:r>
      <w:r w:rsidRPr="00A76CFA">
        <w:rPr>
          <w:rFonts w:ascii="Arial" w:eastAsiaTheme="minorHAnsi" w:hAnsi="Arial" w:cs="Arial"/>
          <w:sz w:val="22"/>
          <w:szCs w:val="22"/>
        </w:rPr>
        <w:t xml:space="preserve">ork carried out </w:t>
      </w:r>
      <w:r>
        <w:rPr>
          <w:rFonts w:ascii="Arial" w:eastAsiaTheme="minorHAnsi" w:hAnsi="Arial" w:cs="Arial"/>
          <w:sz w:val="22"/>
          <w:szCs w:val="22"/>
        </w:rPr>
        <w:t>during the field</w:t>
      </w:r>
      <w:r w:rsidRPr="00A76CFA">
        <w:rPr>
          <w:rFonts w:ascii="Arial" w:eastAsiaTheme="minorHAnsi" w:hAnsi="Arial" w:cs="Arial"/>
          <w:sz w:val="22"/>
          <w:szCs w:val="22"/>
        </w:rPr>
        <w:t xml:space="preserve"> phase </w:t>
      </w:r>
      <w:r>
        <w:rPr>
          <w:rFonts w:ascii="Arial" w:eastAsiaTheme="minorHAnsi" w:hAnsi="Arial" w:cs="Arial"/>
          <w:sz w:val="22"/>
          <w:szCs w:val="22"/>
        </w:rPr>
        <w:t>aimed</w:t>
      </w:r>
      <w:r w:rsidRPr="00A76CFA">
        <w:rPr>
          <w:rFonts w:ascii="Arial" w:eastAsiaTheme="minorHAnsi" w:hAnsi="Arial" w:cs="Arial"/>
          <w:sz w:val="22"/>
          <w:szCs w:val="22"/>
        </w:rPr>
        <w:t xml:space="preserve"> to gather a</w:t>
      </w:r>
      <w:r>
        <w:rPr>
          <w:rFonts w:ascii="Arial" w:eastAsiaTheme="minorHAnsi" w:hAnsi="Arial" w:cs="Arial"/>
          <w:sz w:val="22"/>
          <w:szCs w:val="22"/>
        </w:rPr>
        <w:t xml:space="preserve">dditional information that </w:t>
      </w:r>
      <w:r w:rsidRPr="00A76CFA">
        <w:rPr>
          <w:rFonts w:ascii="Arial" w:eastAsiaTheme="minorHAnsi" w:hAnsi="Arial" w:cs="Arial"/>
          <w:sz w:val="22"/>
          <w:szCs w:val="22"/>
        </w:rPr>
        <w:t>allow</w:t>
      </w:r>
      <w:r>
        <w:rPr>
          <w:rFonts w:ascii="Arial" w:eastAsiaTheme="minorHAnsi" w:hAnsi="Arial" w:cs="Arial"/>
          <w:sz w:val="22"/>
          <w:szCs w:val="22"/>
        </w:rPr>
        <w:t>ed</w:t>
      </w:r>
      <w:r w:rsidRPr="00A76CFA">
        <w:rPr>
          <w:rFonts w:ascii="Arial" w:eastAsiaTheme="minorHAnsi" w:hAnsi="Arial" w:cs="Arial"/>
          <w:sz w:val="22"/>
          <w:szCs w:val="22"/>
        </w:rPr>
        <w:t xml:space="preserve"> to: </w:t>
      </w:r>
      <w:proofErr w:type="spellStart"/>
      <w:r w:rsidRPr="00A76CFA">
        <w:rPr>
          <w:rFonts w:ascii="Arial" w:eastAsiaTheme="minorHAnsi" w:hAnsi="Arial" w:cs="Arial"/>
          <w:sz w:val="22"/>
          <w:szCs w:val="22"/>
        </w:rPr>
        <w:t>i</w:t>
      </w:r>
      <w:proofErr w:type="spellEnd"/>
      <w:r w:rsidRPr="00A76CFA">
        <w:rPr>
          <w:rFonts w:ascii="Arial" w:eastAsiaTheme="minorHAnsi" w:hAnsi="Arial" w:cs="Arial"/>
          <w:sz w:val="22"/>
          <w:szCs w:val="22"/>
        </w:rPr>
        <w:t>) confirm (or eventually disproof) preliminary findings; ii) validate (or otherwise) the hypotheses; and iii) fill remaining information gaps.</w:t>
      </w:r>
    </w:p>
    <w:p w:rsidR="0071776E" w:rsidRPr="009F2095" w:rsidRDefault="0071776E" w:rsidP="0071776E">
      <w:pPr>
        <w:spacing w:before="0" w:after="0"/>
        <w:rPr>
          <w:rFonts w:ascii="Arial" w:eastAsiaTheme="minorHAnsi" w:hAnsi="Arial" w:cs="Arial"/>
          <w:sz w:val="22"/>
          <w:szCs w:val="22"/>
        </w:rPr>
      </w:pPr>
    </w:p>
    <w:p w:rsidR="0071776E" w:rsidRPr="009F2095" w:rsidRDefault="0071776E" w:rsidP="0071776E">
      <w:pPr>
        <w:spacing w:before="0" w:after="0"/>
        <w:rPr>
          <w:rFonts w:ascii="Arial" w:eastAsiaTheme="minorHAnsi" w:hAnsi="Arial" w:cs="Arial"/>
          <w:sz w:val="22"/>
          <w:szCs w:val="22"/>
        </w:rPr>
      </w:pPr>
      <w:r w:rsidRPr="009F2095">
        <w:rPr>
          <w:rFonts w:ascii="Arial" w:eastAsiaTheme="minorHAnsi" w:hAnsi="Arial" w:cs="Arial"/>
          <w:sz w:val="22"/>
          <w:szCs w:val="22"/>
        </w:rPr>
        <w:t>With a view to ensure the comprehensive coverage of the evaluation questions and issues to be investigated, each team member focused on certain EQs / interventions as detailed in the table below.</w:t>
      </w:r>
    </w:p>
    <w:p w:rsidR="0071776E" w:rsidRDefault="0071776E" w:rsidP="0071776E">
      <w:pPr>
        <w:spacing w:before="0" w:after="0"/>
        <w:rPr>
          <w:szCs w:val="21"/>
        </w:rPr>
      </w:pPr>
    </w:p>
    <w:tbl>
      <w:tblPr>
        <w:tblW w:w="4931"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tblPr>
      <w:tblGrid>
        <w:gridCol w:w="3750"/>
        <w:gridCol w:w="995"/>
        <w:gridCol w:w="995"/>
        <w:gridCol w:w="995"/>
        <w:gridCol w:w="995"/>
        <w:gridCol w:w="995"/>
        <w:gridCol w:w="993"/>
      </w:tblGrid>
      <w:tr w:rsidR="0071776E" w:rsidRPr="00C23DAF" w:rsidTr="008F7EE1">
        <w:trPr>
          <w:trHeight w:val="336"/>
          <w:jc w:val="center"/>
        </w:trPr>
        <w:tc>
          <w:tcPr>
            <w:tcW w:w="1929" w:type="pct"/>
            <w:shd w:val="clear" w:color="auto" w:fill="808080" w:themeFill="background1" w:themeFillShade="80"/>
            <w:vAlign w:val="center"/>
            <w:hideMark/>
          </w:tcPr>
          <w:p w:rsidR="0071776E" w:rsidRPr="00C23DAF" w:rsidRDefault="0071776E" w:rsidP="0071776E">
            <w:pPr>
              <w:spacing w:before="0" w:after="0"/>
              <w:jc w:val="left"/>
              <w:rPr>
                <w:rFonts w:ascii="Arial" w:hAnsi="Arial" w:cs="Arial"/>
                <w:b/>
                <w:bCs/>
                <w:color w:val="FFFFFF" w:themeColor="background1"/>
                <w:sz w:val="16"/>
                <w:szCs w:val="16"/>
              </w:rPr>
            </w:pPr>
            <w:r w:rsidRPr="00C23DAF">
              <w:rPr>
                <w:rFonts w:ascii="Arial" w:hAnsi="Arial" w:cs="Arial"/>
                <w:b/>
                <w:bCs/>
                <w:color w:val="FFFFFF" w:themeColor="background1"/>
                <w:sz w:val="16"/>
                <w:szCs w:val="16"/>
              </w:rPr>
              <w:t>Question</w:t>
            </w:r>
          </w:p>
        </w:tc>
        <w:tc>
          <w:tcPr>
            <w:tcW w:w="512" w:type="pct"/>
            <w:shd w:val="clear" w:color="auto" w:fill="808080" w:themeFill="background1" w:themeFillShade="80"/>
            <w:vAlign w:val="center"/>
            <w:hideMark/>
          </w:tcPr>
          <w:p w:rsidR="0071776E" w:rsidRPr="00C23DAF" w:rsidRDefault="0071776E" w:rsidP="0071776E">
            <w:pPr>
              <w:spacing w:before="0" w:after="0"/>
              <w:jc w:val="center"/>
              <w:rPr>
                <w:rFonts w:ascii="Arial" w:hAnsi="Arial" w:cs="Arial"/>
                <w:b/>
                <w:color w:val="FFFFFF" w:themeColor="background1"/>
                <w:sz w:val="16"/>
                <w:szCs w:val="16"/>
              </w:rPr>
            </w:pPr>
            <w:r w:rsidRPr="00C23DAF">
              <w:rPr>
                <w:rFonts w:ascii="Arial" w:hAnsi="Arial" w:cs="Arial"/>
                <w:b/>
                <w:color w:val="FFFFFF" w:themeColor="background1"/>
                <w:sz w:val="16"/>
                <w:szCs w:val="16"/>
              </w:rPr>
              <w:t>Joe Saba</w:t>
            </w:r>
          </w:p>
        </w:tc>
        <w:tc>
          <w:tcPr>
            <w:tcW w:w="512" w:type="pct"/>
            <w:shd w:val="clear" w:color="auto" w:fill="808080" w:themeFill="background1" w:themeFillShade="80"/>
            <w:vAlign w:val="center"/>
            <w:hideMark/>
          </w:tcPr>
          <w:p w:rsidR="0071776E" w:rsidRPr="00C23DAF" w:rsidRDefault="0071776E" w:rsidP="0071776E">
            <w:pPr>
              <w:spacing w:before="0" w:after="0"/>
              <w:jc w:val="center"/>
              <w:rPr>
                <w:rFonts w:ascii="Arial" w:hAnsi="Arial" w:cs="Arial"/>
                <w:b/>
                <w:color w:val="FFFFFF" w:themeColor="background1"/>
                <w:sz w:val="16"/>
                <w:szCs w:val="16"/>
              </w:rPr>
            </w:pPr>
            <w:r w:rsidRPr="00C23DAF">
              <w:rPr>
                <w:rFonts w:ascii="Arial" w:hAnsi="Arial" w:cs="Arial"/>
                <w:b/>
                <w:color w:val="FFFFFF" w:themeColor="background1"/>
                <w:sz w:val="16"/>
                <w:szCs w:val="16"/>
              </w:rPr>
              <w:t>Nick Krafft</w:t>
            </w:r>
          </w:p>
        </w:tc>
        <w:tc>
          <w:tcPr>
            <w:tcW w:w="512" w:type="pct"/>
            <w:shd w:val="clear" w:color="auto" w:fill="808080" w:themeFill="background1" w:themeFillShade="80"/>
            <w:vAlign w:val="center"/>
            <w:hideMark/>
          </w:tcPr>
          <w:p w:rsidR="0071776E" w:rsidRPr="00C23DAF" w:rsidRDefault="0071776E" w:rsidP="0071776E">
            <w:pPr>
              <w:spacing w:before="0" w:after="0"/>
              <w:jc w:val="center"/>
              <w:rPr>
                <w:rFonts w:ascii="Arial" w:hAnsi="Arial" w:cs="Arial"/>
                <w:b/>
                <w:color w:val="FFFFFF" w:themeColor="background1"/>
                <w:sz w:val="16"/>
                <w:szCs w:val="16"/>
              </w:rPr>
            </w:pPr>
            <w:r w:rsidRPr="00C23DAF">
              <w:rPr>
                <w:rFonts w:ascii="Arial" w:hAnsi="Arial" w:cs="Arial"/>
                <w:b/>
                <w:color w:val="FFFFFF" w:themeColor="background1"/>
                <w:sz w:val="16"/>
                <w:szCs w:val="16"/>
              </w:rPr>
              <w:t>Paolo Scalia</w:t>
            </w:r>
          </w:p>
        </w:tc>
        <w:tc>
          <w:tcPr>
            <w:tcW w:w="512" w:type="pct"/>
            <w:shd w:val="clear" w:color="auto" w:fill="808080" w:themeFill="background1" w:themeFillShade="80"/>
            <w:vAlign w:val="center"/>
          </w:tcPr>
          <w:p w:rsidR="0071776E" w:rsidRPr="00C23DAF" w:rsidRDefault="0071776E" w:rsidP="0071776E">
            <w:pPr>
              <w:spacing w:before="0" w:after="0"/>
              <w:jc w:val="center"/>
              <w:rPr>
                <w:rFonts w:ascii="Arial" w:hAnsi="Arial" w:cs="Arial"/>
                <w:b/>
                <w:color w:val="FFFFFF" w:themeColor="background1"/>
                <w:sz w:val="16"/>
                <w:szCs w:val="16"/>
              </w:rPr>
            </w:pPr>
            <w:r w:rsidRPr="00C23DAF">
              <w:rPr>
                <w:rFonts w:ascii="Arial" w:hAnsi="Arial" w:cs="Arial"/>
                <w:b/>
                <w:color w:val="FFFFFF" w:themeColor="background1"/>
                <w:sz w:val="16"/>
                <w:szCs w:val="16"/>
              </w:rPr>
              <w:t>Jean-Claude Ceuppens</w:t>
            </w:r>
          </w:p>
        </w:tc>
        <w:tc>
          <w:tcPr>
            <w:tcW w:w="512" w:type="pct"/>
            <w:shd w:val="clear" w:color="auto" w:fill="808080" w:themeFill="background1" w:themeFillShade="80"/>
            <w:vAlign w:val="center"/>
          </w:tcPr>
          <w:p w:rsidR="0071776E" w:rsidRPr="00C23DAF" w:rsidRDefault="0071776E" w:rsidP="0071776E">
            <w:pPr>
              <w:spacing w:before="0" w:after="0"/>
              <w:jc w:val="center"/>
              <w:rPr>
                <w:rFonts w:ascii="Arial" w:hAnsi="Arial" w:cs="Arial"/>
                <w:b/>
                <w:color w:val="FFFFFF" w:themeColor="background1"/>
                <w:sz w:val="16"/>
                <w:szCs w:val="16"/>
              </w:rPr>
            </w:pPr>
            <w:r w:rsidRPr="00C23DAF">
              <w:rPr>
                <w:rFonts w:ascii="Arial" w:hAnsi="Arial" w:cs="Arial"/>
                <w:b/>
                <w:color w:val="FFFFFF" w:themeColor="background1"/>
                <w:sz w:val="16"/>
                <w:szCs w:val="16"/>
              </w:rPr>
              <w:t>Omar Shaban</w:t>
            </w:r>
          </w:p>
        </w:tc>
        <w:tc>
          <w:tcPr>
            <w:tcW w:w="511" w:type="pct"/>
            <w:shd w:val="clear" w:color="auto" w:fill="808080" w:themeFill="background1" w:themeFillShade="80"/>
            <w:vAlign w:val="center"/>
          </w:tcPr>
          <w:p w:rsidR="0071776E" w:rsidRPr="00C23DAF" w:rsidRDefault="0071776E" w:rsidP="0071776E">
            <w:pPr>
              <w:spacing w:before="0" w:after="0"/>
              <w:jc w:val="center"/>
              <w:rPr>
                <w:rFonts w:ascii="Arial" w:hAnsi="Arial" w:cs="Arial"/>
                <w:b/>
                <w:color w:val="FFFFFF" w:themeColor="background1"/>
                <w:sz w:val="16"/>
                <w:szCs w:val="16"/>
              </w:rPr>
            </w:pPr>
            <w:r w:rsidRPr="00C23DAF">
              <w:rPr>
                <w:rFonts w:ascii="Arial" w:hAnsi="Arial" w:cs="Arial"/>
                <w:b/>
                <w:color w:val="FFFFFF" w:themeColor="background1"/>
                <w:sz w:val="16"/>
                <w:szCs w:val="16"/>
              </w:rPr>
              <w:t>Jean Bossuyt</w:t>
            </w:r>
          </w:p>
        </w:tc>
      </w:tr>
      <w:tr w:rsidR="0071776E" w:rsidRPr="00C23DAF" w:rsidTr="008F7EE1">
        <w:trPr>
          <w:trHeight w:val="336"/>
          <w:jc w:val="center"/>
        </w:trPr>
        <w:tc>
          <w:tcPr>
            <w:tcW w:w="1929" w:type="pct"/>
            <w:shd w:val="clear" w:color="auto" w:fill="F2F2F2" w:themeFill="background1" w:themeFillShade="F2"/>
            <w:vAlign w:val="center"/>
            <w:hideMark/>
          </w:tcPr>
          <w:p w:rsidR="0071776E" w:rsidRPr="00C23DAF" w:rsidRDefault="0071776E" w:rsidP="0071776E">
            <w:pPr>
              <w:spacing w:before="0" w:after="0"/>
              <w:jc w:val="left"/>
              <w:rPr>
                <w:rFonts w:ascii="Arial" w:hAnsi="Arial" w:cs="Arial"/>
                <w:b/>
                <w:sz w:val="16"/>
                <w:szCs w:val="16"/>
              </w:rPr>
            </w:pPr>
            <w:r w:rsidRPr="00C23DAF">
              <w:rPr>
                <w:rFonts w:ascii="Arial" w:hAnsi="Arial" w:cs="Arial"/>
                <w:b/>
                <w:sz w:val="16"/>
                <w:szCs w:val="16"/>
              </w:rPr>
              <w:t>EQ1 Political Coherence in relations with Palestine</w:t>
            </w:r>
          </w:p>
        </w:tc>
        <w:tc>
          <w:tcPr>
            <w:tcW w:w="512" w:type="pct"/>
            <w:shd w:val="clear" w:color="auto" w:fill="auto"/>
            <w:vAlign w:val="center"/>
            <w:hideMark/>
          </w:tcPr>
          <w:p w:rsidR="0071776E" w:rsidRPr="00C23DAF" w:rsidRDefault="0071776E" w:rsidP="0071776E">
            <w:pPr>
              <w:spacing w:before="0" w:after="0"/>
              <w:jc w:val="center"/>
              <w:rPr>
                <w:rFonts w:ascii="Arial" w:hAnsi="Arial" w:cs="Arial"/>
                <w:b/>
                <w:sz w:val="16"/>
                <w:szCs w:val="16"/>
              </w:rPr>
            </w:pPr>
            <w:r w:rsidRPr="00C23DAF">
              <w:rPr>
                <w:rFonts w:ascii="Arial" w:hAnsi="Arial" w:cs="Arial"/>
                <w:b/>
                <w:sz w:val="16"/>
                <w:szCs w:val="16"/>
              </w:rPr>
              <w:t>x</w:t>
            </w:r>
          </w:p>
        </w:tc>
        <w:tc>
          <w:tcPr>
            <w:tcW w:w="512" w:type="pct"/>
            <w:shd w:val="clear" w:color="auto" w:fill="auto"/>
            <w:vAlign w:val="center"/>
            <w:hideMark/>
          </w:tcPr>
          <w:p w:rsidR="0071776E" w:rsidRPr="00C23DAF" w:rsidRDefault="0071776E" w:rsidP="0071776E">
            <w:pPr>
              <w:spacing w:before="0" w:after="0"/>
              <w:jc w:val="center"/>
              <w:rPr>
                <w:rFonts w:ascii="Arial" w:hAnsi="Arial" w:cs="Arial"/>
                <w:b/>
                <w:sz w:val="16"/>
                <w:szCs w:val="16"/>
              </w:rPr>
            </w:pPr>
          </w:p>
        </w:tc>
        <w:tc>
          <w:tcPr>
            <w:tcW w:w="512" w:type="pct"/>
            <w:shd w:val="clear" w:color="auto" w:fill="auto"/>
            <w:vAlign w:val="center"/>
            <w:hideMark/>
          </w:tcPr>
          <w:p w:rsidR="0071776E" w:rsidRPr="00C23DAF" w:rsidRDefault="0071776E" w:rsidP="0071776E">
            <w:pPr>
              <w:spacing w:before="0" w:after="0"/>
              <w:jc w:val="center"/>
              <w:rPr>
                <w:rFonts w:ascii="Arial" w:hAnsi="Arial" w:cs="Arial"/>
                <w:b/>
                <w:sz w:val="16"/>
                <w:szCs w:val="16"/>
              </w:rPr>
            </w:pPr>
          </w:p>
        </w:tc>
        <w:tc>
          <w:tcPr>
            <w:tcW w:w="512" w:type="pct"/>
            <w:vAlign w:val="center"/>
          </w:tcPr>
          <w:p w:rsidR="0071776E" w:rsidRPr="00C23DAF" w:rsidRDefault="0071776E" w:rsidP="0071776E">
            <w:pPr>
              <w:spacing w:before="0" w:after="0"/>
              <w:jc w:val="center"/>
              <w:rPr>
                <w:rFonts w:ascii="Arial" w:hAnsi="Arial" w:cs="Arial"/>
                <w:b/>
                <w:sz w:val="16"/>
                <w:szCs w:val="16"/>
              </w:rPr>
            </w:pPr>
          </w:p>
        </w:tc>
        <w:tc>
          <w:tcPr>
            <w:tcW w:w="512" w:type="pct"/>
            <w:vAlign w:val="center"/>
          </w:tcPr>
          <w:p w:rsidR="0071776E" w:rsidRPr="00C23DAF" w:rsidRDefault="0071776E" w:rsidP="0071776E">
            <w:pPr>
              <w:spacing w:before="0" w:after="0"/>
              <w:jc w:val="center"/>
              <w:rPr>
                <w:rFonts w:ascii="Arial" w:hAnsi="Arial" w:cs="Arial"/>
                <w:b/>
                <w:sz w:val="16"/>
                <w:szCs w:val="16"/>
              </w:rPr>
            </w:pPr>
          </w:p>
        </w:tc>
        <w:tc>
          <w:tcPr>
            <w:tcW w:w="511" w:type="pct"/>
          </w:tcPr>
          <w:p w:rsidR="0071776E" w:rsidRPr="00C23DAF" w:rsidRDefault="0071776E" w:rsidP="0071776E">
            <w:pPr>
              <w:spacing w:before="0" w:after="0"/>
              <w:jc w:val="center"/>
              <w:rPr>
                <w:rFonts w:ascii="Arial" w:hAnsi="Arial" w:cs="Arial"/>
                <w:b/>
                <w:sz w:val="16"/>
                <w:szCs w:val="16"/>
              </w:rPr>
            </w:pPr>
          </w:p>
        </w:tc>
      </w:tr>
      <w:tr w:rsidR="0071776E" w:rsidRPr="00C23DAF" w:rsidTr="008F7EE1">
        <w:trPr>
          <w:trHeight w:val="336"/>
          <w:jc w:val="center"/>
        </w:trPr>
        <w:tc>
          <w:tcPr>
            <w:tcW w:w="1929" w:type="pct"/>
            <w:shd w:val="clear" w:color="auto" w:fill="F2F2F2" w:themeFill="background1" w:themeFillShade="F2"/>
            <w:vAlign w:val="center"/>
            <w:hideMark/>
          </w:tcPr>
          <w:p w:rsidR="0071776E" w:rsidRPr="00C23DAF" w:rsidRDefault="0071776E" w:rsidP="0071776E">
            <w:pPr>
              <w:spacing w:before="0" w:after="0"/>
              <w:jc w:val="left"/>
              <w:rPr>
                <w:rFonts w:ascii="Arial" w:hAnsi="Arial" w:cs="Arial"/>
                <w:b/>
                <w:sz w:val="16"/>
                <w:szCs w:val="16"/>
              </w:rPr>
            </w:pPr>
            <w:r w:rsidRPr="00C23DAF">
              <w:rPr>
                <w:rFonts w:ascii="Arial" w:hAnsi="Arial" w:cs="Arial"/>
                <w:b/>
                <w:sz w:val="16"/>
                <w:szCs w:val="16"/>
              </w:rPr>
              <w:t xml:space="preserve">EQ2 Political Coherence </w:t>
            </w:r>
          </w:p>
          <w:p w:rsidR="0071776E" w:rsidRPr="00C23DAF" w:rsidRDefault="0071776E" w:rsidP="0071776E">
            <w:pPr>
              <w:spacing w:before="0" w:after="0"/>
              <w:jc w:val="left"/>
              <w:rPr>
                <w:rFonts w:ascii="Arial" w:hAnsi="Arial" w:cs="Arial"/>
                <w:sz w:val="16"/>
                <w:szCs w:val="16"/>
              </w:rPr>
            </w:pPr>
            <w:r w:rsidRPr="00C23DAF">
              <w:rPr>
                <w:rFonts w:ascii="Arial" w:hAnsi="Arial" w:cs="Arial"/>
                <w:b/>
                <w:sz w:val="16"/>
                <w:szCs w:val="16"/>
              </w:rPr>
              <w:t>of EU External Action with Key Players</w:t>
            </w:r>
          </w:p>
        </w:tc>
        <w:tc>
          <w:tcPr>
            <w:tcW w:w="512" w:type="pct"/>
            <w:shd w:val="clear" w:color="auto" w:fill="auto"/>
            <w:vAlign w:val="center"/>
            <w:hideMark/>
          </w:tcPr>
          <w:p w:rsidR="0071776E" w:rsidRPr="00C23DAF" w:rsidRDefault="0071776E" w:rsidP="0071776E">
            <w:pPr>
              <w:spacing w:before="0" w:after="0"/>
              <w:jc w:val="center"/>
              <w:rPr>
                <w:rFonts w:ascii="Arial" w:hAnsi="Arial" w:cs="Arial"/>
                <w:b/>
                <w:sz w:val="16"/>
                <w:szCs w:val="16"/>
              </w:rPr>
            </w:pPr>
            <w:r w:rsidRPr="00C23DAF">
              <w:rPr>
                <w:rFonts w:ascii="Arial" w:hAnsi="Arial" w:cs="Arial"/>
                <w:b/>
                <w:sz w:val="16"/>
                <w:szCs w:val="16"/>
              </w:rPr>
              <w:t>x</w:t>
            </w:r>
          </w:p>
        </w:tc>
        <w:tc>
          <w:tcPr>
            <w:tcW w:w="512" w:type="pct"/>
            <w:shd w:val="clear" w:color="auto" w:fill="auto"/>
            <w:vAlign w:val="center"/>
            <w:hideMark/>
          </w:tcPr>
          <w:p w:rsidR="0071776E" w:rsidRPr="00C23DAF" w:rsidRDefault="0071776E" w:rsidP="0071776E">
            <w:pPr>
              <w:spacing w:before="0" w:after="0"/>
              <w:jc w:val="center"/>
              <w:rPr>
                <w:rFonts w:ascii="Arial" w:hAnsi="Arial" w:cs="Arial"/>
                <w:b/>
                <w:sz w:val="16"/>
                <w:szCs w:val="16"/>
              </w:rPr>
            </w:pPr>
          </w:p>
        </w:tc>
        <w:tc>
          <w:tcPr>
            <w:tcW w:w="512" w:type="pct"/>
            <w:shd w:val="clear" w:color="auto" w:fill="auto"/>
            <w:vAlign w:val="center"/>
            <w:hideMark/>
          </w:tcPr>
          <w:p w:rsidR="0071776E" w:rsidRPr="00C23DAF" w:rsidRDefault="0071776E" w:rsidP="0071776E">
            <w:pPr>
              <w:spacing w:before="0" w:after="0"/>
              <w:jc w:val="center"/>
              <w:rPr>
                <w:rFonts w:ascii="Arial" w:hAnsi="Arial" w:cs="Arial"/>
                <w:b/>
                <w:sz w:val="16"/>
                <w:szCs w:val="16"/>
              </w:rPr>
            </w:pPr>
          </w:p>
        </w:tc>
        <w:tc>
          <w:tcPr>
            <w:tcW w:w="512" w:type="pct"/>
            <w:vAlign w:val="center"/>
          </w:tcPr>
          <w:p w:rsidR="0071776E" w:rsidRPr="00C23DAF" w:rsidRDefault="0071776E" w:rsidP="0071776E">
            <w:pPr>
              <w:spacing w:before="0" w:after="0"/>
              <w:jc w:val="center"/>
              <w:rPr>
                <w:rFonts w:ascii="Arial" w:hAnsi="Arial" w:cs="Arial"/>
                <w:b/>
                <w:sz w:val="16"/>
                <w:szCs w:val="16"/>
              </w:rPr>
            </w:pPr>
          </w:p>
        </w:tc>
        <w:tc>
          <w:tcPr>
            <w:tcW w:w="512" w:type="pct"/>
            <w:vAlign w:val="center"/>
          </w:tcPr>
          <w:p w:rsidR="0071776E" w:rsidRPr="00C23DAF" w:rsidRDefault="0071776E" w:rsidP="0071776E">
            <w:pPr>
              <w:spacing w:before="0" w:after="0"/>
              <w:jc w:val="center"/>
              <w:rPr>
                <w:rFonts w:ascii="Arial" w:hAnsi="Arial" w:cs="Arial"/>
                <w:b/>
                <w:sz w:val="16"/>
                <w:szCs w:val="16"/>
              </w:rPr>
            </w:pPr>
          </w:p>
        </w:tc>
        <w:tc>
          <w:tcPr>
            <w:tcW w:w="511" w:type="pct"/>
          </w:tcPr>
          <w:p w:rsidR="0071776E" w:rsidRPr="00C23DAF" w:rsidRDefault="0071776E" w:rsidP="0071776E">
            <w:pPr>
              <w:spacing w:before="0" w:after="0"/>
              <w:jc w:val="center"/>
              <w:rPr>
                <w:rFonts w:ascii="Arial" w:hAnsi="Arial" w:cs="Arial"/>
                <w:b/>
                <w:sz w:val="16"/>
                <w:szCs w:val="16"/>
              </w:rPr>
            </w:pPr>
          </w:p>
        </w:tc>
      </w:tr>
      <w:tr w:rsidR="0071776E" w:rsidRPr="00C23DAF" w:rsidTr="008F7EE1">
        <w:trPr>
          <w:trHeight w:val="336"/>
          <w:jc w:val="center"/>
        </w:trPr>
        <w:tc>
          <w:tcPr>
            <w:tcW w:w="1929" w:type="pct"/>
            <w:shd w:val="clear" w:color="auto" w:fill="F2F2F2" w:themeFill="background1" w:themeFillShade="F2"/>
            <w:vAlign w:val="center"/>
            <w:hideMark/>
          </w:tcPr>
          <w:p w:rsidR="0071776E" w:rsidRPr="00C23DAF" w:rsidRDefault="0071776E" w:rsidP="0071776E">
            <w:pPr>
              <w:spacing w:before="0" w:after="0"/>
              <w:jc w:val="left"/>
              <w:rPr>
                <w:rFonts w:ascii="Arial" w:hAnsi="Arial" w:cs="Arial"/>
                <w:sz w:val="16"/>
                <w:szCs w:val="16"/>
              </w:rPr>
            </w:pPr>
            <w:r w:rsidRPr="00C23DAF">
              <w:rPr>
                <w:rFonts w:ascii="Arial" w:hAnsi="Arial" w:cs="Arial"/>
                <w:b/>
                <w:sz w:val="16"/>
                <w:szCs w:val="16"/>
              </w:rPr>
              <w:t>EQ3 EC Processes, Resources and Capacities</w:t>
            </w:r>
          </w:p>
        </w:tc>
        <w:tc>
          <w:tcPr>
            <w:tcW w:w="512" w:type="pct"/>
            <w:shd w:val="clear" w:color="auto" w:fill="auto"/>
            <w:vAlign w:val="center"/>
            <w:hideMark/>
          </w:tcPr>
          <w:p w:rsidR="0071776E" w:rsidRPr="00C23DAF" w:rsidRDefault="0071776E" w:rsidP="0071776E">
            <w:pPr>
              <w:spacing w:before="0" w:after="0"/>
              <w:jc w:val="center"/>
              <w:rPr>
                <w:rFonts w:ascii="Arial" w:hAnsi="Arial" w:cs="Arial"/>
                <w:b/>
                <w:sz w:val="16"/>
                <w:szCs w:val="16"/>
              </w:rPr>
            </w:pPr>
          </w:p>
        </w:tc>
        <w:tc>
          <w:tcPr>
            <w:tcW w:w="512" w:type="pct"/>
            <w:shd w:val="clear" w:color="auto" w:fill="auto"/>
            <w:vAlign w:val="center"/>
            <w:hideMark/>
          </w:tcPr>
          <w:p w:rsidR="0071776E" w:rsidRPr="00C23DAF" w:rsidRDefault="0071776E" w:rsidP="0071776E">
            <w:pPr>
              <w:spacing w:before="0" w:after="0"/>
              <w:jc w:val="center"/>
              <w:rPr>
                <w:rFonts w:ascii="Arial" w:hAnsi="Arial" w:cs="Arial"/>
                <w:b/>
                <w:sz w:val="16"/>
                <w:szCs w:val="16"/>
              </w:rPr>
            </w:pPr>
          </w:p>
        </w:tc>
        <w:tc>
          <w:tcPr>
            <w:tcW w:w="512" w:type="pct"/>
            <w:shd w:val="clear" w:color="auto" w:fill="auto"/>
            <w:vAlign w:val="center"/>
            <w:hideMark/>
          </w:tcPr>
          <w:p w:rsidR="0071776E" w:rsidRPr="00C23DAF" w:rsidRDefault="0071776E" w:rsidP="0071776E">
            <w:pPr>
              <w:spacing w:before="0" w:after="0"/>
              <w:jc w:val="center"/>
              <w:rPr>
                <w:rFonts w:ascii="Arial" w:hAnsi="Arial" w:cs="Arial"/>
                <w:b/>
                <w:sz w:val="16"/>
                <w:szCs w:val="16"/>
              </w:rPr>
            </w:pPr>
            <w:r w:rsidRPr="00C23DAF">
              <w:rPr>
                <w:rFonts w:ascii="Arial" w:hAnsi="Arial" w:cs="Arial"/>
                <w:b/>
                <w:sz w:val="16"/>
                <w:szCs w:val="16"/>
              </w:rPr>
              <w:t>x</w:t>
            </w:r>
          </w:p>
        </w:tc>
        <w:tc>
          <w:tcPr>
            <w:tcW w:w="512" w:type="pct"/>
            <w:vAlign w:val="center"/>
          </w:tcPr>
          <w:p w:rsidR="0071776E" w:rsidRPr="00C23DAF" w:rsidRDefault="0071776E" w:rsidP="0071776E">
            <w:pPr>
              <w:spacing w:before="0" w:after="0"/>
              <w:jc w:val="center"/>
              <w:rPr>
                <w:rFonts w:ascii="Arial" w:hAnsi="Arial" w:cs="Arial"/>
                <w:b/>
                <w:sz w:val="16"/>
                <w:szCs w:val="16"/>
              </w:rPr>
            </w:pPr>
          </w:p>
        </w:tc>
        <w:tc>
          <w:tcPr>
            <w:tcW w:w="512" w:type="pct"/>
            <w:vAlign w:val="center"/>
          </w:tcPr>
          <w:p w:rsidR="0071776E" w:rsidRPr="00C23DAF" w:rsidRDefault="0071776E" w:rsidP="0071776E">
            <w:pPr>
              <w:spacing w:before="0" w:after="0"/>
              <w:jc w:val="center"/>
              <w:rPr>
                <w:rFonts w:ascii="Arial" w:hAnsi="Arial" w:cs="Arial"/>
                <w:b/>
                <w:sz w:val="16"/>
                <w:szCs w:val="16"/>
              </w:rPr>
            </w:pPr>
          </w:p>
        </w:tc>
        <w:tc>
          <w:tcPr>
            <w:tcW w:w="511" w:type="pct"/>
          </w:tcPr>
          <w:p w:rsidR="0071776E" w:rsidRPr="00C23DAF" w:rsidRDefault="0071776E" w:rsidP="0071776E">
            <w:pPr>
              <w:spacing w:before="0" w:after="0"/>
              <w:jc w:val="center"/>
              <w:rPr>
                <w:rFonts w:ascii="Arial" w:hAnsi="Arial" w:cs="Arial"/>
                <w:b/>
                <w:sz w:val="16"/>
                <w:szCs w:val="16"/>
              </w:rPr>
            </w:pPr>
          </w:p>
        </w:tc>
      </w:tr>
      <w:tr w:rsidR="0071776E" w:rsidRPr="00C23DAF" w:rsidTr="008F7EE1">
        <w:trPr>
          <w:trHeight w:val="336"/>
          <w:jc w:val="center"/>
        </w:trPr>
        <w:tc>
          <w:tcPr>
            <w:tcW w:w="1929" w:type="pct"/>
            <w:shd w:val="clear" w:color="auto" w:fill="F2F2F2" w:themeFill="background1" w:themeFillShade="F2"/>
            <w:vAlign w:val="center"/>
            <w:hideMark/>
          </w:tcPr>
          <w:p w:rsidR="0071776E" w:rsidRPr="00C23DAF" w:rsidRDefault="0071776E" w:rsidP="0071776E">
            <w:pPr>
              <w:spacing w:before="0" w:after="0"/>
              <w:jc w:val="left"/>
              <w:rPr>
                <w:rFonts w:ascii="Arial" w:hAnsi="Arial" w:cs="Arial"/>
                <w:b/>
                <w:sz w:val="16"/>
                <w:szCs w:val="16"/>
              </w:rPr>
            </w:pPr>
            <w:r w:rsidRPr="00C23DAF">
              <w:rPr>
                <w:rFonts w:ascii="Arial" w:hAnsi="Arial" w:cs="Arial"/>
                <w:b/>
                <w:sz w:val="16"/>
                <w:szCs w:val="16"/>
              </w:rPr>
              <w:t>EQ4 Cooperation Instruments</w:t>
            </w:r>
          </w:p>
        </w:tc>
        <w:tc>
          <w:tcPr>
            <w:tcW w:w="512" w:type="pct"/>
            <w:shd w:val="clear" w:color="auto" w:fill="auto"/>
            <w:vAlign w:val="center"/>
            <w:hideMark/>
          </w:tcPr>
          <w:p w:rsidR="0071776E" w:rsidRPr="00C23DAF" w:rsidRDefault="0071776E" w:rsidP="0071776E">
            <w:pPr>
              <w:spacing w:before="0" w:after="0"/>
              <w:jc w:val="center"/>
              <w:rPr>
                <w:rFonts w:ascii="Arial" w:hAnsi="Arial" w:cs="Arial"/>
                <w:b/>
                <w:sz w:val="16"/>
                <w:szCs w:val="16"/>
              </w:rPr>
            </w:pPr>
          </w:p>
        </w:tc>
        <w:tc>
          <w:tcPr>
            <w:tcW w:w="512" w:type="pct"/>
            <w:shd w:val="clear" w:color="auto" w:fill="auto"/>
            <w:vAlign w:val="center"/>
            <w:hideMark/>
          </w:tcPr>
          <w:p w:rsidR="0071776E" w:rsidRPr="00C23DAF" w:rsidRDefault="0071776E" w:rsidP="0071776E">
            <w:pPr>
              <w:spacing w:before="0" w:after="0"/>
              <w:jc w:val="center"/>
              <w:rPr>
                <w:rFonts w:ascii="Arial" w:hAnsi="Arial" w:cs="Arial"/>
                <w:b/>
                <w:sz w:val="16"/>
                <w:szCs w:val="16"/>
              </w:rPr>
            </w:pPr>
          </w:p>
        </w:tc>
        <w:tc>
          <w:tcPr>
            <w:tcW w:w="512" w:type="pct"/>
            <w:shd w:val="clear" w:color="auto" w:fill="auto"/>
            <w:vAlign w:val="center"/>
            <w:hideMark/>
          </w:tcPr>
          <w:p w:rsidR="0071776E" w:rsidRPr="00C23DAF" w:rsidRDefault="0071776E" w:rsidP="0071776E">
            <w:pPr>
              <w:spacing w:before="0" w:after="0"/>
              <w:jc w:val="center"/>
              <w:rPr>
                <w:rFonts w:ascii="Arial" w:hAnsi="Arial" w:cs="Arial"/>
                <w:b/>
                <w:sz w:val="16"/>
                <w:szCs w:val="16"/>
              </w:rPr>
            </w:pPr>
            <w:r w:rsidRPr="00C23DAF">
              <w:rPr>
                <w:rFonts w:ascii="Arial" w:hAnsi="Arial" w:cs="Arial"/>
                <w:b/>
                <w:sz w:val="16"/>
                <w:szCs w:val="16"/>
              </w:rPr>
              <w:t>x</w:t>
            </w:r>
          </w:p>
        </w:tc>
        <w:tc>
          <w:tcPr>
            <w:tcW w:w="512" w:type="pct"/>
            <w:vAlign w:val="center"/>
          </w:tcPr>
          <w:p w:rsidR="0071776E" w:rsidRPr="00C23DAF" w:rsidRDefault="0071776E" w:rsidP="0071776E">
            <w:pPr>
              <w:spacing w:before="0" w:after="0"/>
              <w:jc w:val="center"/>
              <w:rPr>
                <w:rFonts w:ascii="Arial" w:hAnsi="Arial" w:cs="Arial"/>
                <w:b/>
                <w:sz w:val="16"/>
                <w:szCs w:val="16"/>
              </w:rPr>
            </w:pPr>
          </w:p>
        </w:tc>
        <w:tc>
          <w:tcPr>
            <w:tcW w:w="512" w:type="pct"/>
            <w:vAlign w:val="center"/>
          </w:tcPr>
          <w:p w:rsidR="0071776E" w:rsidRPr="00C23DAF" w:rsidRDefault="0071776E" w:rsidP="0071776E">
            <w:pPr>
              <w:spacing w:before="0" w:after="0"/>
              <w:jc w:val="center"/>
              <w:rPr>
                <w:rFonts w:ascii="Arial" w:hAnsi="Arial" w:cs="Arial"/>
                <w:b/>
                <w:sz w:val="16"/>
                <w:szCs w:val="16"/>
              </w:rPr>
            </w:pPr>
          </w:p>
        </w:tc>
        <w:tc>
          <w:tcPr>
            <w:tcW w:w="511" w:type="pct"/>
          </w:tcPr>
          <w:p w:rsidR="0071776E" w:rsidRPr="00C23DAF" w:rsidRDefault="0071776E" w:rsidP="0071776E">
            <w:pPr>
              <w:spacing w:before="0" w:after="0"/>
              <w:jc w:val="center"/>
              <w:rPr>
                <w:rFonts w:ascii="Arial" w:hAnsi="Arial" w:cs="Arial"/>
                <w:b/>
                <w:sz w:val="16"/>
                <w:szCs w:val="16"/>
              </w:rPr>
            </w:pPr>
          </w:p>
        </w:tc>
      </w:tr>
      <w:tr w:rsidR="0071776E" w:rsidRPr="00C23DAF" w:rsidTr="008F7EE1">
        <w:trPr>
          <w:trHeight w:val="336"/>
          <w:jc w:val="center"/>
        </w:trPr>
        <w:tc>
          <w:tcPr>
            <w:tcW w:w="1929" w:type="pct"/>
            <w:shd w:val="clear" w:color="auto" w:fill="F2F2F2" w:themeFill="background1" w:themeFillShade="F2"/>
            <w:vAlign w:val="center"/>
            <w:hideMark/>
          </w:tcPr>
          <w:p w:rsidR="0071776E" w:rsidRPr="00C23DAF" w:rsidRDefault="0071776E" w:rsidP="0071776E">
            <w:pPr>
              <w:spacing w:before="0" w:after="0"/>
              <w:jc w:val="left"/>
              <w:rPr>
                <w:rFonts w:ascii="Arial" w:hAnsi="Arial" w:cs="Arial"/>
                <w:b/>
                <w:sz w:val="16"/>
                <w:szCs w:val="16"/>
              </w:rPr>
            </w:pPr>
            <w:r w:rsidRPr="00C23DAF">
              <w:rPr>
                <w:rFonts w:ascii="Arial" w:hAnsi="Arial" w:cs="Arial"/>
                <w:b/>
                <w:sz w:val="16"/>
                <w:szCs w:val="16"/>
              </w:rPr>
              <w:t>EQ5 Strategic Alliances</w:t>
            </w:r>
          </w:p>
        </w:tc>
        <w:tc>
          <w:tcPr>
            <w:tcW w:w="512" w:type="pct"/>
            <w:shd w:val="clear" w:color="auto" w:fill="auto"/>
            <w:vAlign w:val="center"/>
            <w:hideMark/>
          </w:tcPr>
          <w:p w:rsidR="0071776E" w:rsidRPr="00C23DAF" w:rsidRDefault="0071776E" w:rsidP="0071776E">
            <w:pPr>
              <w:spacing w:before="0" w:after="0"/>
              <w:jc w:val="center"/>
              <w:rPr>
                <w:rFonts w:ascii="Arial" w:hAnsi="Arial" w:cs="Arial"/>
                <w:b/>
                <w:sz w:val="16"/>
                <w:szCs w:val="16"/>
              </w:rPr>
            </w:pPr>
          </w:p>
        </w:tc>
        <w:tc>
          <w:tcPr>
            <w:tcW w:w="512" w:type="pct"/>
            <w:shd w:val="clear" w:color="auto" w:fill="auto"/>
            <w:vAlign w:val="center"/>
            <w:hideMark/>
          </w:tcPr>
          <w:p w:rsidR="0071776E" w:rsidRPr="00C23DAF" w:rsidRDefault="0071776E" w:rsidP="0071776E">
            <w:pPr>
              <w:spacing w:before="0" w:after="0"/>
              <w:jc w:val="center"/>
              <w:rPr>
                <w:rFonts w:ascii="Arial" w:hAnsi="Arial" w:cs="Arial"/>
                <w:b/>
                <w:sz w:val="16"/>
                <w:szCs w:val="16"/>
              </w:rPr>
            </w:pPr>
          </w:p>
        </w:tc>
        <w:tc>
          <w:tcPr>
            <w:tcW w:w="512" w:type="pct"/>
            <w:shd w:val="clear" w:color="auto" w:fill="auto"/>
            <w:vAlign w:val="center"/>
            <w:hideMark/>
          </w:tcPr>
          <w:p w:rsidR="0071776E" w:rsidRPr="00C23DAF" w:rsidRDefault="0071776E" w:rsidP="0071776E">
            <w:pPr>
              <w:spacing w:before="0" w:after="0"/>
              <w:jc w:val="center"/>
              <w:rPr>
                <w:rFonts w:ascii="Arial" w:hAnsi="Arial" w:cs="Arial"/>
                <w:b/>
                <w:sz w:val="16"/>
                <w:szCs w:val="16"/>
              </w:rPr>
            </w:pPr>
            <w:r w:rsidRPr="00C23DAF">
              <w:rPr>
                <w:rFonts w:ascii="Arial" w:hAnsi="Arial" w:cs="Arial"/>
                <w:b/>
                <w:sz w:val="16"/>
                <w:szCs w:val="16"/>
              </w:rPr>
              <w:t>x</w:t>
            </w:r>
          </w:p>
        </w:tc>
        <w:tc>
          <w:tcPr>
            <w:tcW w:w="512" w:type="pct"/>
            <w:vAlign w:val="center"/>
          </w:tcPr>
          <w:p w:rsidR="0071776E" w:rsidRPr="00C23DAF" w:rsidRDefault="0071776E" w:rsidP="0071776E">
            <w:pPr>
              <w:spacing w:before="0" w:after="0"/>
              <w:jc w:val="center"/>
              <w:rPr>
                <w:rFonts w:ascii="Arial" w:hAnsi="Arial" w:cs="Arial"/>
                <w:b/>
                <w:sz w:val="16"/>
                <w:szCs w:val="16"/>
              </w:rPr>
            </w:pPr>
          </w:p>
        </w:tc>
        <w:tc>
          <w:tcPr>
            <w:tcW w:w="512" w:type="pct"/>
            <w:vAlign w:val="center"/>
          </w:tcPr>
          <w:p w:rsidR="0071776E" w:rsidRPr="00C23DAF" w:rsidRDefault="0071776E" w:rsidP="0071776E">
            <w:pPr>
              <w:spacing w:before="0" w:after="0"/>
              <w:jc w:val="center"/>
              <w:rPr>
                <w:rFonts w:ascii="Arial" w:hAnsi="Arial" w:cs="Arial"/>
                <w:b/>
                <w:sz w:val="16"/>
                <w:szCs w:val="16"/>
              </w:rPr>
            </w:pPr>
            <w:r w:rsidRPr="00C23DAF">
              <w:rPr>
                <w:rFonts w:ascii="Arial" w:hAnsi="Arial" w:cs="Arial"/>
                <w:b/>
                <w:sz w:val="16"/>
                <w:szCs w:val="16"/>
              </w:rPr>
              <w:t>x</w:t>
            </w:r>
          </w:p>
        </w:tc>
        <w:tc>
          <w:tcPr>
            <w:tcW w:w="511" w:type="pct"/>
            <w:vAlign w:val="center"/>
          </w:tcPr>
          <w:p w:rsidR="0071776E" w:rsidRPr="00C23DAF" w:rsidRDefault="0071776E" w:rsidP="0071776E">
            <w:pPr>
              <w:spacing w:before="0" w:after="0"/>
              <w:jc w:val="center"/>
              <w:rPr>
                <w:rFonts w:ascii="Arial" w:hAnsi="Arial" w:cs="Arial"/>
                <w:b/>
                <w:sz w:val="16"/>
                <w:szCs w:val="16"/>
              </w:rPr>
            </w:pPr>
            <w:r w:rsidRPr="00C23DAF">
              <w:rPr>
                <w:rFonts w:ascii="Arial" w:hAnsi="Arial" w:cs="Arial"/>
                <w:b/>
                <w:sz w:val="16"/>
                <w:szCs w:val="16"/>
              </w:rPr>
              <w:t>x</w:t>
            </w:r>
          </w:p>
        </w:tc>
      </w:tr>
      <w:tr w:rsidR="0071776E" w:rsidRPr="00C23DAF" w:rsidTr="008F7EE1">
        <w:trPr>
          <w:trHeight w:val="336"/>
          <w:jc w:val="center"/>
        </w:trPr>
        <w:tc>
          <w:tcPr>
            <w:tcW w:w="1929" w:type="pct"/>
            <w:shd w:val="clear" w:color="auto" w:fill="F2F2F2" w:themeFill="background1" w:themeFillShade="F2"/>
            <w:vAlign w:val="center"/>
            <w:hideMark/>
          </w:tcPr>
          <w:p w:rsidR="0071776E" w:rsidRPr="00C23DAF" w:rsidRDefault="0071776E" w:rsidP="0071776E">
            <w:pPr>
              <w:spacing w:before="0" w:after="0"/>
              <w:jc w:val="left"/>
              <w:rPr>
                <w:rFonts w:ascii="Arial" w:hAnsi="Arial" w:cs="Arial"/>
                <w:sz w:val="16"/>
                <w:szCs w:val="16"/>
              </w:rPr>
            </w:pPr>
            <w:r w:rsidRPr="00C23DAF">
              <w:rPr>
                <w:rFonts w:ascii="Arial" w:hAnsi="Arial" w:cs="Arial"/>
                <w:b/>
                <w:sz w:val="16"/>
                <w:szCs w:val="16"/>
              </w:rPr>
              <w:t>EQ6 Governance: democratic and accountable Palestinian Institutions</w:t>
            </w:r>
            <w:r w:rsidRPr="00C23DAF">
              <w:rPr>
                <w:rFonts w:ascii="Arial" w:hAnsi="Arial" w:cs="Arial"/>
                <w:sz w:val="16"/>
                <w:szCs w:val="16"/>
              </w:rPr>
              <w:t xml:space="preserve"> </w:t>
            </w:r>
          </w:p>
        </w:tc>
        <w:tc>
          <w:tcPr>
            <w:tcW w:w="512" w:type="pct"/>
            <w:shd w:val="clear" w:color="auto" w:fill="auto"/>
            <w:vAlign w:val="center"/>
            <w:hideMark/>
          </w:tcPr>
          <w:p w:rsidR="0071776E" w:rsidRPr="00C23DAF" w:rsidRDefault="0071776E" w:rsidP="0071776E">
            <w:pPr>
              <w:spacing w:before="0" w:after="0"/>
              <w:jc w:val="center"/>
              <w:rPr>
                <w:rFonts w:ascii="Arial" w:hAnsi="Arial" w:cs="Arial"/>
                <w:b/>
                <w:sz w:val="16"/>
                <w:szCs w:val="16"/>
              </w:rPr>
            </w:pPr>
          </w:p>
        </w:tc>
        <w:tc>
          <w:tcPr>
            <w:tcW w:w="512" w:type="pct"/>
            <w:shd w:val="clear" w:color="auto" w:fill="auto"/>
            <w:vAlign w:val="center"/>
            <w:hideMark/>
          </w:tcPr>
          <w:p w:rsidR="0071776E" w:rsidRPr="00C23DAF" w:rsidRDefault="0071776E" w:rsidP="0071776E">
            <w:pPr>
              <w:spacing w:before="0" w:after="0"/>
              <w:jc w:val="center"/>
              <w:rPr>
                <w:rFonts w:ascii="Arial" w:hAnsi="Arial" w:cs="Arial"/>
                <w:b/>
                <w:sz w:val="16"/>
                <w:szCs w:val="16"/>
              </w:rPr>
            </w:pPr>
          </w:p>
        </w:tc>
        <w:tc>
          <w:tcPr>
            <w:tcW w:w="512" w:type="pct"/>
            <w:shd w:val="clear" w:color="auto" w:fill="auto"/>
            <w:vAlign w:val="center"/>
            <w:hideMark/>
          </w:tcPr>
          <w:p w:rsidR="0071776E" w:rsidRPr="00C23DAF" w:rsidRDefault="0071776E" w:rsidP="0071776E">
            <w:pPr>
              <w:spacing w:before="0" w:after="0"/>
              <w:jc w:val="center"/>
              <w:rPr>
                <w:rFonts w:ascii="Arial" w:hAnsi="Arial" w:cs="Arial"/>
                <w:b/>
                <w:sz w:val="16"/>
                <w:szCs w:val="16"/>
              </w:rPr>
            </w:pPr>
            <w:r w:rsidRPr="00C23DAF">
              <w:rPr>
                <w:rFonts w:ascii="Arial" w:hAnsi="Arial" w:cs="Arial"/>
                <w:b/>
                <w:sz w:val="16"/>
                <w:szCs w:val="16"/>
              </w:rPr>
              <w:t>x</w:t>
            </w:r>
          </w:p>
        </w:tc>
        <w:tc>
          <w:tcPr>
            <w:tcW w:w="512" w:type="pct"/>
            <w:vAlign w:val="center"/>
          </w:tcPr>
          <w:p w:rsidR="0071776E" w:rsidRPr="00C23DAF" w:rsidRDefault="0071776E" w:rsidP="0071776E">
            <w:pPr>
              <w:spacing w:before="0" w:after="0"/>
              <w:jc w:val="center"/>
              <w:rPr>
                <w:rFonts w:ascii="Arial" w:hAnsi="Arial" w:cs="Arial"/>
                <w:b/>
                <w:sz w:val="16"/>
                <w:szCs w:val="16"/>
              </w:rPr>
            </w:pPr>
          </w:p>
        </w:tc>
        <w:tc>
          <w:tcPr>
            <w:tcW w:w="512" w:type="pct"/>
            <w:vAlign w:val="center"/>
          </w:tcPr>
          <w:p w:rsidR="0071776E" w:rsidRPr="00C23DAF" w:rsidRDefault="0071776E" w:rsidP="0071776E">
            <w:pPr>
              <w:spacing w:before="0" w:after="0"/>
              <w:jc w:val="center"/>
              <w:rPr>
                <w:rFonts w:ascii="Arial" w:hAnsi="Arial" w:cs="Arial"/>
                <w:b/>
                <w:sz w:val="16"/>
                <w:szCs w:val="16"/>
              </w:rPr>
            </w:pPr>
          </w:p>
        </w:tc>
        <w:tc>
          <w:tcPr>
            <w:tcW w:w="511" w:type="pct"/>
          </w:tcPr>
          <w:p w:rsidR="0071776E" w:rsidRPr="00C23DAF" w:rsidRDefault="0071776E" w:rsidP="0071776E">
            <w:pPr>
              <w:spacing w:before="0" w:after="0"/>
              <w:jc w:val="center"/>
              <w:rPr>
                <w:rFonts w:ascii="Arial" w:hAnsi="Arial" w:cs="Arial"/>
                <w:b/>
                <w:sz w:val="16"/>
                <w:szCs w:val="16"/>
              </w:rPr>
            </w:pPr>
          </w:p>
        </w:tc>
      </w:tr>
      <w:tr w:rsidR="0071776E" w:rsidRPr="00C23DAF" w:rsidTr="008F7EE1">
        <w:trPr>
          <w:trHeight w:val="336"/>
          <w:jc w:val="center"/>
        </w:trPr>
        <w:tc>
          <w:tcPr>
            <w:tcW w:w="1929" w:type="pct"/>
            <w:shd w:val="clear" w:color="auto" w:fill="F2F2F2" w:themeFill="background1" w:themeFillShade="F2"/>
            <w:vAlign w:val="center"/>
            <w:hideMark/>
          </w:tcPr>
          <w:p w:rsidR="0071776E" w:rsidRPr="00C23DAF" w:rsidRDefault="0071776E" w:rsidP="0071776E">
            <w:pPr>
              <w:spacing w:before="0" w:after="0"/>
              <w:jc w:val="left"/>
              <w:rPr>
                <w:rFonts w:ascii="Arial" w:hAnsi="Arial" w:cs="Arial"/>
                <w:sz w:val="16"/>
                <w:szCs w:val="16"/>
              </w:rPr>
            </w:pPr>
            <w:r w:rsidRPr="00C23DAF">
              <w:rPr>
                <w:rFonts w:ascii="Arial" w:hAnsi="Arial" w:cs="Arial"/>
                <w:b/>
                <w:sz w:val="16"/>
                <w:szCs w:val="16"/>
              </w:rPr>
              <w:t xml:space="preserve">EQ7 Social Sector </w:t>
            </w:r>
          </w:p>
        </w:tc>
        <w:tc>
          <w:tcPr>
            <w:tcW w:w="512" w:type="pct"/>
            <w:shd w:val="clear" w:color="auto" w:fill="auto"/>
            <w:vAlign w:val="center"/>
            <w:hideMark/>
          </w:tcPr>
          <w:p w:rsidR="0071776E" w:rsidRPr="00C23DAF" w:rsidRDefault="0071776E" w:rsidP="0071776E">
            <w:pPr>
              <w:spacing w:before="0" w:after="0"/>
              <w:jc w:val="center"/>
              <w:rPr>
                <w:rFonts w:ascii="Arial" w:hAnsi="Arial" w:cs="Arial"/>
                <w:b/>
                <w:sz w:val="16"/>
                <w:szCs w:val="16"/>
              </w:rPr>
            </w:pPr>
          </w:p>
        </w:tc>
        <w:tc>
          <w:tcPr>
            <w:tcW w:w="512" w:type="pct"/>
            <w:shd w:val="clear" w:color="auto" w:fill="auto"/>
            <w:vAlign w:val="center"/>
            <w:hideMark/>
          </w:tcPr>
          <w:p w:rsidR="0071776E" w:rsidRPr="00C23DAF" w:rsidRDefault="0071776E" w:rsidP="0071776E">
            <w:pPr>
              <w:spacing w:before="0" w:after="0"/>
              <w:jc w:val="center"/>
              <w:rPr>
                <w:rFonts w:ascii="Arial" w:hAnsi="Arial" w:cs="Arial"/>
                <w:b/>
                <w:sz w:val="16"/>
                <w:szCs w:val="16"/>
              </w:rPr>
            </w:pPr>
            <w:r w:rsidRPr="00C23DAF">
              <w:rPr>
                <w:rFonts w:ascii="Arial" w:hAnsi="Arial" w:cs="Arial"/>
                <w:b/>
                <w:sz w:val="16"/>
                <w:szCs w:val="16"/>
              </w:rPr>
              <w:t>x</w:t>
            </w:r>
          </w:p>
        </w:tc>
        <w:tc>
          <w:tcPr>
            <w:tcW w:w="512" w:type="pct"/>
            <w:shd w:val="clear" w:color="auto" w:fill="auto"/>
            <w:vAlign w:val="center"/>
            <w:hideMark/>
          </w:tcPr>
          <w:p w:rsidR="0071776E" w:rsidRPr="00C23DAF" w:rsidRDefault="0071776E" w:rsidP="0071776E">
            <w:pPr>
              <w:spacing w:before="0" w:after="0"/>
              <w:jc w:val="center"/>
              <w:rPr>
                <w:rFonts w:ascii="Arial" w:hAnsi="Arial" w:cs="Arial"/>
                <w:b/>
                <w:sz w:val="16"/>
                <w:szCs w:val="16"/>
              </w:rPr>
            </w:pPr>
          </w:p>
        </w:tc>
        <w:tc>
          <w:tcPr>
            <w:tcW w:w="512" w:type="pct"/>
            <w:vAlign w:val="center"/>
          </w:tcPr>
          <w:p w:rsidR="0071776E" w:rsidRPr="00C23DAF" w:rsidRDefault="0071776E" w:rsidP="0071776E">
            <w:pPr>
              <w:spacing w:before="0" w:after="0"/>
              <w:jc w:val="center"/>
              <w:rPr>
                <w:rFonts w:ascii="Arial" w:hAnsi="Arial" w:cs="Arial"/>
                <w:b/>
                <w:sz w:val="16"/>
                <w:szCs w:val="16"/>
              </w:rPr>
            </w:pPr>
          </w:p>
        </w:tc>
        <w:tc>
          <w:tcPr>
            <w:tcW w:w="512" w:type="pct"/>
            <w:vAlign w:val="center"/>
          </w:tcPr>
          <w:p w:rsidR="0071776E" w:rsidRPr="00C23DAF" w:rsidRDefault="0071776E" w:rsidP="0071776E">
            <w:pPr>
              <w:spacing w:before="0" w:after="0"/>
              <w:jc w:val="center"/>
              <w:rPr>
                <w:rFonts w:ascii="Arial" w:hAnsi="Arial" w:cs="Arial"/>
                <w:b/>
                <w:sz w:val="16"/>
                <w:szCs w:val="16"/>
              </w:rPr>
            </w:pPr>
          </w:p>
        </w:tc>
        <w:tc>
          <w:tcPr>
            <w:tcW w:w="511" w:type="pct"/>
          </w:tcPr>
          <w:p w:rsidR="0071776E" w:rsidRPr="00C23DAF" w:rsidRDefault="0071776E" w:rsidP="0071776E">
            <w:pPr>
              <w:spacing w:before="0" w:after="0"/>
              <w:jc w:val="center"/>
              <w:rPr>
                <w:rFonts w:ascii="Arial" w:hAnsi="Arial" w:cs="Arial"/>
                <w:b/>
                <w:sz w:val="16"/>
                <w:szCs w:val="16"/>
              </w:rPr>
            </w:pPr>
          </w:p>
        </w:tc>
      </w:tr>
      <w:tr w:rsidR="0071776E" w:rsidRPr="00C23DAF" w:rsidTr="008F7EE1">
        <w:trPr>
          <w:trHeight w:val="336"/>
          <w:jc w:val="center"/>
        </w:trPr>
        <w:tc>
          <w:tcPr>
            <w:tcW w:w="1929" w:type="pct"/>
            <w:shd w:val="clear" w:color="auto" w:fill="F2F2F2" w:themeFill="background1" w:themeFillShade="F2"/>
            <w:vAlign w:val="center"/>
            <w:hideMark/>
          </w:tcPr>
          <w:p w:rsidR="0071776E" w:rsidRPr="00C23DAF" w:rsidRDefault="0071776E" w:rsidP="0071776E">
            <w:pPr>
              <w:spacing w:before="0" w:after="0"/>
              <w:jc w:val="left"/>
              <w:rPr>
                <w:rFonts w:ascii="Arial" w:hAnsi="Arial" w:cs="Arial"/>
                <w:b/>
                <w:sz w:val="16"/>
                <w:szCs w:val="16"/>
              </w:rPr>
            </w:pPr>
            <w:r w:rsidRPr="00C23DAF">
              <w:rPr>
                <w:rFonts w:ascii="Arial" w:hAnsi="Arial" w:cs="Arial"/>
                <w:b/>
                <w:sz w:val="16"/>
                <w:szCs w:val="16"/>
              </w:rPr>
              <w:t>EQ8 Private Sector and Trade</w:t>
            </w:r>
          </w:p>
        </w:tc>
        <w:tc>
          <w:tcPr>
            <w:tcW w:w="512" w:type="pct"/>
            <w:shd w:val="clear" w:color="auto" w:fill="auto"/>
            <w:vAlign w:val="center"/>
            <w:hideMark/>
          </w:tcPr>
          <w:p w:rsidR="0071776E" w:rsidRPr="00C23DAF" w:rsidRDefault="0071776E" w:rsidP="0071776E">
            <w:pPr>
              <w:spacing w:before="0" w:after="0"/>
              <w:jc w:val="center"/>
              <w:rPr>
                <w:rFonts w:ascii="Arial" w:hAnsi="Arial" w:cs="Arial"/>
                <w:b/>
                <w:sz w:val="16"/>
                <w:szCs w:val="16"/>
              </w:rPr>
            </w:pPr>
            <w:r w:rsidRPr="00C23DAF">
              <w:rPr>
                <w:rFonts w:ascii="Arial" w:hAnsi="Arial" w:cs="Arial"/>
                <w:b/>
                <w:sz w:val="16"/>
                <w:szCs w:val="16"/>
              </w:rPr>
              <w:t>x</w:t>
            </w:r>
          </w:p>
        </w:tc>
        <w:tc>
          <w:tcPr>
            <w:tcW w:w="512" w:type="pct"/>
            <w:shd w:val="clear" w:color="auto" w:fill="auto"/>
            <w:vAlign w:val="center"/>
            <w:hideMark/>
          </w:tcPr>
          <w:p w:rsidR="0071776E" w:rsidRPr="00C23DAF" w:rsidRDefault="0071776E" w:rsidP="0071776E">
            <w:pPr>
              <w:spacing w:before="0" w:after="0"/>
              <w:jc w:val="center"/>
              <w:rPr>
                <w:rFonts w:ascii="Arial" w:hAnsi="Arial" w:cs="Arial"/>
                <w:b/>
                <w:sz w:val="16"/>
                <w:szCs w:val="16"/>
              </w:rPr>
            </w:pPr>
          </w:p>
        </w:tc>
        <w:tc>
          <w:tcPr>
            <w:tcW w:w="512" w:type="pct"/>
            <w:shd w:val="clear" w:color="auto" w:fill="auto"/>
            <w:vAlign w:val="center"/>
            <w:hideMark/>
          </w:tcPr>
          <w:p w:rsidR="0071776E" w:rsidRPr="00C23DAF" w:rsidRDefault="0071776E" w:rsidP="0071776E">
            <w:pPr>
              <w:spacing w:before="0" w:after="0"/>
              <w:jc w:val="center"/>
              <w:rPr>
                <w:rFonts w:ascii="Arial" w:hAnsi="Arial" w:cs="Arial"/>
                <w:b/>
                <w:sz w:val="16"/>
                <w:szCs w:val="16"/>
              </w:rPr>
            </w:pPr>
          </w:p>
        </w:tc>
        <w:tc>
          <w:tcPr>
            <w:tcW w:w="512" w:type="pct"/>
            <w:vAlign w:val="center"/>
          </w:tcPr>
          <w:p w:rsidR="0071776E" w:rsidRPr="00C23DAF" w:rsidRDefault="0071776E" w:rsidP="0071776E">
            <w:pPr>
              <w:spacing w:before="0" w:after="0"/>
              <w:jc w:val="center"/>
              <w:rPr>
                <w:rFonts w:ascii="Arial" w:hAnsi="Arial" w:cs="Arial"/>
                <w:b/>
                <w:sz w:val="16"/>
                <w:szCs w:val="16"/>
              </w:rPr>
            </w:pPr>
          </w:p>
        </w:tc>
        <w:tc>
          <w:tcPr>
            <w:tcW w:w="512" w:type="pct"/>
            <w:vAlign w:val="center"/>
          </w:tcPr>
          <w:p w:rsidR="0071776E" w:rsidRPr="00C23DAF" w:rsidRDefault="0071776E" w:rsidP="0071776E">
            <w:pPr>
              <w:spacing w:before="0" w:after="0"/>
              <w:jc w:val="center"/>
              <w:rPr>
                <w:rFonts w:ascii="Arial" w:hAnsi="Arial" w:cs="Arial"/>
                <w:b/>
                <w:sz w:val="16"/>
                <w:szCs w:val="16"/>
              </w:rPr>
            </w:pPr>
          </w:p>
        </w:tc>
        <w:tc>
          <w:tcPr>
            <w:tcW w:w="511" w:type="pct"/>
          </w:tcPr>
          <w:p w:rsidR="0071776E" w:rsidRPr="00C23DAF" w:rsidRDefault="0071776E" w:rsidP="0071776E">
            <w:pPr>
              <w:spacing w:before="0" w:after="0"/>
              <w:jc w:val="center"/>
              <w:rPr>
                <w:rFonts w:ascii="Arial" w:hAnsi="Arial" w:cs="Arial"/>
                <w:b/>
                <w:sz w:val="16"/>
                <w:szCs w:val="16"/>
              </w:rPr>
            </w:pPr>
          </w:p>
        </w:tc>
      </w:tr>
      <w:tr w:rsidR="0071776E" w:rsidRPr="00C23DAF" w:rsidTr="008F7EE1">
        <w:trPr>
          <w:trHeight w:val="336"/>
          <w:jc w:val="center"/>
        </w:trPr>
        <w:tc>
          <w:tcPr>
            <w:tcW w:w="1929" w:type="pct"/>
            <w:shd w:val="clear" w:color="auto" w:fill="F2F2F2" w:themeFill="background1" w:themeFillShade="F2"/>
            <w:vAlign w:val="center"/>
            <w:hideMark/>
          </w:tcPr>
          <w:p w:rsidR="0071776E" w:rsidRPr="00C23DAF" w:rsidRDefault="0071776E" w:rsidP="0071776E">
            <w:pPr>
              <w:spacing w:before="0" w:after="0"/>
              <w:jc w:val="left"/>
              <w:rPr>
                <w:rFonts w:ascii="Arial" w:hAnsi="Arial" w:cs="Arial"/>
                <w:b/>
                <w:sz w:val="16"/>
                <w:szCs w:val="16"/>
              </w:rPr>
            </w:pPr>
            <w:r w:rsidRPr="00C23DAF">
              <w:rPr>
                <w:rFonts w:ascii="Arial" w:hAnsi="Arial" w:cs="Arial"/>
                <w:b/>
                <w:sz w:val="16"/>
                <w:szCs w:val="16"/>
              </w:rPr>
              <w:t xml:space="preserve">EQ9 Water and Sanitation </w:t>
            </w:r>
          </w:p>
        </w:tc>
        <w:tc>
          <w:tcPr>
            <w:tcW w:w="512" w:type="pct"/>
            <w:shd w:val="clear" w:color="auto" w:fill="auto"/>
            <w:vAlign w:val="center"/>
            <w:hideMark/>
          </w:tcPr>
          <w:p w:rsidR="0071776E" w:rsidRPr="00C23DAF" w:rsidRDefault="0071776E" w:rsidP="0071776E">
            <w:pPr>
              <w:spacing w:before="0" w:after="0"/>
              <w:jc w:val="center"/>
              <w:rPr>
                <w:rFonts w:ascii="Arial" w:hAnsi="Arial" w:cs="Arial"/>
                <w:b/>
                <w:sz w:val="16"/>
                <w:szCs w:val="16"/>
              </w:rPr>
            </w:pPr>
          </w:p>
        </w:tc>
        <w:tc>
          <w:tcPr>
            <w:tcW w:w="512" w:type="pct"/>
            <w:shd w:val="clear" w:color="auto" w:fill="auto"/>
            <w:vAlign w:val="center"/>
            <w:hideMark/>
          </w:tcPr>
          <w:p w:rsidR="0071776E" w:rsidRPr="00C23DAF" w:rsidRDefault="0071776E" w:rsidP="0071776E">
            <w:pPr>
              <w:spacing w:before="0" w:after="0"/>
              <w:jc w:val="center"/>
              <w:rPr>
                <w:rFonts w:ascii="Arial" w:hAnsi="Arial" w:cs="Arial"/>
                <w:b/>
                <w:sz w:val="16"/>
                <w:szCs w:val="16"/>
              </w:rPr>
            </w:pPr>
          </w:p>
        </w:tc>
        <w:tc>
          <w:tcPr>
            <w:tcW w:w="512" w:type="pct"/>
            <w:shd w:val="clear" w:color="auto" w:fill="auto"/>
            <w:vAlign w:val="center"/>
            <w:hideMark/>
          </w:tcPr>
          <w:p w:rsidR="0071776E" w:rsidRPr="00C23DAF" w:rsidRDefault="0071776E" w:rsidP="0071776E">
            <w:pPr>
              <w:spacing w:before="0" w:after="0"/>
              <w:jc w:val="center"/>
              <w:rPr>
                <w:rFonts w:ascii="Arial" w:hAnsi="Arial" w:cs="Arial"/>
                <w:b/>
                <w:sz w:val="16"/>
                <w:szCs w:val="16"/>
              </w:rPr>
            </w:pPr>
          </w:p>
        </w:tc>
        <w:tc>
          <w:tcPr>
            <w:tcW w:w="512" w:type="pct"/>
            <w:vAlign w:val="center"/>
          </w:tcPr>
          <w:p w:rsidR="0071776E" w:rsidRPr="00C23DAF" w:rsidRDefault="0071776E" w:rsidP="0071776E">
            <w:pPr>
              <w:spacing w:before="0" w:after="0"/>
              <w:jc w:val="center"/>
              <w:rPr>
                <w:rFonts w:ascii="Arial" w:hAnsi="Arial" w:cs="Arial"/>
                <w:b/>
                <w:sz w:val="16"/>
                <w:szCs w:val="16"/>
              </w:rPr>
            </w:pPr>
            <w:r w:rsidRPr="00C23DAF">
              <w:rPr>
                <w:rFonts w:ascii="Arial" w:hAnsi="Arial" w:cs="Arial"/>
                <w:b/>
                <w:sz w:val="16"/>
                <w:szCs w:val="16"/>
              </w:rPr>
              <w:t>x</w:t>
            </w:r>
          </w:p>
        </w:tc>
        <w:tc>
          <w:tcPr>
            <w:tcW w:w="512" w:type="pct"/>
            <w:vAlign w:val="center"/>
          </w:tcPr>
          <w:p w:rsidR="0071776E" w:rsidRPr="00C23DAF" w:rsidRDefault="0071776E" w:rsidP="0071776E">
            <w:pPr>
              <w:spacing w:before="0" w:after="0"/>
              <w:jc w:val="center"/>
              <w:rPr>
                <w:rFonts w:ascii="Arial" w:hAnsi="Arial" w:cs="Arial"/>
                <w:b/>
                <w:sz w:val="16"/>
                <w:szCs w:val="16"/>
              </w:rPr>
            </w:pPr>
          </w:p>
        </w:tc>
        <w:tc>
          <w:tcPr>
            <w:tcW w:w="511" w:type="pct"/>
          </w:tcPr>
          <w:p w:rsidR="0071776E" w:rsidRPr="00C23DAF" w:rsidRDefault="0071776E" w:rsidP="0071776E">
            <w:pPr>
              <w:spacing w:before="0" w:after="0"/>
              <w:jc w:val="center"/>
              <w:rPr>
                <w:rFonts w:ascii="Arial" w:hAnsi="Arial" w:cs="Arial"/>
                <w:b/>
                <w:sz w:val="16"/>
                <w:szCs w:val="16"/>
              </w:rPr>
            </w:pPr>
          </w:p>
        </w:tc>
      </w:tr>
    </w:tbl>
    <w:p w:rsidR="0071776E" w:rsidRDefault="0071776E" w:rsidP="0071776E">
      <w:pPr>
        <w:spacing w:before="0" w:after="0"/>
        <w:rPr>
          <w:rFonts w:ascii="Arial" w:hAnsi="Arial" w:cs="Arial"/>
          <w:b/>
          <w:caps/>
          <w:color w:val="1F497D" w:themeColor="text2"/>
          <w:sz w:val="22"/>
          <w:szCs w:val="22"/>
          <w:u w:val="single"/>
        </w:rPr>
      </w:pPr>
    </w:p>
    <w:p w:rsidR="00FF46E1" w:rsidRDefault="00FF46E1" w:rsidP="0071776E">
      <w:pPr>
        <w:spacing w:before="0" w:after="0"/>
        <w:rPr>
          <w:rFonts w:ascii="Arial" w:hAnsi="Arial" w:cs="Arial"/>
          <w:b/>
          <w:caps/>
          <w:color w:val="1F497D" w:themeColor="text2"/>
          <w:sz w:val="22"/>
          <w:szCs w:val="22"/>
          <w:u w:val="single"/>
        </w:rPr>
      </w:pPr>
    </w:p>
    <w:p w:rsidR="00FF46E1" w:rsidRDefault="00FF46E1" w:rsidP="0071776E">
      <w:pPr>
        <w:spacing w:before="0" w:after="0"/>
        <w:rPr>
          <w:rFonts w:ascii="Arial" w:hAnsi="Arial" w:cs="Arial"/>
          <w:b/>
          <w:caps/>
          <w:color w:val="1F497D" w:themeColor="text2"/>
          <w:sz w:val="22"/>
          <w:szCs w:val="22"/>
          <w:u w:val="single"/>
        </w:rPr>
      </w:pPr>
    </w:p>
    <w:p w:rsidR="00FF46E1" w:rsidRDefault="00FF46E1" w:rsidP="0071776E">
      <w:pPr>
        <w:spacing w:before="0" w:after="0"/>
        <w:rPr>
          <w:rFonts w:ascii="Arial" w:hAnsi="Arial" w:cs="Arial"/>
          <w:b/>
          <w:caps/>
          <w:color w:val="1F497D" w:themeColor="text2"/>
          <w:sz w:val="22"/>
          <w:szCs w:val="22"/>
          <w:u w:val="single"/>
        </w:rPr>
      </w:pPr>
    </w:p>
    <w:p w:rsidR="00FF46E1" w:rsidRDefault="00FF46E1" w:rsidP="0071776E">
      <w:pPr>
        <w:spacing w:before="0" w:after="0"/>
        <w:rPr>
          <w:rFonts w:ascii="Arial" w:hAnsi="Arial" w:cs="Arial"/>
          <w:b/>
          <w:caps/>
          <w:color w:val="1F497D" w:themeColor="text2"/>
          <w:sz w:val="22"/>
          <w:szCs w:val="22"/>
          <w:u w:val="single"/>
        </w:rPr>
      </w:pPr>
    </w:p>
    <w:p w:rsidR="00FF46E1" w:rsidRDefault="00FF46E1" w:rsidP="0071776E">
      <w:pPr>
        <w:spacing w:before="0" w:after="0"/>
        <w:rPr>
          <w:rFonts w:ascii="Arial" w:hAnsi="Arial" w:cs="Arial"/>
          <w:b/>
          <w:caps/>
          <w:color w:val="1F497D" w:themeColor="text2"/>
          <w:sz w:val="22"/>
          <w:szCs w:val="22"/>
          <w:u w:val="single"/>
        </w:rPr>
      </w:pPr>
    </w:p>
    <w:p w:rsidR="00FF46E1" w:rsidRDefault="00FF46E1" w:rsidP="0071776E">
      <w:pPr>
        <w:spacing w:before="0" w:after="0"/>
        <w:rPr>
          <w:rFonts w:ascii="Arial" w:hAnsi="Arial" w:cs="Arial"/>
          <w:b/>
          <w:caps/>
          <w:color w:val="1F497D" w:themeColor="text2"/>
          <w:sz w:val="22"/>
          <w:szCs w:val="22"/>
          <w:u w:val="single"/>
        </w:rPr>
      </w:pPr>
    </w:p>
    <w:p w:rsidR="00FF46E1" w:rsidRDefault="00FF46E1" w:rsidP="0071776E">
      <w:pPr>
        <w:spacing w:before="0" w:after="0"/>
        <w:rPr>
          <w:rFonts w:ascii="Arial" w:hAnsi="Arial" w:cs="Arial"/>
          <w:b/>
          <w:caps/>
          <w:color w:val="1F497D" w:themeColor="text2"/>
          <w:sz w:val="22"/>
          <w:szCs w:val="22"/>
          <w:u w:val="single"/>
        </w:rPr>
      </w:pPr>
    </w:p>
    <w:p w:rsidR="00FF46E1" w:rsidRDefault="00FF46E1" w:rsidP="0071776E">
      <w:pPr>
        <w:spacing w:before="0" w:after="0"/>
        <w:rPr>
          <w:rFonts w:ascii="Arial" w:hAnsi="Arial" w:cs="Arial"/>
          <w:b/>
          <w:caps/>
          <w:color w:val="1F497D" w:themeColor="text2"/>
          <w:sz w:val="22"/>
          <w:szCs w:val="22"/>
          <w:u w:val="single"/>
        </w:rPr>
      </w:pPr>
    </w:p>
    <w:p w:rsidR="0071776E" w:rsidRPr="001F4B8F" w:rsidRDefault="0071776E" w:rsidP="0071776E">
      <w:pPr>
        <w:spacing w:before="0" w:after="0"/>
        <w:rPr>
          <w:rFonts w:ascii="Arial" w:hAnsi="Arial" w:cs="Arial"/>
          <w:sz w:val="22"/>
          <w:szCs w:val="22"/>
        </w:rPr>
      </w:pPr>
      <w:r w:rsidRPr="001F4B8F">
        <w:rPr>
          <w:rFonts w:ascii="Arial" w:hAnsi="Arial" w:cs="Arial"/>
          <w:sz w:val="22"/>
          <w:szCs w:val="22"/>
        </w:rPr>
        <w:lastRenderedPageBreak/>
        <w:t xml:space="preserve">The table below describes the </w:t>
      </w:r>
      <w:r w:rsidRPr="001F4B8F">
        <w:rPr>
          <w:rFonts w:ascii="Arial" w:hAnsi="Arial" w:cs="Arial"/>
          <w:b/>
          <w:sz w:val="22"/>
          <w:szCs w:val="22"/>
        </w:rPr>
        <w:t>five</w:t>
      </w:r>
      <w:r w:rsidRPr="001F4B8F">
        <w:rPr>
          <w:rFonts w:ascii="Arial" w:hAnsi="Arial" w:cs="Arial"/>
          <w:sz w:val="22"/>
          <w:szCs w:val="22"/>
        </w:rPr>
        <w:t xml:space="preserve"> </w:t>
      </w:r>
      <w:r w:rsidRPr="001F4B8F">
        <w:rPr>
          <w:rFonts w:ascii="Arial" w:hAnsi="Arial" w:cs="Arial"/>
          <w:b/>
          <w:sz w:val="22"/>
          <w:szCs w:val="22"/>
        </w:rPr>
        <w:t>key steps of the field phase</w:t>
      </w:r>
      <w:r w:rsidRPr="001F4B8F">
        <w:rPr>
          <w:rFonts w:ascii="Arial" w:hAnsi="Arial" w:cs="Arial"/>
          <w:sz w:val="22"/>
          <w:szCs w:val="22"/>
        </w:rPr>
        <w:t>:</w:t>
      </w:r>
    </w:p>
    <w:tbl>
      <w:tblPr>
        <w:tblW w:w="49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98"/>
        <w:gridCol w:w="7138"/>
      </w:tblGrid>
      <w:tr w:rsidR="0071776E" w:rsidRPr="001F4B8F" w:rsidTr="00792401">
        <w:trPr>
          <w:trHeight w:val="134"/>
          <w:jc w:val="center"/>
        </w:trPr>
        <w:tc>
          <w:tcPr>
            <w:tcW w:w="1334" w:type="pct"/>
            <w:shd w:val="clear" w:color="auto" w:fill="808080" w:themeFill="background1" w:themeFillShade="80"/>
            <w:tcMar>
              <w:top w:w="57" w:type="dxa"/>
              <w:left w:w="57" w:type="dxa"/>
              <w:bottom w:w="57" w:type="dxa"/>
              <w:right w:w="57" w:type="dxa"/>
            </w:tcMar>
            <w:vAlign w:val="center"/>
          </w:tcPr>
          <w:p w:rsidR="0071776E" w:rsidRPr="001F4B8F" w:rsidRDefault="0071776E" w:rsidP="0071776E">
            <w:pPr>
              <w:spacing w:before="0" w:after="0"/>
              <w:rPr>
                <w:rFonts w:ascii="Arial" w:hAnsi="Arial" w:cs="Arial"/>
              </w:rPr>
            </w:pPr>
          </w:p>
        </w:tc>
        <w:tc>
          <w:tcPr>
            <w:tcW w:w="3666" w:type="pct"/>
            <w:shd w:val="clear" w:color="auto" w:fill="808080" w:themeFill="background1" w:themeFillShade="80"/>
            <w:tcMar>
              <w:top w:w="57" w:type="dxa"/>
              <w:left w:w="57" w:type="dxa"/>
              <w:bottom w:w="57" w:type="dxa"/>
              <w:right w:w="57" w:type="dxa"/>
            </w:tcMar>
            <w:vAlign w:val="center"/>
          </w:tcPr>
          <w:p w:rsidR="0071776E" w:rsidRPr="001F4B8F" w:rsidRDefault="0071776E" w:rsidP="0071776E">
            <w:pPr>
              <w:pStyle w:val="Tabletitlecell"/>
              <w:spacing w:before="0" w:after="0"/>
              <w:rPr>
                <w:i w:val="0"/>
                <w:color w:val="FFFFFF"/>
                <w:szCs w:val="20"/>
                <w:lang w:val="en-US"/>
              </w:rPr>
            </w:pPr>
            <w:r w:rsidRPr="001F4B8F">
              <w:rPr>
                <w:i w:val="0"/>
                <w:color w:val="FFFFFF"/>
                <w:szCs w:val="20"/>
                <w:lang w:val="en-US"/>
              </w:rPr>
              <w:t>Key Activities</w:t>
            </w:r>
          </w:p>
        </w:tc>
      </w:tr>
      <w:tr w:rsidR="0071776E" w:rsidRPr="001F4B8F" w:rsidTr="00792401">
        <w:trPr>
          <w:trHeight w:val="2139"/>
          <w:jc w:val="center"/>
        </w:trPr>
        <w:tc>
          <w:tcPr>
            <w:tcW w:w="1334" w:type="pct"/>
            <w:shd w:val="clear" w:color="auto" w:fill="F2F2F2" w:themeFill="background1" w:themeFillShade="F2"/>
            <w:tcMar>
              <w:top w:w="57" w:type="dxa"/>
              <w:left w:w="57" w:type="dxa"/>
              <w:bottom w:w="57" w:type="dxa"/>
              <w:right w:w="57" w:type="dxa"/>
            </w:tcMar>
            <w:vAlign w:val="center"/>
          </w:tcPr>
          <w:p w:rsidR="0071776E" w:rsidRPr="001F4B8F" w:rsidRDefault="0071776E" w:rsidP="0071776E">
            <w:pPr>
              <w:pStyle w:val="Tabletitlecell"/>
              <w:keepNext w:val="0"/>
              <w:keepLines w:val="0"/>
              <w:spacing w:before="0" w:after="0"/>
              <w:rPr>
                <w:i w:val="0"/>
                <w:szCs w:val="20"/>
                <w:lang w:val="en-US"/>
              </w:rPr>
            </w:pPr>
            <w:r w:rsidRPr="001F4B8F">
              <w:rPr>
                <w:i w:val="0"/>
                <w:szCs w:val="20"/>
                <w:lang w:val="en-US"/>
              </w:rPr>
              <w:t>Preparatory Work</w:t>
            </w:r>
          </w:p>
        </w:tc>
        <w:tc>
          <w:tcPr>
            <w:tcW w:w="3666" w:type="pct"/>
            <w:shd w:val="clear" w:color="auto" w:fill="FFFFFF" w:themeFill="background1"/>
            <w:tcMar>
              <w:top w:w="57" w:type="dxa"/>
              <w:left w:w="57" w:type="dxa"/>
              <w:bottom w:w="57" w:type="dxa"/>
              <w:right w:w="57" w:type="dxa"/>
            </w:tcMar>
          </w:tcPr>
          <w:p w:rsidR="0071776E" w:rsidRPr="001F4B8F" w:rsidRDefault="0071776E" w:rsidP="0071776E">
            <w:pPr>
              <w:pStyle w:val="Paragrafoelenco"/>
              <w:numPr>
                <w:ilvl w:val="0"/>
                <w:numId w:val="110"/>
              </w:numPr>
              <w:spacing w:before="0" w:after="0"/>
              <w:ind w:left="316" w:hanging="283"/>
              <w:rPr>
                <w:rFonts w:ascii="Arial" w:hAnsi="Arial" w:cs="Arial"/>
                <w:sz w:val="20"/>
                <w:lang w:eastAsia="pl-PL"/>
              </w:rPr>
            </w:pPr>
            <w:proofErr w:type="spellStart"/>
            <w:r w:rsidRPr="001F4B8F">
              <w:rPr>
                <w:rFonts w:ascii="Arial" w:hAnsi="Arial" w:cs="Arial"/>
                <w:sz w:val="20"/>
                <w:lang w:eastAsia="pl-PL"/>
              </w:rPr>
              <w:t>Finalisation</w:t>
            </w:r>
            <w:proofErr w:type="spellEnd"/>
            <w:r w:rsidRPr="001F4B8F">
              <w:rPr>
                <w:rFonts w:ascii="Arial" w:hAnsi="Arial" w:cs="Arial"/>
                <w:sz w:val="20"/>
                <w:lang w:eastAsia="pl-PL"/>
              </w:rPr>
              <w:t xml:space="preserve"> of the list of sources of information (incl. list of key informants, key databases, etc.) that will help fill the information gaps identified during the desk phase.</w:t>
            </w:r>
          </w:p>
          <w:p w:rsidR="0071776E" w:rsidRPr="001F4B8F" w:rsidRDefault="0071776E" w:rsidP="0071776E">
            <w:pPr>
              <w:pStyle w:val="Paragrafoelenco"/>
              <w:numPr>
                <w:ilvl w:val="0"/>
                <w:numId w:val="110"/>
              </w:numPr>
              <w:spacing w:before="0" w:after="0"/>
              <w:ind w:left="316" w:hanging="283"/>
              <w:rPr>
                <w:rFonts w:ascii="Arial" w:hAnsi="Arial" w:cs="Arial"/>
                <w:sz w:val="20"/>
                <w:lang w:eastAsia="pl-PL"/>
              </w:rPr>
            </w:pPr>
            <w:r w:rsidRPr="001F4B8F">
              <w:rPr>
                <w:rFonts w:ascii="Arial" w:hAnsi="Arial" w:cs="Arial"/>
                <w:sz w:val="20"/>
                <w:lang w:eastAsia="pl-PL"/>
              </w:rPr>
              <w:t xml:space="preserve">Each team member prepares a final </w:t>
            </w:r>
            <w:proofErr w:type="spellStart"/>
            <w:r w:rsidRPr="001F4B8F">
              <w:rPr>
                <w:rFonts w:ascii="Arial" w:hAnsi="Arial" w:cs="Arial"/>
                <w:sz w:val="20"/>
                <w:lang w:eastAsia="pl-PL"/>
              </w:rPr>
              <w:t>programme</w:t>
            </w:r>
            <w:proofErr w:type="spellEnd"/>
            <w:r w:rsidRPr="001F4B8F">
              <w:rPr>
                <w:rFonts w:ascii="Arial" w:hAnsi="Arial" w:cs="Arial"/>
                <w:sz w:val="20"/>
                <w:lang w:eastAsia="pl-PL"/>
              </w:rPr>
              <w:t xml:space="preserve"> for the mission.</w:t>
            </w:r>
          </w:p>
          <w:p w:rsidR="0071776E" w:rsidRPr="001F4B8F" w:rsidRDefault="0071776E" w:rsidP="0071776E">
            <w:pPr>
              <w:pStyle w:val="Paragrafoelenco"/>
              <w:numPr>
                <w:ilvl w:val="0"/>
                <w:numId w:val="110"/>
              </w:numPr>
              <w:spacing w:before="0" w:after="0"/>
              <w:ind w:left="316" w:hanging="283"/>
              <w:rPr>
                <w:rFonts w:ascii="Arial" w:hAnsi="Arial" w:cs="Arial"/>
                <w:sz w:val="20"/>
                <w:lang w:eastAsia="pl-PL"/>
              </w:rPr>
            </w:pPr>
            <w:r w:rsidRPr="001F4B8F">
              <w:rPr>
                <w:rFonts w:ascii="Arial" w:hAnsi="Arial" w:cs="Arial"/>
                <w:sz w:val="20"/>
                <w:lang w:eastAsia="pl-PL"/>
              </w:rPr>
              <w:t xml:space="preserve">Key staff of the Delegations are contacted to provide feedback on the draft list of interviews; </w:t>
            </w:r>
          </w:p>
          <w:p w:rsidR="0071776E" w:rsidRPr="001F4B8F" w:rsidRDefault="0071776E" w:rsidP="0071776E">
            <w:pPr>
              <w:pStyle w:val="Paragrafoelenco"/>
              <w:numPr>
                <w:ilvl w:val="0"/>
                <w:numId w:val="110"/>
              </w:numPr>
              <w:spacing w:before="0" w:after="0"/>
              <w:ind w:left="316" w:hanging="283"/>
              <w:rPr>
                <w:rFonts w:ascii="Arial" w:hAnsi="Arial" w:cs="Arial"/>
                <w:sz w:val="20"/>
                <w:lang w:eastAsia="pl-PL"/>
              </w:rPr>
            </w:pPr>
            <w:r w:rsidRPr="001F4B8F">
              <w:rPr>
                <w:rFonts w:ascii="Arial" w:hAnsi="Arial" w:cs="Arial"/>
                <w:sz w:val="20"/>
                <w:lang w:eastAsia="pl-PL"/>
              </w:rPr>
              <w:t xml:space="preserve">Preparation of interviews </w:t>
            </w:r>
          </w:p>
          <w:p w:rsidR="0071776E" w:rsidRPr="001F4B8F" w:rsidRDefault="0071776E" w:rsidP="0071776E">
            <w:pPr>
              <w:pStyle w:val="Paragrafoelenco"/>
              <w:numPr>
                <w:ilvl w:val="0"/>
                <w:numId w:val="110"/>
              </w:numPr>
              <w:spacing w:before="0" w:after="0"/>
              <w:ind w:left="316" w:hanging="283"/>
              <w:rPr>
                <w:rFonts w:ascii="Arial" w:hAnsi="Arial" w:cs="Arial"/>
                <w:sz w:val="20"/>
                <w:lang w:eastAsia="pl-PL"/>
              </w:rPr>
            </w:pPr>
            <w:r w:rsidRPr="001F4B8F">
              <w:rPr>
                <w:rFonts w:ascii="Arial" w:hAnsi="Arial" w:cs="Arial"/>
                <w:sz w:val="20"/>
                <w:lang w:eastAsia="pl-PL"/>
              </w:rPr>
              <w:t>Key informants (in first place PA officers) are contacted.</w:t>
            </w:r>
          </w:p>
          <w:p w:rsidR="0071776E" w:rsidRPr="001F4B8F" w:rsidRDefault="0071776E" w:rsidP="0071776E">
            <w:pPr>
              <w:pStyle w:val="Paragrafoelenco"/>
              <w:numPr>
                <w:ilvl w:val="0"/>
                <w:numId w:val="110"/>
              </w:numPr>
              <w:spacing w:before="0" w:after="0"/>
              <w:ind w:left="316" w:hanging="283"/>
              <w:rPr>
                <w:rFonts w:ascii="Arial" w:hAnsi="Arial" w:cs="Arial"/>
                <w:sz w:val="20"/>
                <w:lang w:eastAsia="pl-PL"/>
              </w:rPr>
            </w:pPr>
            <w:r w:rsidRPr="001F4B8F">
              <w:rPr>
                <w:rFonts w:ascii="Arial" w:hAnsi="Arial" w:cs="Arial"/>
                <w:sz w:val="20"/>
                <w:lang w:eastAsia="pl-PL"/>
              </w:rPr>
              <w:t xml:space="preserve">Preparation of logistical aspects of field work </w:t>
            </w:r>
          </w:p>
          <w:p w:rsidR="0071776E" w:rsidRPr="001F4B8F" w:rsidRDefault="0071776E" w:rsidP="0071776E">
            <w:pPr>
              <w:pStyle w:val="Paragrafoelenco"/>
              <w:numPr>
                <w:ilvl w:val="0"/>
                <w:numId w:val="110"/>
              </w:numPr>
              <w:spacing w:before="0" w:after="0"/>
              <w:ind w:left="316" w:hanging="283"/>
              <w:rPr>
                <w:rFonts w:ascii="Arial" w:hAnsi="Arial" w:cs="Arial"/>
                <w:sz w:val="20"/>
                <w:lang w:eastAsia="pl-PL"/>
              </w:rPr>
            </w:pPr>
            <w:r w:rsidRPr="001F4B8F">
              <w:rPr>
                <w:rFonts w:ascii="Arial" w:hAnsi="Arial" w:cs="Arial"/>
                <w:sz w:val="20"/>
                <w:lang w:eastAsia="pl-PL"/>
              </w:rPr>
              <w:t>Preparatory meeting (evaluation team)</w:t>
            </w:r>
          </w:p>
        </w:tc>
      </w:tr>
      <w:tr w:rsidR="0071776E" w:rsidRPr="001F4B8F" w:rsidTr="00792401">
        <w:trPr>
          <w:trHeight w:val="210"/>
          <w:jc w:val="center"/>
        </w:trPr>
        <w:tc>
          <w:tcPr>
            <w:tcW w:w="1334" w:type="pct"/>
            <w:shd w:val="clear" w:color="auto" w:fill="F2F2F2" w:themeFill="background1" w:themeFillShade="F2"/>
            <w:tcMar>
              <w:top w:w="57" w:type="dxa"/>
              <w:left w:w="57" w:type="dxa"/>
              <w:bottom w:w="57" w:type="dxa"/>
              <w:right w:w="57" w:type="dxa"/>
            </w:tcMar>
            <w:vAlign w:val="center"/>
          </w:tcPr>
          <w:p w:rsidR="0071776E" w:rsidRPr="001F4B8F" w:rsidRDefault="0071776E" w:rsidP="0071776E">
            <w:pPr>
              <w:pStyle w:val="Tabletitlecell"/>
              <w:keepNext w:val="0"/>
              <w:keepLines w:val="0"/>
              <w:spacing w:before="0" w:after="0"/>
              <w:rPr>
                <w:i w:val="0"/>
                <w:szCs w:val="20"/>
                <w:lang w:val="en-US"/>
              </w:rPr>
            </w:pPr>
            <w:r w:rsidRPr="001F4B8F">
              <w:rPr>
                <w:i w:val="0"/>
                <w:szCs w:val="20"/>
                <w:lang w:val="en-US"/>
              </w:rPr>
              <w:t>Briefing with EU Delegation in Palestine</w:t>
            </w:r>
          </w:p>
        </w:tc>
        <w:tc>
          <w:tcPr>
            <w:tcW w:w="3666" w:type="pct"/>
            <w:shd w:val="clear" w:color="auto" w:fill="FFFFFF" w:themeFill="background1"/>
            <w:tcMar>
              <w:top w:w="57" w:type="dxa"/>
              <w:left w:w="57" w:type="dxa"/>
              <w:bottom w:w="57" w:type="dxa"/>
              <w:right w:w="57" w:type="dxa"/>
            </w:tcMar>
          </w:tcPr>
          <w:p w:rsidR="0071776E" w:rsidRPr="001F4B8F" w:rsidRDefault="0071776E" w:rsidP="0071776E">
            <w:pPr>
              <w:pStyle w:val="Paragrafoelenco"/>
              <w:numPr>
                <w:ilvl w:val="0"/>
                <w:numId w:val="110"/>
              </w:numPr>
              <w:spacing w:before="0" w:after="0"/>
              <w:ind w:left="316" w:hanging="283"/>
              <w:rPr>
                <w:rFonts w:ascii="Arial" w:hAnsi="Arial" w:cs="Arial"/>
                <w:sz w:val="20"/>
                <w:lang w:eastAsia="pl-PL"/>
              </w:rPr>
            </w:pPr>
            <w:r w:rsidRPr="001F4B8F">
              <w:rPr>
                <w:rFonts w:ascii="Arial" w:hAnsi="Arial" w:cs="Arial"/>
                <w:sz w:val="20"/>
                <w:lang w:eastAsia="pl-PL"/>
              </w:rPr>
              <w:t>Round-table discussion with key staff in Delegation.</w:t>
            </w:r>
          </w:p>
        </w:tc>
      </w:tr>
      <w:tr w:rsidR="0071776E" w:rsidRPr="001F4B8F" w:rsidTr="00792401">
        <w:trPr>
          <w:trHeight w:val="2362"/>
          <w:jc w:val="center"/>
        </w:trPr>
        <w:tc>
          <w:tcPr>
            <w:tcW w:w="1334" w:type="pct"/>
            <w:shd w:val="clear" w:color="auto" w:fill="F2F2F2" w:themeFill="background1" w:themeFillShade="F2"/>
            <w:tcMar>
              <w:top w:w="57" w:type="dxa"/>
              <w:left w:w="57" w:type="dxa"/>
              <w:bottom w:w="57" w:type="dxa"/>
              <w:right w:w="57" w:type="dxa"/>
            </w:tcMar>
            <w:vAlign w:val="center"/>
          </w:tcPr>
          <w:p w:rsidR="0071776E" w:rsidRPr="001F4B8F" w:rsidRDefault="0071776E" w:rsidP="0071776E">
            <w:pPr>
              <w:spacing w:before="0" w:after="0"/>
              <w:jc w:val="center"/>
              <w:rPr>
                <w:rFonts w:ascii="Arial" w:hAnsi="Arial" w:cs="Arial"/>
              </w:rPr>
            </w:pPr>
            <w:r w:rsidRPr="001F4B8F">
              <w:rPr>
                <w:rFonts w:ascii="Arial" w:hAnsi="Arial" w:cs="Arial"/>
                <w:b/>
                <w:bCs/>
                <w:iCs/>
                <w:color w:val="000000"/>
                <w:sz w:val="20"/>
                <w:lang w:eastAsia="en-GB"/>
              </w:rPr>
              <w:t>Data Collection</w:t>
            </w:r>
          </w:p>
        </w:tc>
        <w:tc>
          <w:tcPr>
            <w:tcW w:w="3666" w:type="pct"/>
            <w:shd w:val="clear" w:color="auto" w:fill="FFFFFF" w:themeFill="background1"/>
            <w:tcMar>
              <w:top w:w="57" w:type="dxa"/>
              <w:left w:w="57" w:type="dxa"/>
              <w:bottom w:w="57" w:type="dxa"/>
              <w:right w:w="57" w:type="dxa"/>
            </w:tcMar>
          </w:tcPr>
          <w:p w:rsidR="0071776E" w:rsidRPr="001F4B8F" w:rsidRDefault="0071776E" w:rsidP="0071776E">
            <w:pPr>
              <w:pStyle w:val="Paragrafoelenco"/>
              <w:numPr>
                <w:ilvl w:val="0"/>
                <w:numId w:val="110"/>
              </w:numPr>
              <w:spacing w:before="0" w:after="0"/>
              <w:ind w:left="316" w:hanging="283"/>
              <w:rPr>
                <w:rFonts w:ascii="Arial" w:hAnsi="Arial" w:cs="Arial"/>
                <w:sz w:val="20"/>
                <w:lang w:eastAsia="pl-PL"/>
              </w:rPr>
            </w:pPr>
            <w:r w:rsidRPr="001F4B8F">
              <w:rPr>
                <w:rFonts w:ascii="Arial" w:hAnsi="Arial" w:cs="Arial"/>
                <w:sz w:val="20"/>
                <w:lang w:eastAsia="pl-PL"/>
              </w:rPr>
              <w:t xml:space="preserve">Collection of any missing reports, </w:t>
            </w:r>
            <w:proofErr w:type="spellStart"/>
            <w:r w:rsidRPr="001F4B8F">
              <w:rPr>
                <w:rFonts w:ascii="Arial" w:hAnsi="Arial" w:cs="Arial"/>
                <w:sz w:val="20"/>
                <w:lang w:eastAsia="pl-PL"/>
              </w:rPr>
              <w:t>programme</w:t>
            </w:r>
            <w:proofErr w:type="spellEnd"/>
            <w:r w:rsidRPr="001F4B8F">
              <w:rPr>
                <w:rFonts w:ascii="Arial" w:hAnsi="Arial" w:cs="Arial"/>
                <w:sz w:val="20"/>
                <w:lang w:eastAsia="pl-PL"/>
              </w:rPr>
              <w:t xml:space="preserve"> documents etc. </w:t>
            </w:r>
          </w:p>
          <w:p w:rsidR="0071776E" w:rsidRPr="001F4B8F" w:rsidRDefault="0071776E" w:rsidP="0071776E">
            <w:pPr>
              <w:pStyle w:val="Paragrafoelenco"/>
              <w:numPr>
                <w:ilvl w:val="0"/>
                <w:numId w:val="110"/>
              </w:numPr>
              <w:spacing w:before="0" w:after="0"/>
              <w:ind w:left="316" w:hanging="283"/>
              <w:rPr>
                <w:rFonts w:ascii="Arial" w:hAnsi="Arial" w:cs="Arial"/>
                <w:sz w:val="20"/>
                <w:lang w:eastAsia="pl-PL"/>
              </w:rPr>
            </w:pPr>
            <w:r w:rsidRPr="001F4B8F">
              <w:rPr>
                <w:rFonts w:ascii="Arial" w:hAnsi="Arial" w:cs="Arial"/>
                <w:sz w:val="20"/>
                <w:lang w:eastAsia="pl-PL"/>
              </w:rPr>
              <w:t xml:space="preserve">Final confirmation of key </w:t>
            </w:r>
            <w:proofErr w:type="spellStart"/>
            <w:r w:rsidRPr="001F4B8F">
              <w:rPr>
                <w:rFonts w:ascii="Arial" w:hAnsi="Arial" w:cs="Arial"/>
                <w:sz w:val="20"/>
                <w:lang w:eastAsia="pl-PL"/>
              </w:rPr>
              <w:t>organisations</w:t>
            </w:r>
            <w:proofErr w:type="spellEnd"/>
            <w:r w:rsidRPr="001F4B8F">
              <w:rPr>
                <w:rFonts w:ascii="Arial" w:hAnsi="Arial" w:cs="Arial"/>
                <w:sz w:val="20"/>
                <w:lang w:eastAsia="pl-PL"/>
              </w:rPr>
              <w:t xml:space="preserve"> and relevant staff to meet.</w:t>
            </w:r>
          </w:p>
          <w:p w:rsidR="0071776E" w:rsidRPr="001F4B8F" w:rsidRDefault="0071776E" w:rsidP="0071776E">
            <w:pPr>
              <w:pStyle w:val="Paragrafoelenco"/>
              <w:numPr>
                <w:ilvl w:val="0"/>
                <w:numId w:val="110"/>
              </w:numPr>
              <w:spacing w:before="0" w:after="0"/>
              <w:ind w:left="316" w:hanging="283"/>
              <w:rPr>
                <w:rFonts w:ascii="Arial" w:hAnsi="Arial" w:cs="Arial"/>
                <w:sz w:val="20"/>
                <w:lang w:eastAsia="pl-PL"/>
              </w:rPr>
            </w:pPr>
            <w:r w:rsidRPr="001F4B8F">
              <w:rPr>
                <w:rFonts w:ascii="Arial" w:hAnsi="Arial" w:cs="Arial"/>
                <w:sz w:val="20"/>
                <w:lang w:eastAsia="pl-PL"/>
              </w:rPr>
              <w:t>Interviews with relevant EU Representation officials addressing key sectors of cooperation.</w:t>
            </w:r>
          </w:p>
          <w:p w:rsidR="0071776E" w:rsidRPr="001F4B8F" w:rsidRDefault="0071776E" w:rsidP="0071776E">
            <w:pPr>
              <w:pStyle w:val="Paragrafoelenco"/>
              <w:numPr>
                <w:ilvl w:val="0"/>
                <w:numId w:val="110"/>
              </w:numPr>
              <w:spacing w:before="0" w:after="0"/>
              <w:ind w:left="316" w:hanging="283"/>
              <w:rPr>
                <w:rFonts w:ascii="Arial" w:hAnsi="Arial" w:cs="Arial"/>
                <w:sz w:val="20"/>
                <w:lang w:eastAsia="pl-PL"/>
              </w:rPr>
            </w:pPr>
            <w:r w:rsidRPr="001F4B8F">
              <w:rPr>
                <w:rFonts w:ascii="Arial" w:hAnsi="Arial" w:cs="Arial"/>
                <w:sz w:val="20"/>
                <w:lang w:eastAsia="pl-PL"/>
              </w:rPr>
              <w:t>Interviews with officials addressing overall coordination of donor aid.</w:t>
            </w:r>
          </w:p>
          <w:p w:rsidR="0071776E" w:rsidRPr="001F4B8F" w:rsidRDefault="0071776E" w:rsidP="0071776E">
            <w:pPr>
              <w:pStyle w:val="Paragrafoelenco"/>
              <w:numPr>
                <w:ilvl w:val="0"/>
                <w:numId w:val="110"/>
              </w:numPr>
              <w:spacing w:before="0" w:after="0"/>
              <w:ind w:left="316" w:hanging="283"/>
              <w:rPr>
                <w:rFonts w:ascii="Arial" w:hAnsi="Arial" w:cs="Arial"/>
                <w:sz w:val="20"/>
                <w:lang w:eastAsia="pl-PL"/>
              </w:rPr>
            </w:pPr>
            <w:r w:rsidRPr="001F4B8F">
              <w:rPr>
                <w:rFonts w:ascii="Arial" w:hAnsi="Arial" w:cs="Arial"/>
                <w:sz w:val="20"/>
                <w:lang w:eastAsia="pl-PL"/>
              </w:rPr>
              <w:t>Interviews with EU MS, UN, IFIs and other donors.</w:t>
            </w:r>
          </w:p>
          <w:p w:rsidR="0071776E" w:rsidRPr="001F4B8F" w:rsidRDefault="0071776E" w:rsidP="0071776E">
            <w:pPr>
              <w:pStyle w:val="Paragrafoelenco"/>
              <w:numPr>
                <w:ilvl w:val="0"/>
                <w:numId w:val="110"/>
              </w:numPr>
              <w:spacing w:before="0" w:after="0"/>
              <w:ind w:left="316" w:hanging="283"/>
              <w:rPr>
                <w:rFonts w:ascii="Arial" w:hAnsi="Arial" w:cs="Arial"/>
                <w:sz w:val="20"/>
                <w:lang w:eastAsia="pl-PL"/>
              </w:rPr>
            </w:pPr>
            <w:r w:rsidRPr="001F4B8F">
              <w:rPr>
                <w:rFonts w:ascii="Arial" w:hAnsi="Arial" w:cs="Arial"/>
                <w:sz w:val="20"/>
                <w:lang w:eastAsia="pl-PL"/>
              </w:rPr>
              <w:t xml:space="preserve">Other relevant national stakeholders such as NSAs, or relevant Civil Society </w:t>
            </w:r>
            <w:proofErr w:type="spellStart"/>
            <w:r w:rsidRPr="001F4B8F">
              <w:rPr>
                <w:rFonts w:ascii="Arial" w:hAnsi="Arial" w:cs="Arial"/>
                <w:sz w:val="20"/>
                <w:lang w:eastAsia="pl-PL"/>
              </w:rPr>
              <w:t>organisations</w:t>
            </w:r>
            <w:proofErr w:type="spellEnd"/>
            <w:r w:rsidRPr="001F4B8F">
              <w:rPr>
                <w:rFonts w:ascii="Arial" w:hAnsi="Arial" w:cs="Arial"/>
                <w:sz w:val="20"/>
                <w:lang w:eastAsia="pl-PL"/>
              </w:rPr>
              <w:t xml:space="preserve"> engaged in areas relevant to the Evaluation.</w:t>
            </w:r>
          </w:p>
          <w:p w:rsidR="0071776E" w:rsidRPr="001F4B8F" w:rsidRDefault="0071776E" w:rsidP="0071776E">
            <w:pPr>
              <w:pStyle w:val="Paragrafoelenco"/>
              <w:numPr>
                <w:ilvl w:val="0"/>
                <w:numId w:val="110"/>
              </w:numPr>
              <w:spacing w:before="0" w:after="0"/>
              <w:ind w:left="316" w:hanging="283"/>
              <w:rPr>
                <w:rFonts w:ascii="Arial" w:hAnsi="Arial" w:cs="Arial"/>
                <w:sz w:val="20"/>
                <w:lang w:eastAsia="pl-PL"/>
              </w:rPr>
            </w:pPr>
            <w:r w:rsidRPr="001F4B8F">
              <w:rPr>
                <w:rFonts w:ascii="Arial" w:hAnsi="Arial" w:cs="Arial"/>
                <w:sz w:val="20"/>
                <w:lang w:eastAsia="pl-PL"/>
              </w:rPr>
              <w:t>Interviews with local stakeholders (incl. implementing partners and beneficiaries).</w:t>
            </w:r>
          </w:p>
          <w:p w:rsidR="0071776E" w:rsidRPr="001F4B8F" w:rsidRDefault="0071776E" w:rsidP="0071776E">
            <w:pPr>
              <w:pStyle w:val="Paragrafoelenco"/>
              <w:numPr>
                <w:ilvl w:val="0"/>
                <w:numId w:val="110"/>
              </w:numPr>
              <w:spacing w:before="0" w:after="0"/>
              <w:ind w:left="316" w:hanging="283"/>
              <w:rPr>
                <w:rFonts w:ascii="Arial" w:hAnsi="Arial" w:cs="Arial"/>
                <w:sz w:val="20"/>
                <w:lang w:eastAsia="pl-PL"/>
              </w:rPr>
            </w:pPr>
            <w:r w:rsidRPr="001F4B8F">
              <w:rPr>
                <w:rFonts w:ascii="Arial" w:hAnsi="Arial" w:cs="Arial"/>
                <w:sz w:val="20"/>
                <w:lang w:eastAsia="pl-PL"/>
              </w:rPr>
              <w:t>Use of specific data collection tools (group discussions or other).</w:t>
            </w:r>
          </w:p>
        </w:tc>
      </w:tr>
      <w:tr w:rsidR="0071776E" w:rsidRPr="001F4B8F" w:rsidTr="00792401">
        <w:trPr>
          <w:trHeight w:val="224"/>
          <w:jc w:val="center"/>
        </w:trPr>
        <w:tc>
          <w:tcPr>
            <w:tcW w:w="1334" w:type="pct"/>
            <w:shd w:val="clear" w:color="auto" w:fill="F2F2F2" w:themeFill="background1" w:themeFillShade="F2"/>
            <w:tcMar>
              <w:top w:w="57" w:type="dxa"/>
              <w:left w:w="57" w:type="dxa"/>
              <w:bottom w:w="57" w:type="dxa"/>
              <w:right w:w="57" w:type="dxa"/>
            </w:tcMar>
            <w:vAlign w:val="center"/>
          </w:tcPr>
          <w:p w:rsidR="0071776E" w:rsidRPr="001F4B8F" w:rsidRDefault="0071776E" w:rsidP="0071776E">
            <w:pPr>
              <w:pStyle w:val="Tabletitlecell"/>
              <w:keepNext w:val="0"/>
              <w:keepLines w:val="0"/>
              <w:spacing w:before="0" w:after="0"/>
              <w:rPr>
                <w:i w:val="0"/>
                <w:szCs w:val="20"/>
                <w:lang w:val="en-US"/>
              </w:rPr>
            </w:pPr>
            <w:r w:rsidRPr="001F4B8F">
              <w:rPr>
                <w:i w:val="0"/>
                <w:szCs w:val="20"/>
                <w:lang w:val="en-US"/>
              </w:rPr>
              <w:t xml:space="preserve">Debriefing </w:t>
            </w:r>
          </w:p>
        </w:tc>
        <w:tc>
          <w:tcPr>
            <w:tcW w:w="3666" w:type="pct"/>
            <w:shd w:val="clear" w:color="auto" w:fill="FFFFFF" w:themeFill="background1"/>
            <w:tcMar>
              <w:top w:w="57" w:type="dxa"/>
              <w:left w:w="57" w:type="dxa"/>
              <w:bottom w:w="57" w:type="dxa"/>
              <w:right w:w="57" w:type="dxa"/>
            </w:tcMar>
          </w:tcPr>
          <w:p w:rsidR="0071776E" w:rsidRPr="001F4B8F" w:rsidRDefault="0071776E" w:rsidP="0071776E">
            <w:pPr>
              <w:pStyle w:val="Paragrafoelenco"/>
              <w:numPr>
                <w:ilvl w:val="0"/>
                <w:numId w:val="110"/>
              </w:numPr>
              <w:spacing w:before="0" w:after="0"/>
              <w:ind w:left="316" w:hanging="283"/>
              <w:rPr>
                <w:rFonts w:ascii="Arial" w:hAnsi="Arial" w:cs="Arial"/>
                <w:sz w:val="20"/>
                <w:lang w:eastAsia="pl-PL"/>
              </w:rPr>
            </w:pPr>
            <w:r w:rsidRPr="001F4B8F">
              <w:rPr>
                <w:rFonts w:ascii="Arial" w:hAnsi="Arial" w:cs="Arial"/>
                <w:sz w:val="20"/>
                <w:lang w:eastAsia="pl-PL"/>
              </w:rPr>
              <w:t>Elaboration and presentation of preliminary findings to EU Representation</w:t>
            </w:r>
          </w:p>
        </w:tc>
      </w:tr>
      <w:tr w:rsidR="0071776E" w:rsidRPr="001F4B8F" w:rsidTr="00792401">
        <w:trPr>
          <w:trHeight w:val="210"/>
          <w:jc w:val="center"/>
        </w:trPr>
        <w:tc>
          <w:tcPr>
            <w:tcW w:w="1334" w:type="pct"/>
            <w:shd w:val="clear" w:color="auto" w:fill="F2F2F2" w:themeFill="background1" w:themeFillShade="F2"/>
            <w:tcMar>
              <w:top w:w="57" w:type="dxa"/>
              <w:left w:w="57" w:type="dxa"/>
              <w:bottom w:w="57" w:type="dxa"/>
              <w:right w:w="57" w:type="dxa"/>
            </w:tcMar>
            <w:vAlign w:val="center"/>
          </w:tcPr>
          <w:p w:rsidR="0071776E" w:rsidRPr="001F4B8F" w:rsidRDefault="0071776E" w:rsidP="0071776E">
            <w:pPr>
              <w:pStyle w:val="Tabletitlecell"/>
              <w:keepNext w:val="0"/>
              <w:keepLines w:val="0"/>
              <w:spacing w:before="0" w:after="0"/>
              <w:rPr>
                <w:i w:val="0"/>
                <w:szCs w:val="20"/>
                <w:lang w:val="en-US"/>
              </w:rPr>
            </w:pPr>
            <w:r w:rsidRPr="001F4B8F">
              <w:rPr>
                <w:i w:val="0"/>
                <w:szCs w:val="20"/>
                <w:lang w:val="en-US"/>
              </w:rPr>
              <w:t>Debriefing with RG</w:t>
            </w:r>
          </w:p>
        </w:tc>
        <w:tc>
          <w:tcPr>
            <w:tcW w:w="3666" w:type="pct"/>
            <w:shd w:val="clear" w:color="auto" w:fill="FFFFFF" w:themeFill="background1"/>
            <w:tcMar>
              <w:top w:w="57" w:type="dxa"/>
              <w:left w:w="57" w:type="dxa"/>
              <w:bottom w:w="57" w:type="dxa"/>
              <w:right w:w="57" w:type="dxa"/>
            </w:tcMar>
          </w:tcPr>
          <w:p w:rsidR="0071776E" w:rsidRPr="001F4B8F" w:rsidRDefault="0071776E" w:rsidP="0071776E">
            <w:pPr>
              <w:pStyle w:val="Paragrafoelenco"/>
              <w:numPr>
                <w:ilvl w:val="0"/>
                <w:numId w:val="110"/>
              </w:numPr>
              <w:spacing w:before="0" w:after="0"/>
              <w:ind w:left="316" w:hanging="283"/>
              <w:rPr>
                <w:rFonts w:ascii="Arial" w:hAnsi="Arial" w:cs="Arial"/>
                <w:sz w:val="20"/>
                <w:lang w:eastAsia="pl-PL"/>
              </w:rPr>
            </w:pPr>
            <w:r w:rsidRPr="001F4B8F">
              <w:rPr>
                <w:rFonts w:ascii="Arial" w:hAnsi="Arial" w:cs="Arial"/>
                <w:sz w:val="20"/>
                <w:lang w:eastAsia="pl-PL"/>
              </w:rPr>
              <w:t>Elaboration and presentation of preliminary findings to Reference Group</w:t>
            </w:r>
          </w:p>
        </w:tc>
      </w:tr>
    </w:tbl>
    <w:p w:rsidR="0071776E" w:rsidRDefault="0071776E" w:rsidP="0071776E">
      <w:pPr>
        <w:spacing w:before="0" w:after="0"/>
        <w:rPr>
          <w:rFonts w:ascii="Arial" w:eastAsiaTheme="minorHAnsi" w:hAnsi="Arial" w:cs="Arial"/>
          <w:sz w:val="22"/>
          <w:szCs w:val="22"/>
        </w:rPr>
      </w:pPr>
    </w:p>
    <w:p w:rsidR="0071776E" w:rsidRPr="000448C8" w:rsidRDefault="0071776E" w:rsidP="0071776E">
      <w:pPr>
        <w:spacing w:before="0" w:after="0"/>
        <w:rPr>
          <w:rFonts w:ascii="Arial" w:eastAsiaTheme="minorHAnsi" w:hAnsi="Arial" w:cs="Arial"/>
          <w:sz w:val="22"/>
          <w:szCs w:val="22"/>
        </w:rPr>
      </w:pPr>
      <w:r w:rsidRPr="000448C8">
        <w:rPr>
          <w:rFonts w:ascii="Arial" w:eastAsiaTheme="minorHAnsi" w:hAnsi="Arial" w:cs="Arial"/>
          <w:sz w:val="22"/>
          <w:szCs w:val="22"/>
        </w:rPr>
        <w:t xml:space="preserve">The field phase was carried out in </w:t>
      </w:r>
      <w:r>
        <w:rPr>
          <w:rFonts w:ascii="Arial" w:eastAsiaTheme="minorHAnsi" w:hAnsi="Arial" w:cs="Arial"/>
          <w:sz w:val="22"/>
          <w:szCs w:val="22"/>
        </w:rPr>
        <w:t>four</w:t>
      </w:r>
      <w:r w:rsidRPr="000448C8">
        <w:rPr>
          <w:rFonts w:ascii="Arial" w:eastAsiaTheme="minorHAnsi" w:hAnsi="Arial" w:cs="Arial"/>
          <w:sz w:val="22"/>
          <w:szCs w:val="22"/>
        </w:rPr>
        <w:t xml:space="preserve"> different moments</w:t>
      </w:r>
      <w:r w:rsidR="00740262">
        <w:rPr>
          <w:rFonts w:ascii="Arial" w:eastAsiaTheme="minorHAnsi" w:hAnsi="Arial" w:cs="Arial"/>
          <w:sz w:val="22"/>
          <w:szCs w:val="22"/>
        </w:rPr>
        <w:t xml:space="preserve"> as outlined </w:t>
      </w:r>
      <w:r w:rsidR="00FF46E1">
        <w:rPr>
          <w:rFonts w:ascii="Arial" w:eastAsiaTheme="minorHAnsi" w:hAnsi="Arial" w:cs="Arial"/>
          <w:sz w:val="22"/>
          <w:szCs w:val="22"/>
        </w:rPr>
        <w:t xml:space="preserve">in the text </w:t>
      </w:r>
      <w:r w:rsidR="00740262">
        <w:rPr>
          <w:rFonts w:ascii="Arial" w:eastAsiaTheme="minorHAnsi" w:hAnsi="Arial" w:cs="Arial"/>
          <w:sz w:val="22"/>
          <w:szCs w:val="22"/>
        </w:rPr>
        <w:t>and table</w:t>
      </w:r>
      <w:r w:rsidR="00FF46E1">
        <w:rPr>
          <w:rFonts w:ascii="Arial" w:eastAsiaTheme="minorHAnsi" w:hAnsi="Arial" w:cs="Arial"/>
          <w:sz w:val="22"/>
          <w:szCs w:val="22"/>
        </w:rPr>
        <w:t xml:space="preserve"> below</w:t>
      </w:r>
      <w:r w:rsidRPr="000448C8">
        <w:rPr>
          <w:rFonts w:ascii="Arial" w:eastAsiaTheme="minorHAnsi" w:hAnsi="Arial" w:cs="Arial"/>
          <w:sz w:val="22"/>
          <w:szCs w:val="22"/>
        </w:rPr>
        <w:t xml:space="preserve">: </w:t>
      </w:r>
    </w:p>
    <w:tbl>
      <w:tblPr>
        <w:tblStyle w:val="Grigliatabella"/>
        <w:tblW w:w="0" w:type="auto"/>
        <w:tblLook w:val="04A0"/>
      </w:tblPr>
      <w:tblGrid>
        <w:gridCol w:w="455"/>
        <w:gridCol w:w="2843"/>
        <w:gridCol w:w="2480"/>
        <w:gridCol w:w="4076"/>
      </w:tblGrid>
      <w:tr w:rsidR="00740262" w:rsidRPr="00FF46E1" w:rsidTr="00FF46E1">
        <w:tc>
          <w:tcPr>
            <w:tcW w:w="455" w:type="dxa"/>
            <w:shd w:val="clear" w:color="auto" w:fill="808080" w:themeFill="background1" w:themeFillShade="80"/>
          </w:tcPr>
          <w:p w:rsidR="00740262" w:rsidRPr="00FF46E1" w:rsidRDefault="00740262" w:rsidP="0071776E">
            <w:pPr>
              <w:spacing w:before="0" w:after="0"/>
              <w:rPr>
                <w:rFonts w:ascii="Arial" w:hAnsi="Arial" w:cs="Arial"/>
                <w:color w:val="FFFFFF" w:themeColor="background1"/>
                <w:sz w:val="20"/>
              </w:rPr>
            </w:pPr>
          </w:p>
        </w:tc>
        <w:tc>
          <w:tcPr>
            <w:tcW w:w="2843" w:type="dxa"/>
            <w:shd w:val="clear" w:color="auto" w:fill="808080" w:themeFill="background1" w:themeFillShade="80"/>
          </w:tcPr>
          <w:p w:rsidR="00740262" w:rsidRPr="00FF46E1" w:rsidRDefault="00740262" w:rsidP="0071776E">
            <w:pPr>
              <w:spacing w:before="0" w:after="0"/>
              <w:rPr>
                <w:rFonts w:ascii="Arial" w:hAnsi="Arial" w:cs="Arial"/>
                <w:color w:val="FFFFFF" w:themeColor="background1"/>
                <w:sz w:val="20"/>
              </w:rPr>
            </w:pPr>
          </w:p>
        </w:tc>
        <w:tc>
          <w:tcPr>
            <w:tcW w:w="2480" w:type="dxa"/>
            <w:shd w:val="clear" w:color="auto" w:fill="808080" w:themeFill="background1" w:themeFillShade="80"/>
          </w:tcPr>
          <w:p w:rsidR="00740262" w:rsidRPr="00FF46E1" w:rsidRDefault="00740262" w:rsidP="00740262">
            <w:pPr>
              <w:spacing w:before="0" w:after="0"/>
              <w:jc w:val="center"/>
              <w:rPr>
                <w:rFonts w:ascii="Arial" w:hAnsi="Arial" w:cs="Arial"/>
                <w:b/>
                <w:color w:val="FFFFFF" w:themeColor="background1"/>
                <w:sz w:val="20"/>
              </w:rPr>
            </w:pPr>
            <w:r w:rsidRPr="00FF46E1">
              <w:rPr>
                <w:rFonts w:ascii="Arial" w:hAnsi="Arial" w:cs="Arial"/>
                <w:b/>
                <w:color w:val="FFFFFF" w:themeColor="background1"/>
                <w:sz w:val="20"/>
              </w:rPr>
              <w:t>Dates</w:t>
            </w:r>
          </w:p>
        </w:tc>
        <w:tc>
          <w:tcPr>
            <w:tcW w:w="4076" w:type="dxa"/>
            <w:shd w:val="clear" w:color="auto" w:fill="808080" w:themeFill="background1" w:themeFillShade="80"/>
          </w:tcPr>
          <w:p w:rsidR="00740262" w:rsidRPr="00FF46E1" w:rsidRDefault="00740262" w:rsidP="00740262">
            <w:pPr>
              <w:spacing w:before="0" w:after="0"/>
              <w:jc w:val="center"/>
              <w:rPr>
                <w:rFonts w:ascii="Arial" w:hAnsi="Arial" w:cs="Arial"/>
                <w:b/>
                <w:color w:val="FFFFFF" w:themeColor="background1"/>
                <w:sz w:val="20"/>
              </w:rPr>
            </w:pPr>
            <w:r w:rsidRPr="00FF46E1">
              <w:rPr>
                <w:rFonts w:ascii="Arial" w:hAnsi="Arial" w:cs="Arial"/>
                <w:b/>
                <w:color w:val="FFFFFF" w:themeColor="background1"/>
                <w:sz w:val="20"/>
              </w:rPr>
              <w:t>Consultants</w:t>
            </w:r>
          </w:p>
        </w:tc>
      </w:tr>
      <w:tr w:rsidR="00740262" w:rsidRPr="005D72C2" w:rsidTr="00B72654">
        <w:trPr>
          <w:trHeight w:val="496"/>
        </w:trPr>
        <w:tc>
          <w:tcPr>
            <w:tcW w:w="455" w:type="dxa"/>
            <w:shd w:val="clear" w:color="auto" w:fill="F2F2F2" w:themeFill="background1" w:themeFillShade="F2"/>
          </w:tcPr>
          <w:p w:rsidR="00740262" w:rsidRPr="00FF46E1" w:rsidRDefault="00740262" w:rsidP="0071776E">
            <w:pPr>
              <w:spacing w:before="0" w:after="0"/>
              <w:rPr>
                <w:rFonts w:ascii="Arial" w:hAnsi="Arial" w:cs="Arial"/>
                <w:color w:val="000000" w:themeColor="text1"/>
                <w:sz w:val="20"/>
              </w:rPr>
            </w:pPr>
            <w:r w:rsidRPr="00FF46E1">
              <w:rPr>
                <w:rFonts w:ascii="Arial" w:hAnsi="Arial" w:cs="Arial"/>
                <w:color w:val="000000" w:themeColor="text1"/>
                <w:sz w:val="20"/>
              </w:rPr>
              <w:t>1</w:t>
            </w:r>
          </w:p>
        </w:tc>
        <w:tc>
          <w:tcPr>
            <w:tcW w:w="2843" w:type="dxa"/>
            <w:shd w:val="clear" w:color="auto" w:fill="F2F2F2" w:themeFill="background1" w:themeFillShade="F2"/>
          </w:tcPr>
          <w:p w:rsidR="00740262" w:rsidRPr="00FF46E1" w:rsidRDefault="00740262" w:rsidP="00141DD8">
            <w:pPr>
              <w:spacing w:before="0" w:after="0"/>
              <w:jc w:val="left"/>
              <w:rPr>
                <w:rFonts w:ascii="Arial" w:hAnsi="Arial" w:cs="Arial"/>
                <w:color w:val="000000" w:themeColor="text1"/>
                <w:sz w:val="20"/>
              </w:rPr>
            </w:pPr>
            <w:r w:rsidRPr="00FF46E1">
              <w:rPr>
                <w:rFonts w:ascii="Arial" w:hAnsi="Arial" w:cs="Arial"/>
                <w:color w:val="000000" w:themeColor="text1"/>
                <w:sz w:val="20"/>
              </w:rPr>
              <w:t>First Mission to Palestine</w:t>
            </w:r>
          </w:p>
        </w:tc>
        <w:tc>
          <w:tcPr>
            <w:tcW w:w="2480" w:type="dxa"/>
          </w:tcPr>
          <w:p w:rsidR="00740262" w:rsidRPr="00FF46E1" w:rsidRDefault="00740262" w:rsidP="0071776E">
            <w:pPr>
              <w:spacing w:before="0" w:after="0"/>
              <w:rPr>
                <w:rFonts w:ascii="Arial" w:hAnsi="Arial" w:cs="Arial"/>
                <w:color w:val="000000" w:themeColor="text1"/>
                <w:sz w:val="20"/>
              </w:rPr>
            </w:pPr>
            <w:r w:rsidRPr="00FF46E1">
              <w:rPr>
                <w:rFonts w:ascii="Arial" w:hAnsi="Arial" w:cs="Arial"/>
                <w:color w:val="000000" w:themeColor="text1"/>
                <w:sz w:val="20"/>
              </w:rPr>
              <w:t>2-13 December 2013</w:t>
            </w:r>
          </w:p>
        </w:tc>
        <w:tc>
          <w:tcPr>
            <w:tcW w:w="4076" w:type="dxa"/>
          </w:tcPr>
          <w:p w:rsidR="00740262" w:rsidRPr="00FF46E1" w:rsidRDefault="00740262" w:rsidP="00FF46E1">
            <w:pPr>
              <w:spacing w:before="0" w:after="0"/>
              <w:jc w:val="left"/>
              <w:rPr>
                <w:rFonts w:ascii="Arial" w:hAnsi="Arial" w:cs="Arial"/>
                <w:color w:val="000000" w:themeColor="text1"/>
                <w:sz w:val="20"/>
                <w:lang w:val="es-ES"/>
              </w:rPr>
            </w:pPr>
            <w:r w:rsidRPr="00FF46E1">
              <w:rPr>
                <w:rFonts w:ascii="Arial" w:hAnsi="Arial" w:cs="Arial"/>
                <w:color w:val="000000" w:themeColor="text1"/>
                <w:sz w:val="20"/>
                <w:lang w:val="es-ES"/>
              </w:rPr>
              <w:t>Joe Saba, Nicholas Krafft, Omar Shaban</w:t>
            </w:r>
          </w:p>
        </w:tc>
      </w:tr>
      <w:tr w:rsidR="00740262" w:rsidRPr="00FF46E1" w:rsidTr="00FF46E1">
        <w:tc>
          <w:tcPr>
            <w:tcW w:w="455" w:type="dxa"/>
            <w:shd w:val="clear" w:color="auto" w:fill="F2F2F2" w:themeFill="background1" w:themeFillShade="F2"/>
          </w:tcPr>
          <w:p w:rsidR="00740262" w:rsidRPr="00FF46E1" w:rsidRDefault="00740262" w:rsidP="0071776E">
            <w:pPr>
              <w:spacing w:before="0" w:after="0"/>
              <w:rPr>
                <w:rFonts w:ascii="Arial" w:hAnsi="Arial" w:cs="Arial"/>
                <w:color w:val="000000" w:themeColor="text1"/>
                <w:sz w:val="20"/>
              </w:rPr>
            </w:pPr>
            <w:r w:rsidRPr="00FF46E1">
              <w:rPr>
                <w:rFonts w:ascii="Arial" w:hAnsi="Arial" w:cs="Arial"/>
                <w:color w:val="000000" w:themeColor="text1"/>
                <w:sz w:val="20"/>
              </w:rPr>
              <w:t>2</w:t>
            </w:r>
          </w:p>
        </w:tc>
        <w:tc>
          <w:tcPr>
            <w:tcW w:w="2843" w:type="dxa"/>
            <w:shd w:val="clear" w:color="auto" w:fill="F2F2F2" w:themeFill="background1" w:themeFillShade="F2"/>
          </w:tcPr>
          <w:p w:rsidR="00740262" w:rsidRPr="00FF46E1" w:rsidRDefault="00740262" w:rsidP="00141DD8">
            <w:pPr>
              <w:spacing w:before="0" w:after="0"/>
              <w:jc w:val="left"/>
              <w:rPr>
                <w:rFonts w:ascii="Arial" w:hAnsi="Arial" w:cs="Arial"/>
                <w:color w:val="000000" w:themeColor="text1"/>
                <w:sz w:val="20"/>
              </w:rPr>
            </w:pPr>
            <w:r w:rsidRPr="00FF46E1">
              <w:rPr>
                <w:rFonts w:ascii="Arial" w:hAnsi="Arial" w:cs="Arial"/>
                <w:color w:val="000000" w:themeColor="text1"/>
                <w:sz w:val="20"/>
              </w:rPr>
              <w:t>Second Mission to Palestine / Jordan</w:t>
            </w:r>
          </w:p>
        </w:tc>
        <w:tc>
          <w:tcPr>
            <w:tcW w:w="2480" w:type="dxa"/>
          </w:tcPr>
          <w:p w:rsidR="00740262" w:rsidRPr="00FF46E1" w:rsidRDefault="00740262" w:rsidP="0071776E">
            <w:pPr>
              <w:spacing w:before="0" w:after="0"/>
              <w:rPr>
                <w:rFonts w:ascii="Arial" w:hAnsi="Arial" w:cs="Arial"/>
                <w:color w:val="000000" w:themeColor="text1"/>
                <w:sz w:val="20"/>
              </w:rPr>
            </w:pPr>
            <w:r w:rsidRPr="00FF46E1">
              <w:rPr>
                <w:rFonts w:ascii="Arial" w:hAnsi="Arial" w:cs="Arial"/>
                <w:color w:val="000000" w:themeColor="text1"/>
                <w:sz w:val="20"/>
              </w:rPr>
              <w:t>14-26 January 2014</w:t>
            </w:r>
          </w:p>
        </w:tc>
        <w:tc>
          <w:tcPr>
            <w:tcW w:w="4076" w:type="dxa"/>
          </w:tcPr>
          <w:p w:rsidR="00740262" w:rsidRPr="00FF46E1" w:rsidRDefault="00740262" w:rsidP="00FF46E1">
            <w:pPr>
              <w:spacing w:before="0" w:after="0"/>
              <w:jc w:val="left"/>
              <w:rPr>
                <w:rFonts w:ascii="Arial" w:hAnsi="Arial" w:cs="Arial"/>
                <w:color w:val="000000" w:themeColor="text1"/>
                <w:sz w:val="20"/>
              </w:rPr>
            </w:pPr>
            <w:r w:rsidRPr="00FF46E1">
              <w:rPr>
                <w:rFonts w:ascii="Arial" w:hAnsi="Arial" w:cs="Arial"/>
                <w:color w:val="000000" w:themeColor="text1"/>
                <w:sz w:val="20"/>
              </w:rPr>
              <w:t>Paolo Scalia, Jean-Claude Ceuppens</w:t>
            </w:r>
          </w:p>
        </w:tc>
      </w:tr>
      <w:tr w:rsidR="00740262" w:rsidRPr="00FF46E1" w:rsidTr="00FF46E1">
        <w:tc>
          <w:tcPr>
            <w:tcW w:w="455" w:type="dxa"/>
            <w:shd w:val="clear" w:color="auto" w:fill="F2F2F2" w:themeFill="background1" w:themeFillShade="F2"/>
          </w:tcPr>
          <w:p w:rsidR="00740262" w:rsidRPr="00FF46E1" w:rsidRDefault="00740262" w:rsidP="0071776E">
            <w:pPr>
              <w:spacing w:before="0" w:after="0"/>
              <w:rPr>
                <w:rFonts w:ascii="Arial" w:hAnsi="Arial" w:cs="Arial"/>
                <w:color w:val="000000" w:themeColor="text1"/>
                <w:sz w:val="20"/>
              </w:rPr>
            </w:pPr>
            <w:r w:rsidRPr="00FF46E1">
              <w:rPr>
                <w:rFonts w:ascii="Arial" w:hAnsi="Arial" w:cs="Arial"/>
                <w:color w:val="000000" w:themeColor="text1"/>
                <w:sz w:val="20"/>
              </w:rPr>
              <w:t>3</w:t>
            </w:r>
          </w:p>
        </w:tc>
        <w:tc>
          <w:tcPr>
            <w:tcW w:w="2843" w:type="dxa"/>
            <w:shd w:val="clear" w:color="auto" w:fill="F2F2F2" w:themeFill="background1" w:themeFillShade="F2"/>
          </w:tcPr>
          <w:p w:rsidR="00740262" w:rsidRPr="00FF46E1" w:rsidRDefault="00740262" w:rsidP="00141DD8">
            <w:pPr>
              <w:spacing w:before="0" w:after="0"/>
              <w:jc w:val="left"/>
              <w:rPr>
                <w:rFonts w:ascii="Arial" w:hAnsi="Arial" w:cs="Arial"/>
                <w:color w:val="000000" w:themeColor="text1"/>
                <w:sz w:val="20"/>
              </w:rPr>
            </w:pPr>
            <w:r w:rsidRPr="00FF46E1">
              <w:rPr>
                <w:rFonts w:ascii="Arial" w:hAnsi="Arial" w:cs="Arial"/>
                <w:color w:val="000000" w:themeColor="text1"/>
                <w:sz w:val="20"/>
              </w:rPr>
              <w:t xml:space="preserve">Interviews in </w:t>
            </w:r>
            <w:proofErr w:type="spellStart"/>
            <w:r w:rsidRPr="00FF46E1">
              <w:rPr>
                <w:rFonts w:ascii="Arial" w:hAnsi="Arial" w:cs="Arial"/>
                <w:color w:val="000000" w:themeColor="text1"/>
                <w:sz w:val="20"/>
              </w:rPr>
              <w:t>Bruxelles</w:t>
            </w:r>
            <w:proofErr w:type="spellEnd"/>
            <w:r w:rsidRPr="00FF46E1">
              <w:rPr>
                <w:rFonts w:ascii="Arial" w:hAnsi="Arial" w:cs="Arial"/>
                <w:color w:val="000000" w:themeColor="text1"/>
                <w:sz w:val="20"/>
              </w:rPr>
              <w:t xml:space="preserve"> </w:t>
            </w:r>
          </w:p>
        </w:tc>
        <w:tc>
          <w:tcPr>
            <w:tcW w:w="2480" w:type="dxa"/>
          </w:tcPr>
          <w:p w:rsidR="00740262" w:rsidRPr="00FF46E1" w:rsidRDefault="00740262" w:rsidP="0071776E">
            <w:pPr>
              <w:spacing w:before="0" w:after="0"/>
              <w:rPr>
                <w:rFonts w:ascii="Arial" w:hAnsi="Arial" w:cs="Arial"/>
                <w:color w:val="000000" w:themeColor="text1"/>
                <w:sz w:val="20"/>
              </w:rPr>
            </w:pPr>
            <w:r w:rsidRPr="00FF46E1">
              <w:rPr>
                <w:rFonts w:ascii="Arial" w:hAnsi="Arial" w:cs="Arial"/>
                <w:color w:val="000000" w:themeColor="text1"/>
                <w:sz w:val="20"/>
              </w:rPr>
              <w:t>4-6 November 2013</w:t>
            </w:r>
            <w:r w:rsidR="00FF46E1">
              <w:rPr>
                <w:rFonts w:ascii="Arial" w:hAnsi="Arial" w:cs="Arial"/>
                <w:color w:val="000000" w:themeColor="text1"/>
                <w:sz w:val="20"/>
              </w:rPr>
              <w:t xml:space="preserve"> / January 2014</w:t>
            </w:r>
          </w:p>
        </w:tc>
        <w:tc>
          <w:tcPr>
            <w:tcW w:w="4076" w:type="dxa"/>
          </w:tcPr>
          <w:p w:rsidR="00740262" w:rsidRPr="00FF46E1" w:rsidRDefault="00740262" w:rsidP="00FF46E1">
            <w:pPr>
              <w:spacing w:before="0" w:after="0"/>
              <w:jc w:val="left"/>
              <w:rPr>
                <w:rFonts w:ascii="Arial" w:hAnsi="Arial" w:cs="Arial"/>
                <w:color w:val="000000" w:themeColor="text1"/>
                <w:sz w:val="20"/>
              </w:rPr>
            </w:pPr>
            <w:r w:rsidRPr="00FF46E1">
              <w:rPr>
                <w:rFonts w:ascii="Arial" w:hAnsi="Arial" w:cs="Arial"/>
                <w:color w:val="000000" w:themeColor="text1"/>
                <w:sz w:val="20"/>
                <w:lang w:val="es-ES"/>
              </w:rPr>
              <w:t>Joe Saba</w:t>
            </w:r>
            <w:r w:rsidR="00FF46E1">
              <w:rPr>
                <w:rFonts w:ascii="Arial" w:hAnsi="Arial" w:cs="Arial"/>
                <w:color w:val="000000" w:themeColor="text1"/>
                <w:sz w:val="20"/>
                <w:lang w:val="es-ES"/>
              </w:rPr>
              <w:t>, Jean Bossuyt</w:t>
            </w:r>
          </w:p>
        </w:tc>
      </w:tr>
      <w:tr w:rsidR="00740262" w:rsidRPr="00FF46E1" w:rsidTr="00FF46E1">
        <w:tc>
          <w:tcPr>
            <w:tcW w:w="455" w:type="dxa"/>
            <w:shd w:val="clear" w:color="auto" w:fill="F2F2F2" w:themeFill="background1" w:themeFillShade="F2"/>
          </w:tcPr>
          <w:p w:rsidR="00740262" w:rsidRPr="00FF46E1" w:rsidRDefault="00740262" w:rsidP="0071776E">
            <w:pPr>
              <w:spacing w:before="0" w:after="0"/>
              <w:rPr>
                <w:rFonts w:ascii="Arial" w:hAnsi="Arial" w:cs="Arial"/>
                <w:color w:val="000000" w:themeColor="text1"/>
                <w:sz w:val="20"/>
              </w:rPr>
            </w:pPr>
            <w:r w:rsidRPr="00FF46E1">
              <w:rPr>
                <w:rFonts w:ascii="Arial" w:hAnsi="Arial" w:cs="Arial"/>
                <w:color w:val="000000" w:themeColor="text1"/>
                <w:sz w:val="20"/>
              </w:rPr>
              <w:t>4</w:t>
            </w:r>
          </w:p>
        </w:tc>
        <w:tc>
          <w:tcPr>
            <w:tcW w:w="2843" w:type="dxa"/>
            <w:shd w:val="clear" w:color="auto" w:fill="F2F2F2" w:themeFill="background1" w:themeFillShade="F2"/>
          </w:tcPr>
          <w:p w:rsidR="00740262" w:rsidRPr="00FF46E1" w:rsidRDefault="0092108E" w:rsidP="00141DD8">
            <w:pPr>
              <w:spacing w:before="0" w:after="0"/>
              <w:jc w:val="left"/>
              <w:rPr>
                <w:rFonts w:ascii="Arial" w:hAnsi="Arial" w:cs="Arial"/>
                <w:color w:val="000000" w:themeColor="text1"/>
                <w:sz w:val="20"/>
              </w:rPr>
            </w:pPr>
            <w:r w:rsidRPr="00FF46E1">
              <w:rPr>
                <w:rFonts w:ascii="Arial" w:hAnsi="Arial" w:cs="Arial"/>
                <w:color w:val="000000" w:themeColor="text1"/>
                <w:sz w:val="20"/>
              </w:rPr>
              <w:t>Interviews in Washington</w:t>
            </w:r>
          </w:p>
        </w:tc>
        <w:tc>
          <w:tcPr>
            <w:tcW w:w="2480" w:type="dxa"/>
          </w:tcPr>
          <w:p w:rsidR="00740262" w:rsidRPr="00FF46E1" w:rsidRDefault="003152D8" w:rsidP="0071776E">
            <w:pPr>
              <w:spacing w:before="0" w:after="0"/>
              <w:rPr>
                <w:rFonts w:ascii="Arial" w:hAnsi="Arial" w:cs="Arial"/>
                <w:color w:val="000000" w:themeColor="text1"/>
                <w:sz w:val="20"/>
              </w:rPr>
            </w:pPr>
            <w:r>
              <w:rPr>
                <w:rFonts w:ascii="Arial" w:hAnsi="Arial" w:cs="Arial"/>
                <w:color w:val="000000" w:themeColor="text1"/>
                <w:sz w:val="20"/>
              </w:rPr>
              <w:t xml:space="preserve">November/ </w:t>
            </w:r>
            <w:r w:rsidR="0092108E" w:rsidRPr="00FF46E1">
              <w:rPr>
                <w:rFonts w:ascii="Arial" w:hAnsi="Arial" w:cs="Arial"/>
                <w:color w:val="000000" w:themeColor="text1"/>
                <w:sz w:val="20"/>
              </w:rPr>
              <w:t>December 2013</w:t>
            </w:r>
          </w:p>
        </w:tc>
        <w:tc>
          <w:tcPr>
            <w:tcW w:w="4076" w:type="dxa"/>
          </w:tcPr>
          <w:p w:rsidR="00740262" w:rsidRPr="00FF46E1" w:rsidRDefault="0092108E" w:rsidP="00FF46E1">
            <w:pPr>
              <w:spacing w:before="0" w:after="0"/>
              <w:jc w:val="left"/>
              <w:rPr>
                <w:rFonts w:ascii="Arial" w:hAnsi="Arial" w:cs="Arial"/>
                <w:color w:val="000000" w:themeColor="text1"/>
                <w:sz w:val="20"/>
              </w:rPr>
            </w:pPr>
            <w:r w:rsidRPr="00FF46E1">
              <w:rPr>
                <w:rFonts w:ascii="Arial" w:hAnsi="Arial" w:cs="Arial"/>
                <w:color w:val="000000" w:themeColor="text1"/>
                <w:sz w:val="20"/>
                <w:lang w:val="es-ES"/>
              </w:rPr>
              <w:t>Joe Saba, Nicholas Krafft</w:t>
            </w:r>
          </w:p>
        </w:tc>
      </w:tr>
    </w:tbl>
    <w:p w:rsidR="00740262" w:rsidRPr="000448C8" w:rsidRDefault="00740262" w:rsidP="0071776E">
      <w:pPr>
        <w:spacing w:before="0" w:after="0"/>
        <w:rPr>
          <w:rFonts w:ascii="Arial" w:hAnsi="Arial" w:cs="Arial"/>
          <w:b/>
          <w:color w:val="000000" w:themeColor="text1"/>
          <w:sz w:val="22"/>
          <w:szCs w:val="22"/>
        </w:rPr>
      </w:pPr>
    </w:p>
    <w:p w:rsidR="0071776E" w:rsidRPr="00745285" w:rsidRDefault="0071776E" w:rsidP="008F7EE1">
      <w:pPr>
        <w:pStyle w:val="Paragrafoelenco"/>
        <w:numPr>
          <w:ilvl w:val="0"/>
          <w:numId w:val="107"/>
        </w:numPr>
        <w:spacing w:before="0" w:after="0"/>
        <w:ind w:left="284" w:hanging="426"/>
        <w:contextualSpacing w:val="0"/>
        <w:rPr>
          <w:rFonts w:ascii="Arial" w:hAnsi="Arial" w:cs="Arial"/>
          <w:color w:val="000000" w:themeColor="text1"/>
          <w:sz w:val="22"/>
          <w:szCs w:val="22"/>
        </w:rPr>
      </w:pPr>
      <w:r>
        <w:rPr>
          <w:rFonts w:ascii="Arial" w:hAnsi="Arial" w:cs="Arial"/>
          <w:b/>
          <w:color w:val="000000" w:themeColor="text1"/>
          <w:sz w:val="22"/>
          <w:szCs w:val="22"/>
        </w:rPr>
        <w:t>Mission to Palestine in D</w:t>
      </w:r>
      <w:r w:rsidRPr="000448C8">
        <w:rPr>
          <w:rFonts w:ascii="Arial" w:hAnsi="Arial" w:cs="Arial"/>
          <w:b/>
          <w:color w:val="000000" w:themeColor="text1"/>
          <w:sz w:val="22"/>
          <w:szCs w:val="22"/>
        </w:rPr>
        <w:t>ecember</w:t>
      </w:r>
      <w:r w:rsidR="00740262">
        <w:rPr>
          <w:rFonts w:ascii="Arial" w:hAnsi="Arial" w:cs="Arial"/>
          <w:b/>
          <w:color w:val="000000" w:themeColor="text1"/>
          <w:sz w:val="22"/>
          <w:szCs w:val="22"/>
        </w:rPr>
        <w:t xml:space="preserve"> 2013</w:t>
      </w:r>
      <w:r>
        <w:rPr>
          <w:rFonts w:ascii="Arial" w:hAnsi="Arial" w:cs="Arial"/>
          <w:b/>
          <w:color w:val="000000" w:themeColor="text1"/>
          <w:sz w:val="22"/>
          <w:szCs w:val="22"/>
        </w:rPr>
        <w:t>:</w:t>
      </w:r>
      <w:r w:rsidRPr="000448C8">
        <w:rPr>
          <w:rFonts w:ascii="Arial" w:hAnsi="Arial" w:cs="Arial"/>
          <w:b/>
          <w:color w:val="000000" w:themeColor="text1"/>
          <w:sz w:val="22"/>
          <w:szCs w:val="22"/>
        </w:rPr>
        <w:t xml:space="preserve"> </w:t>
      </w:r>
      <w:r>
        <w:rPr>
          <w:rFonts w:ascii="Arial" w:hAnsi="Arial" w:cs="Arial"/>
          <w:color w:val="000000" w:themeColor="text1"/>
          <w:sz w:val="22"/>
          <w:szCs w:val="22"/>
        </w:rPr>
        <w:t>a t</w:t>
      </w:r>
      <w:r w:rsidRPr="00407134">
        <w:rPr>
          <w:rFonts w:ascii="Arial" w:hAnsi="Arial" w:cs="Arial"/>
          <w:color w:val="000000" w:themeColor="text1"/>
          <w:sz w:val="22"/>
          <w:szCs w:val="22"/>
        </w:rPr>
        <w:t>wo</w:t>
      </w:r>
      <w:r>
        <w:rPr>
          <w:rFonts w:ascii="Arial" w:hAnsi="Arial" w:cs="Arial"/>
          <w:color w:val="000000" w:themeColor="text1"/>
          <w:sz w:val="22"/>
          <w:szCs w:val="22"/>
        </w:rPr>
        <w:t>-</w:t>
      </w:r>
      <w:r w:rsidRPr="00407134">
        <w:rPr>
          <w:rFonts w:ascii="Arial" w:hAnsi="Arial" w:cs="Arial"/>
          <w:color w:val="000000" w:themeColor="text1"/>
          <w:sz w:val="22"/>
          <w:szCs w:val="22"/>
        </w:rPr>
        <w:t>weeks</w:t>
      </w:r>
      <w:r>
        <w:rPr>
          <w:rFonts w:ascii="Arial" w:hAnsi="Arial" w:cs="Arial"/>
          <w:color w:val="000000" w:themeColor="text1"/>
          <w:sz w:val="22"/>
          <w:szCs w:val="22"/>
        </w:rPr>
        <w:t xml:space="preserve"> mission was </w:t>
      </w:r>
      <w:proofErr w:type="spellStart"/>
      <w:r>
        <w:rPr>
          <w:rFonts w:ascii="Arial" w:hAnsi="Arial" w:cs="Arial"/>
          <w:color w:val="000000" w:themeColor="text1"/>
          <w:sz w:val="22"/>
          <w:szCs w:val="22"/>
        </w:rPr>
        <w:t>organised</w:t>
      </w:r>
      <w:proofErr w:type="spellEnd"/>
      <w:r>
        <w:rPr>
          <w:rFonts w:ascii="Arial" w:hAnsi="Arial" w:cs="Arial"/>
          <w:color w:val="000000" w:themeColor="text1"/>
          <w:sz w:val="22"/>
          <w:szCs w:val="22"/>
        </w:rPr>
        <w:t xml:space="preserve"> with two team members (Team Leader and the Social Expert); due to health problems the deputy team leader was not able to take part to this mission, therefore a second mission was scheduled in January. During this visit key stakeholders have been interviewed in particular staff members of EUREP, EEAS, Members States (MS) Cooperation Offices and Consulates, Other Donors (USA, Switzerland) and PA representatives. During this first visit a focus group was </w:t>
      </w:r>
      <w:proofErr w:type="spellStart"/>
      <w:r>
        <w:rPr>
          <w:rFonts w:ascii="Arial" w:hAnsi="Arial" w:cs="Arial"/>
          <w:color w:val="000000" w:themeColor="text1"/>
          <w:sz w:val="22"/>
          <w:szCs w:val="22"/>
        </w:rPr>
        <w:t>organised</w:t>
      </w:r>
      <w:proofErr w:type="spellEnd"/>
      <w:r>
        <w:rPr>
          <w:rFonts w:ascii="Arial" w:hAnsi="Arial" w:cs="Arial"/>
          <w:color w:val="000000" w:themeColor="text1"/>
          <w:sz w:val="22"/>
          <w:szCs w:val="22"/>
        </w:rPr>
        <w:t xml:space="preserve"> by the national expert to PASSIA (</w:t>
      </w:r>
      <w:r w:rsidRPr="00745285">
        <w:rPr>
          <w:rFonts w:ascii="Arial" w:hAnsi="Arial" w:cs="Arial"/>
          <w:color w:val="000000" w:themeColor="text1"/>
          <w:sz w:val="22"/>
          <w:szCs w:val="22"/>
        </w:rPr>
        <w:t xml:space="preserve">Palestinian Academic Society for the Study of International Affairs) </w:t>
      </w:r>
      <w:r>
        <w:rPr>
          <w:rFonts w:ascii="Arial" w:hAnsi="Arial" w:cs="Arial"/>
          <w:color w:val="000000" w:themeColor="text1"/>
          <w:sz w:val="22"/>
          <w:szCs w:val="22"/>
        </w:rPr>
        <w:t>and a discussion on civil society view of the EU cooperation with Pas has been carried out;</w:t>
      </w:r>
    </w:p>
    <w:p w:rsidR="0071776E" w:rsidRPr="0066627E" w:rsidRDefault="0071776E" w:rsidP="008F7EE1">
      <w:pPr>
        <w:pStyle w:val="Paragrafoelenco"/>
        <w:numPr>
          <w:ilvl w:val="0"/>
          <w:numId w:val="107"/>
        </w:numPr>
        <w:spacing w:before="0" w:after="0"/>
        <w:ind w:left="284" w:hanging="426"/>
        <w:contextualSpacing w:val="0"/>
        <w:rPr>
          <w:rFonts w:ascii="Arial" w:hAnsi="Arial" w:cs="Arial"/>
          <w:color w:val="000000" w:themeColor="text1"/>
          <w:sz w:val="22"/>
          <w:szCs w:val="22"/>
        </w:rPr>
      </w:pPr>
      <w:r>
        <w:rPr>
          <w:rFonts w:ascii="Arial" w:hAnsi="Arial" w:cs="Arial"/>
          <w:b/>
          <w:color w:val="000000" w:themeColor="text1"/>
          <w:sz w:val="22"/>
          <w:szCs w:val="22"/>
        </w:rPr>
        <w:t>Mi</w:t>
      </w:r>
      <w:r w:rsidRPr="000448C8">
        <w:rPr>
          <w:rFonts w:ascii="Arial" w:hAnsi="Arial" w:cs="Arial"/>
          <w:b/>
          <w:color w:val="000000" w:themeColor="text1"/>
          <w:sz w:val="22"/>
          <w:szCs w:val="22"/>
        </w:rPr>
        <w:t xml:space="preserve">ssion </w:t>
      </w:r>
      <w:r>
        <w:rPr>
          <w:rFonts w:ascii="Arial" w:hAnsi="Arial" w:cs="Arial"/>
          <w:b/>
          <w:color w:val="000000" w:themeColor="text1"/>
          <w:sz w:val="22"/>
          <w:szCs w:val="22"/>
        </w:rPr>
        <w:t xml:space="preserve">Palestine/Jordan </w:t>
      </w:r>
      <w:r w:rsidRPr="000448C8">
        <w:rPr>
          <w:rFonts w:ascii="Arial" w:hAnsi="Arial" w:cs="Arial"/>
          <w:b/>
          <w:color w:val="000000" w:themeColor="text1"/>
          <w:sz w:val="22"/>
          <w:szCs w:val="22"/>
        </w:rPr>
        <w:t>in January</w:t>
      </w:r>
      <w:r w:rsidR="00740262">
        <w:rPr>
          <w:rFonts w:ascii="Arial" w:hAnsi="Arial" w:cs="Arial"/>
          <w:b/>
          <w:color w:val="000000" w:themeColor="text1"/>
          <w:sz w:val="22"/>
          <w:szCs w:val="22"/>
        </w:rPr>
        <w:t xml:space="preserve"> 2014</w:t>
      </w:r>
      <w:r>
        <w:rPr>
          <w:rFonts w:ascii="Arial" w:hAnsi="Arial" w:cs="Arial"/>
          <w:b/>
          <w:color w:val="000000" w:themeColor="text1"/>
          <w:sz w:val="22"/>
          <w:szCs w:val="22"/>
        </w:rPr>
        <w:t xml:space="preserve">: </w:t>
      </w:r>
      <w:r>
        <w:rPr>
          <w:rFonts w:ascii="Arial" w:hAnsi="Arial" w:cs="Arial"/>
          <w:color w:val="000000" w:themeColor="text1"/>
          <w:sz w:val="22"/>
          <w:szCs w:val="22"/>
        </w:rPr>
        <w:t xml:space="preserve">a second two-weeks mission was </w:t>
      </w:r>
      <w:proofErr w:type="spellStart"/>
      <w:r>
        <w:rPr>
          <w:rFonts w:ascii="Arial" w:hAnsi="Arial" w:cs="Arial"/>
          <w:color w:val="000000" w:themeColor="text1"/>
          <w:sz w:val="22"/>
          <w:szCs w:val="22"/>
        </w:rPr>
        <w:t>organised</w:t>
      </w:r>
      <w:proofErr w:type="spellEnd"/>
      <w:r>
        <w:rPr>
          <w:rFonts w:ascii="Arial" w:hAnsi="Arial" w:cs="Arial"/>
          <w:color w:val="000000" w:themeColor="text1"/>
          <w:sz w:val="22"/>
          <w:szCs w:val="22"/>
        </w:rPr>
        <w:t xml:space="preserve"> for the Deputy Team Leader and the Water and Sanitation Expert. During this visit </w:t>
      </w:r>
      <w:r>
        <w:rPr>
          <w:rFonts w:ascii="Arial" w:hAnsi="Arial" w:cs="Arial"/>
          <w:b/>
          <w:color w:val="000000" w:themeColor="text1"/>
          <w:sz w:val="22"/>
          <w:szCs w:val="22"/>
        </w:rPr>
        <w:t xml:space="preserve"> </w:t>
      </w:r>
      <w:r w:rsidRPr="0066627E">
        <w:rPr>
          <w:rFonts w:ascii="Arial" w:hAnsi="Arial" w:cs="Arial"/>
          <w:color w:val="000000" w:themeColor="text1"/>
          <w:sz w:val="22"/>
          <w:szCs w:val="22"/>
        </w:rPr>
        <w:t xml:space="preserve">a second round of interviews has been carried out with EUREP </w:t>
      </w:r>
      <w:r>
        <w:rPr>
          <w:rFonts w:ascii="Arial" w:hAnsi="Arial" w:cs="Arial"/>
          <w:color w:val="000000" w:themeColor="text1"/>
          <w:sz w:val="22"/>
          <w:szCs w:val="22"/>
        </w:rPr>
        <w:t xml:space="preserve">to better focus on Instruments and Technical Cooperation issues and UNRWA for the refugees issues. Other interviews with </w:t>
      </w:r>
      <w:proofErr w:type="spellStart"/>
      <w:r>
        <w:rPr>
          <w:rFonts w:ascii="Arial" w:hAnsi="Arial" w:cs="Arial"/>
          <w:color w:val="000000" w:themeColor="text1"/>
          <w:sz w:val="22"/>
          <w:szCs w:val="22"/>
        </w:rPr>
        <w:t>specialised</w:t>
      </w:r>
      <w:proofErr w:type="spellEnd"/>
      <w:r>
        <w:rPr>
          <w:rFonts w:ascii="Arial" w:hAnsi="Arial" w:cs="Arial"/>
          <w:color w:val="000000" w:themeColor="text1"/>
          <w:sz w:val="22"/>
          <w:szCs w:val="22"/>
        </w:rPr>
        <w:t xml:space="preserve"> staff in Water and Sanitation have been carried out in particular with PA Ministries, MS Cooperation Agencies and UN (FAO, UNDP, UNICEF).</w:t>
      </w:r>
    </w:p>
    <w:p w:rsidR="00B72654" w:rsidRDefault="0071776E" w:rsidP="008F7EE1">
      <w:pPr>
        <w:pStyle w:val="Paragrafoelenco"/>
        <w:numPr>
          <w:ilvl w:val="0"/>
          <w:numId w:val="107"/>
        </w:numPr>
        <w:spacing w:before="0" w:after="0"/>
        <w:ind w:left="284" w:hanging="426"/>
        <w:contextualSpacing w:val="0"/>
        <w:rPr>
          <w:rFonts w:ascii="Arial" w:hAnsi="Arial" w:cs="Arial"/>
          <w:color w:val="000000" w:themeColor="text1"/>
          <w:sz w:val="22"/>
          <w:szCs w:val="22"/>
        </w:rPr>
      </w:pPr>
      <w:r w:rsidRPr="00B72654">
        <w:rPr>
          <w:rFonts w:ascii="Arial" w:hAnsi="Arial" w:cs="Arial"/>
          <w:b/>
          <w:color w:val="000000" w:themeColor="text1"/>
          <w:sz w:val="22"/>
          <w:szCs w:val="22"/>
        </w:rPr>
        <w:t xml:space="preserve">Interviews in </w:t>
      </w:r>
      <w:proofErr w:type="spellStart"/>
      <w:r w:rsidRPr="00B72654">
        <w:rPr>
          <w:rFonts w:ascii="Arial" w:hAnsi="Arial" w:cs="Arial"/>
          <w:b/>
          <w:color w:val="000000" w:themeColor="text1"/>
          <w:sz w:val="22"/>
          <w:szCs w:val="22"/>
        </w:rPr>
        <w:t>Bruxelles</w:t>
      </w:r>
      <w:proofErr w:type="spellEnd"/>
      <w:r w:rsidRPr="00B72654">
        <w:rPr>
          <w:rFonts w:ascii="Arial" w:hAnsi="Arial" w:cs="Arial"/>
          <w:b/>
          <w:color w:val="000000" w:themeColor="text1"/>
          <w:sz w:val="22"/>
          <w:szCs w:val="22"/>
        </w:rPr>
        <w:t xml:space="preserve"> </w:t>
      </w:r>
      <w:r w:rsidR="00740262" w:rsidRPr="00B72654">
        <w:rPr>
          <w:rFonts w:ascii="Arial" w:hAnsi="Arial" w:cs="Arial"/>
          <w:b/>
          <w:color w:val="000000" w:themeColor="text1"/>
          <w:sz w:val="22"/>
          <w:szCs w:val="22"/>
        </w:rPr>
        <w:t>in November 2013</w:t>
      </w:r>
      <w:r w:rsidRPr="00B72654">
        <w:rPr>
          <w:rFonts w:ascii="Arial" w:hAnsi="Arial" w:cs="Arial"/>
          <w:b/>
          <w:color w:val="000000" w:themeColor="text1"/>
          <w:sz w:val="22"/>
          <w:szCs w:val="22"/>
        </w:rPr>
        <w:t xml:space="preserve">: </w:t>
      </w:r>
      <w:r w:rsidRPr="00B72654">
        <w:rPr>
          <w:rFonts w:ascii="Arial" w:hAnsi="Arial" w:cs="Arial"/>
          <w:color w:val="000000" w:themeColor="text1"/>
          <w:sz w:val="22"/>
          <w:szCs w:val="22"/>
        </w:rPr>
        <w:t xml:space="preserve">Ahead of the second mission additional interviews have been carried out in </w:t>
      </w:r>
      <w:proofErr w:type="spellStart"/>
      <w:r w:rsidRPr="00B72654">
        <w:rPr>
          <w:rFonts w:ascii="Arial" w:hAnsi="Arial" w:cs="Arial"/>
          <w:color w:val="000000" w:themeColor="text1"/>
          <w:sz w:val="22"/>
          <w:szCs w:val="22"/>
        </w:rPr>
        <w:t>Bruxelles</w:t>
      </w:r>
      <w:proofErr w:type="spellEnd"/>
      <w:r w:rsidRPr="00B72654">
        <w:rPr>
          <w:rFonts w:ascii="Arial" w:hAnsi="Arial" w:cs="Arial"/>
          <w:color w:val="000000" w:themeColor="text1"/>
          <w:sz w:val="22"/>
          <w:szCs w:val="22"/>
        </w:rPr>
        <w:t xml:space="preserve"> with EEAS and DEVCO for the collection of additional information for EQs 3 and 4 and with key NGOs for issues mostly related with civil society. </w:t>
      </w:r>
    </w:p>
    <w:p w:rsidR="0071776E" w:rsidRPr="00B72654" w:rsidRDefault="0071776E" w:rsidP="008F7EE1">
      <w:pPr>
        <w:pStyle w:val="Paragrafoelenco"/>
        <w:numPr>
          <w:ilvl w:val="0"/>
          <w:numId w:val="107"/>
        </w:numPr>
        <w:spacing w:before="0" w:after="0"/>
        <w:ind w:left="284" w:hanging="426"/>
        <w:contextualSpacing w:val="0"/>
        <w:rPr>
          <w:rFonts w:ascii="Arial" w:hAnsi="Arial" w:cs="Arial"/>
          <w:color w:val="000000" w:themeColor="text1"/>
          <w:sz w:val="22"/>
          <w:szCs w:val="22"/>
        </w:rPr>
      </w:pPr>
      <w:r w:rsidRPr="00B72654">
        <w:rPr>
          <w:rFonts w:ascii="Arial" w:hAnsi="Arial" w:cs="Arial"/>
          <w:b/>
          <w:color w:val="000000" w:themeColor="text1"/>
          <w:sz w:val="22"/>
          <w:szCs w:val="22"/>
        </w:rPr>
        <w:lastRenderedPageBreak/>
        <w:t>Interviews in Washington in December</w:t>
      </w:r>
      <w:r w:rsidR="00740262" w:rsidRPr="00B72654">
        <w:rPr>
          <w:rFonts w:ascii="Arial" w:hAnsi="Arial" w:cs="Arial"/>
          <w:b/>
          <w:color w:val="000000" w:themeColor="text1"/>
          <w:sz w:val="22"/>
          <w:szCs w:val="22"/>
        </w:rPr>
        <w:t xml:space="preserve"> 2013</w:t>
      </w:r>
      <w:r w:rsidRPr="00B72654">
        <w:rPr>
          <w:rFonts w:ascii="Arial" w:hAnsi="Arial" w:cs="Arial"/>
          <w:b/>
          <w:color w:val="000000" w:themeColor="text1"/>
          <w:sz w:val="22"/>
          <w:szCs w:val="22"/>
        </w:rPr>
        <w:t xml:space="preserve">: </w:t>
      </w:r>
      <w:r w:rsidRPr="00B72654">
        <w:rPr>
          <w:rFonts w:ascii="Arial" w:hAnsi="Arial" w:cs="Arial"/>
          <w:color w:val="000000" w:themeColor="text1"/>
          <w:sz w:val="22"/>
          <w:szCs w:val="22"/>
        </w:rPr>
        <w:t xml:space="preserve">Thanks to the professional network of two team members interviews in Washington with key staff members of WB and </w:t>
      </w:r>
      <w:r w:rsidRPr="00B72654">
        <w:rPr>
          <w:rFonts w:ascii="Arial" w:hAnsi="Arial" w:cs="Arial"/>
          <w:sz w:val="22"/>
          <w:szCs w:val="22"/>
        </w:rPr>
        <w:t>Islamic Development Bank  has been carried out.</w:t>
      </w:r>
    </w:p>
    <w:p w:rsidR="0071776E" w:rsidRDefault="0071776E" w:rsidP="008F7EE1">
      <w:pPr>
        <w:spacing w:before="0" w:after="0"/>
        <w:ind w:left="284" w:hanging="426"/>
        <w:rPr>
          <w:rFonts w:ascii="Arial" w:hAnsi="Arial" w:cs="Arial"/>
          <w:b/>
          <w:color w:val="000000" w:themeColor="text1"/>
          <w:sz w:val="22"/>
          <w:szCs w:val="22"/>
        </w:rPr>
      </w:pPr>
    </w:p>
    <w:p w:rsidR="0071776E" w:rsidRPr="009F2095" w:rsidRDefault="0071776E" w:rsidP="0071776E">
      <w:pPr>
        <w:spacing w:before="0" w:after="0"/>
        <w:rPr>
          <w:rFonts w:ascii="Arial" w:hAnsi="Arial" w:cs="Arial"/>
          <w:color w:val="000000" w:themeColor="text1"/>
          <w:sz w:val="22"/>
          <w:szCs w:val="22"/>
        </w:rPr>
      </w:pPr>
      <w:r w:rsidRPr="009F2095">
        <w:rPr>
          <w:rFonts w:ascii="Arial" w:hAnsi="Arial" w:cs="Arial"/>
          <w:color w:val="000000" w:themeColor="text1"/>
          <w:sz w:val="22"/>
          <w:szCs w:val="22"/>
        </w:rPr>
        <w:t xml:space="preserve">During the field visit the below data collection tools have been applied: </w:t>
      </w:r>
    </w:p>
    <w:tbl>
      <w:tblPr>
        <w:tblStyle w:val="Grigliatabella"/>
        <w:tblW w:w="0" w:type="auto"/>
        <w:tblLayout w:type="fixed"/>
        <w:tblLook w:val="04A0"/>
      </w:tblPr>
      <w:tblGrid>
        <w:gridCol w:w="1526"/>
        <w:gridCol w:w="8252"/>
      </w:tblGrid>
      <w:tr w:rsidR="0071776E" w:rsidRPr="001F4B8F" w:rsidTr="00792401">
        <w:tc>
          <w:tcPr>
            <w:tcW w:w="1526" w:type="dxa"/>
            <w:shd w:val="clear" w:color="auto" w:fill="F2F2F2" w:themeFill="background1" w:themeFillShade="F2"/>
          </w:tcPr>
          <w:p w:rsidR="0071776E" w:rsidRPr="001F4B8F" w:rsidRDefault="0071776E" w:rsidP="0071776E">
            <w:pPr>
              <w:spacing w:before="0" w:after="0"/>
              <w:rPr>
                <w:rFonts w:ascii="Arial" w:hAnsi="Arial" w:cs="Arial"/>
                <w:b/>
                <w:color w:val="000000" w:themeColor="text1"/>
                <w:sz w:val="20"/>
              </w:rPr>
            </w:pPr>
            <w:r w:rsidRPr="001F4B8F">
              <w:rPr>
                <w:rFonts w:ascii="Arial" w:hAnsi="Arial" w:cs="Arial"/>
                <w:b/>
                <w:sz w:val="20"/>
                <w:lang w:eastAsia="pl-PL"/>
              </w:rPr>
              <w:t>Interviews</w:t>
            </w:r>
          </w:p>
        </w:tc>
        <w:tc>
          <w:tcPr>
            <w:tcW w:w="8252" w:type="dxa"/>
          </w:tcPr>
          <w:p w:rsidR="0071776E" w:rsidRPr="001F4B8F" w:rsidRDefault="0071776E" w:rsidP="0071776E">
            <w:pPr>
              <w:autoSpaceDE w:val="0"/>
              <w:autoSpaceDN w:val="0"/>
              <w:adjustRightInd w:val="0"/>
              <w:spacing w:before="0" w:after="0"/>
              <w:rPr>
                <w:rFonts w:ascii="Arial" w:hAnsi="Arial" w:cs="Arial"/>
                <w:sz w:val="20"/>
                <w:lang w:eastAsia="pl-PL"/>
              </w:rPr>
            </w:pPr>
            <w:r w:rsidRPr="001F4B8F">
              <w:rPr>
                <w:rFonts w:ascii="Arial" w:hAnsi="Arial" w:cs="Arial"/>
                <w:sz w:val="20"/>
                <w:lang w:eastAsia="pl-PL"/>
              </w:rPr>
              <w:t xml:space="preserve">Direct interviews were organized at four different levels: </w:t>
            </w:r>
          </w:p>
          <w:p w:rsidR="0071776E" w:rsidRPr="00141DD8" w:rsidRDefault="0071776E" w:rsidP="0071776E">
            <w:pPr>
              <w:pStyle w:val="Paragrafoelenco"/>
              <w:numPr>
                <w:ilvl w:val="0"/>
                <w:numId w:val="108"/>
              </w:numPr>
              <w:autoSpaceDE w:val="0"/>
              <w:autoSpaceDN w:val="0"/>
              <w:adjustRightInd w:val="0"/>
              <w:spacing w:before="0" w:after="0"/>
              <w:ind w:left="317" w:hanging="283"/>
              <w:contextualSpacing w:val="0"/>
              <w:rPr>
                <w:rFonts w:ascii="Arial" w:hAnsi="Arial" w:cs="Arial"/>
                <w:sz w:val="20"/>
                <w:lang w:eastAsia="pl-PL"/>
              </w:rPr>
            </w:pPr>
            <w:r w:rsidRPr="00141DD8">
              <w:rPr>
                <w:rFonts w:ascii="Arial" w:hAnsi="Arial" w:cs="Arial"/>
                <w:sz w:val="20"/>
                <w:lang w:eastAsia="pl-PL"/>
              </w:rPr>
              <w:t xml:space="preserve">Policy and strategic level: with national counterparts as well as EUD officials involved in policy definition. </w:t>
            </w:r>
          </w:p>
          <w:p w:rsidR="0071776E" w:rsidRPr="00141DD8" w:rsidRDefault="0071776E" w:rsidP="0071776E">
            <w:pPr>
              <w:pStyle w:val="Paragrafoelenco"/>
              <w:numPr>
                <w:ilvl w:val="0"/>
                <w:numId w:val="108"/>
              </w:numPr>
              <w:autoSpaceDE w:val="0"/>
              <w:autoSpaceDN w:val="0"/>
              <w:adjustRightInd w:val="0"/>
              <w:spacing w:before="0" w:after="0"/>
              <w:ind w:left="317" w:hanging="283"/>
              <w:contextualSpacing w:val="0"/>
              <w:rPr>
                <w:rFonts w:ascii="Arial" w:hAnsi="Arial" w:cs="Arial"/>
                <w:sz w:val="20"/>
                <w:lang w:eastAsia="pl-PL"/>
              </w:rPr>
            </w:pPr>
            <w:r w:rsidRPr="00141DD8">
              <w:rPr>
                <w:rFonts w:ascii="Arial" w:hAnsi="Arial" w:cs="Arial"/>
                <w:sz w:val="20"/>
                <w:lang w:eastAsia="pl-PL"/>
              </w:rPr>
              <w:t xml:space="preserve">Implementing bodies: interviews with the various Ministries, public institutions, and non-state actor </w:t>
            </w:r>
            <w:proofErr w:type="spellStart"/>
            <w:r w:rsidRPr="00141DD8">
              <w:rPr>
                <w:rFonts w:ascii="Arial" w:hAnsi="Arial" w:cs="Arial"/>
                <w:sz w:val="20"/>
                <w:lang w:eastAsia="pl-PL"/>
              </w:rPr>
              <w:t>organisations</w:t>
            </w:r>
            <w:proofErr w:type="spellEnd"/>
            <w:r w:rsidRPr="00141DD8">
              <w:rPr>
                <w:rFonts w:ascii="Arial" w:hAnsi="Arial" w:cs="Arial"/>
                <w:sz w:val="20"/>
                <w:lang w:eastAsia="pl-PL"/>
              </w:rPr>
              <w:t xml:space="preserve">, including social partners and specialized agencies in charge of implementation. The managers of the EU Representation will also be interviewed. </w:t>
            </w:r>
          </w:p>
          <w:p w:rsidR="0071776E" w:rsidRPr="00141DD8" w:rsidRDefault="0071776E" w:rsidP="0071776E">
            <w:pPr>
              <w:pStyle w:val="Paragrafoelenco"/>
              <w:numPr>
                <w:ilvl w:val="0"/>
                <w:numId w:val="108"/>
              </w:numPr>
              <w:autoSpaceDE w:val="0"/>
              <w:autoSpaceDN w:val="0"/>
              <w:adjustRightInd w:val="0"/>
              <w:spacing w:before="0" w:after="0"/>
              <w:ind w:left="317" w:hanging="283"/>
              <w:contextualSpacing w:val="0"/>
              <w:rPr>
                <w:rFonts w:ascii="Arial" w:hAnsi="Arial" w:cs="Arial"/>
                <w:sz w:val="20"/>
                <w:lang w:eastAsia="pl-PL"/>
              </w:rPr>
            </w:pPr>
            <w:r w:rsidRPr="00141DD8">
              <w:rPr>
                <w:rFonts w:ascii="Arial" w:hAnsi="Arial" w:cs="Arial"/>
                <w:sz w:val="20"/>
                <w:lang w:eastAsia="pl-PL"/>
              </w:rPr>
              <w:t xml:space="preserve">Beneficiary institutions: these interviews will be limited to the above-mentioned sample of </w:t>
            </w:r>
            <w:proofErr w:type="spellStart"/>
            <w:r w:rsidRPr="00141DD8">
              <w:rPr>
                <w:rFonts w:ascii="Arial" w:hAnsi="Arial" w:cs="Arial"/>
                <w:sz w:val="20"/>
                <w:lang w:eastAsia="pl-PL"/>
              </w:rPr>
              <w:t>programmes</w:t>
            </w:r>
            <w:proofErr w:type="spellEnd"/>
            <w:r w:rsidRPr="00141DD8">
              <w:rPr>
                <w:rFonts w:ascii="Arial" w:hAnsi="Arial" w:cs="Arial"/>
                <w:sz w:val="20"/>
                <w:lang w:eastAsia="pl-PL"/>
              </w:rPr>
              <w:t xml:space="preserve">. </w:t>
            </w:r>
          </w:p>
          <w:p w:rsidR="0071776E" w:rsidRPr="001F4B8F" w:rsidRDefault="0071776E" w:rsidP="0071776E">
            <w:pPr>
              <w:pStyle w:val="Paragrafoelenco"/>
              <w:numPr>
                <w:ilvl w:val="0"/>
                <w:numId w:val="108"/>
              </w:numPr>
              <w:autoSpaceDE w:val="0"/>
              <w:autoSpaceDN w:val="0"/>
              <w:adjustRightInd w:val="0"/>
              <w:spacing w:before="0" w:after="0"/>
              <w:ind w:left="317" w:hanging="283"/>
              <w:contextualSpacing w:val="0"/>
              <w:rPr>
                <w:rFonts w:ascii="Arial" w:hAnsi="Arial" w:cs="Arial"/>
                <w:sz w:val="20"/>
                <w:lang w:eastAsia="pl-PL"/>
              </w:rPr>
            </w:pPr>
            <w:r w:rsidRPr="00141DD8">
              <w:rPr>
                <w:rFonts w:ascii="Arial" w:hAnsi="Arial" w:cs="Arial"/>
                <w:sz w:val="20"/>
                <w:lang w:eastAsia="pl-PL"/>
              </w:rPr>
              <w:t>Other donors and Civil Society: interviews with key external actors (business sector, trade unions, academic world, think tanks etc.) who are not directly involved in the EC cooperation but who could provide</w:t>
            </w:r>
            <w:r w:rsidRPr="001F4B8F">
              <w:rPr>
                <w:rFonts w:ascii="Arial" w:hAnsi="Arial" w:cs="Arial"/>
                <w:sz w:val="20"/>
                <w:lang w:eastAsia="pl-PL"/>
              </w:rPr>
              <w:t xml:space="preserve"> valuable information. </w:t>
            </w:r>
          </w:p>
          <w:p w:rsidR="0071776E" w:rsidRPr="001F4B8F" w:rsidRDefault="0071776E" w:rsidP="0071776E">
            <w:pPr>
              <w:spacing w:before="0" w:after="0"/>
              <w:rPr>
                <w:rFonts w:ascii="Arial" w:hAnsi="Arial" w:cs="Arial"/>
                <w:b/>
                <w:color w:val="000000" w:themeColor="text1"/>
                <w:sz w:val="20"/>
              </w:rPr>
            </w:pPr>
            <w:r w:rsidRPr="001F4B8F">
              <w:rPr>
                <w:rFonts w:ascii="Arial" w:hAnsi="Arial" w:cs="Arial"/>
                <w:sz w:val="20"/>
                <w:lang w:eastAsia="pl-PL"/>
              </w:rPr>
              <w:t>EU Member States’ and other donors’ officials have been interviewed to complete the analytical policy framework of the main sectors of EC support.</w:t>
            </w:r>
          </w:p>
        </w:tc>
      </w:tr>
      <w:tr w:rsidR="0071776E" w:rsidRPr="001F4B8F" w:rsidTr="00792401">
        <w:tc>
          <w:tcPr>
            <w:tcW w:w="1526" w:type="dxa"/>
            <w:shd w:val="clear" w:color="auto" w:fill="F2F2F2" w:themeFill="background1" w:themeFillShade="F2"/>
          </w:tcPr>
          <w:p w:rsidR="0071776E" w:rsidRPr="001F4B8F" w:rsidRDefault="0071776E" w:rsidP="0071776E">
            <w:pPr>
              <w:spacing w:before="0" w:after="0"/>
              <w:rPr>
                <w:rFonts w:ascii="Arial" w:hAnsi="Arial" w:cs="Arial"/>
                <w:b/>
                <w:color w:val="000000" w:themeColor="text1"/>
                <w:sz w:val="20"/>
              </w:rPr>
            </w:pPr>
            <w:r w:rsidRPr="001F4B8F">
              <w:rPr>
                <w:rFonts w:ascii="Arial" w:hAnsi="Arial" w:cs="Arial"/>
                <w:b/>
                <w:sz w:val="20"/>
              </w:rPr>
              <w:t>Group meetings/Focus groups</w:t>
            </w:r>
          </w:p>
        </w:tc>
        <w:tc>
          <w:tcPr>
            <w:tcW w:w="8252" w:type="dxa"/>
          </w:tcPr>
          <w:p w:rsidR="0071776E" w:rsidRPr="001F4B8F" w:rsidRDefault="0071776E" w:rsidP="0071776E">
            <w:pPr>
              <w:autoSpaceDE w:val="0"/>
              <w:autoSpaceDN w:val="0"/>
              <w:adjustRightInd w:val="0"/>
              <w:spacing w:before="0" w:after="0"/>
              <w:rPr>
                <w:rFonts w:ascii="Arial" w:hAnsi="Arial" w:cs="Arial"/>
                <w:sz w:val="20"/>
                <w:lang w:eastAsia="pl-PL"/>
              </w:rPr>
            </w:pPr>
            <w:r w:rsidRPr="001F4B8F">
              <w:rPr>
                <w:rFonts w:ascii="Arial" w:hAnsi="Arial" w:cs="Arial"/>
                <w:sz w:val="20"/>
                <w:lang w:eastAsia="pl-PL"/>
              </w:rPr>
              <w:t xml:space="preserve">Group interviews with a limited number of people from the same category (i.e. EU Representation staff, project staff) have been organized. Interviews aimed at: </w:t>
            </w:r>
          </w:p>
          <w:p w:rsidR="0071776E" w:rsidRPr="001F4B8F" w:rsidRDefault="0071776E" w:rsidP="0071776E">
            <w:pPr>
              <w:pStyle w:val="Paragrafoelenco"/>
              <w:numPr>
                <w:ilvl w:val="0"/>
                <w:numId w:val="109"/>
              </w:numPr>
              <w:autoSpaceDE w:val="0"/>
              <w:autoSpaceDN w:val="0"/>
              <w:adjustRightInd w:val="0"/>
              <w:spacing w:before="0" w:after="0"/>
              <w:ind w:left="317" w:hanging="283"/>
              <w:contextualSpacing w:val="0"/>
              <w:rPr>
                <w:rFonts w:ascii="Arial" w:hAnsi="Arial" w:cs="Arial"/>
                <w:sz w:val="20"/>
                <w:lang w:eastAsia="pl-PL"/>
              </w:rPr>
            </w:pPr>
            <w:r w:rsidRPr="001F4B8F">
              <w:rPr>
                <w:rFonts w:ascii="Arial" w:hAnsi="Arial" w:cs="Arial"/>
                <w:sz w:val="20"/>
                <w:lang w:eastAsia="pl-PL"/>
              </w:rPr>
              <w:t xml:space="preserve">appreciating perceptions of the results and relevance of the EU cooperation strategy overall or by sector, and the efficiency of the implementation mechanisms; </w:t>
            </w:r>
          </w:p>
          <w:p w:rsidR="0071776E" w:rsidRPr="001F4B8F" w:rsidRDefault="0071776E" w:rsidP="0071776E">
            <w:pPr>
              <w:pStyle w:val="Paragrafoelenco"/>
              <w:numPr>
                <w:ilvl w:val="0"/>
                <w:numId w:val="109"/>
              </w:numPr>
              <w:autoSpaceDE w:val="0"/>
              <w:autoSpaceDN w:val="0"/>
              <w:adjustRightInd w:val="0"/>
              <w:spacing w:before="0" w:after="0"/>
              <w:ind w:left="317" w:hanging="283"/>
              <w:contextualSpacing w:val="0"/>
              <w:rPr>
                <w:rFonts w:ascii="Arial" w:hAnsi="Arial" w:cs="Arial"/>
                <w:sz w:val="20"/>
                <w:lang w:eastAsia="pl-PL"/>
              </w:rPr>
            </w:pPr>
            <w:r w:rsidRPr="001F4B8F">
              <w:rPr>
                <w:rFonts w:ascii="Arial" w:hAnsi="Arial" w:cs="Arial"/>
                <w:sz w:val="20"/>
                <w:lang w:eastAsia="pl-PL"/>
              </w:rPr>
              <w:t xml:space="preserve">understanding the internal and external mechanisms of coordination and communication; and </w:t>
            </w:r>
          </w:p>
          <w:p w:rsidR="0071776E" w:rsidRPr="001F4B8F" w:rsidRDefault="0071776E" w:rsidP="0071776E">
            <w:pPr>
              <w:pStyle w:val="Paragrafoelenco"/>
              <w:numPr>
                <w:ilvl w:val="0"/>
                <w:numId w:val="109"/>
              </w:numPr>
              <w:autoSpaceDE w:val="0"/>
              <w:autoSpaceDN w:val="0"/>
              <w:adjustRightInd w:val="0"/>
              <w:spacing w:before="0" w:after="0"/>
              <w:ind w:left="317" w:hanging="283"/>
              <w:contextualSpacing w:val="0"/>
              <w:rPr>
                <w:rFonts w:ascii="Arial" w:hAnsi="Arial" w:cs="Arial"/>
                <w:sz w:val="20"/>
                <w:lang w:eastAsia="pl-PL"/>
              </w:rPr>
            </w:pPr>
            <w:r w:rsidRPr="001F4B8F">
              <w:rPr>
                <w:rFonts w:ascii="Arial" w:hAnsi="Arial" w:cs="Arial"/>
                <w:sz w:val="20"/>
                <w:lang w:eastAsia="pl-PL"/>
              </w:rPr>
              <w:t xml:space="preserve">validating, reviewing, and completing the findings and hypotheses of the desk phase. </w:t>
            </w:r>
          </w:p>
          <w:p w:rsidR="0071776E" w:rsidRPr="001F4B8F" w:rsidRDefault="0071776E" w:rsidP="0071776E">
            <w:pPr>
              <w:autoSpaceDE w:val="0"/>
              <w:autoSpaceDN w:val="0"/>
              <w:adjustRightInd w:val="0"/>
              <w:spacing w:before="0" w:after="0"/>
              <w:rPr>
                <w:rFonts w:ascii="Arial" w:hAnsi="Arial" w:cs="Arial"/>
                <w:b/>
                <w:color w:val="000000" w:themeColor="text1"/>
                <w:sz w:val="20"/>
              </w:rPr>
            </w:pPr>
            <w:r w:rsidRPr="001F4B8F">
              <w:rPr>
                <w:rFonts w:ascii="Arial" w:hAnsi="Arial" w:cs="Arial"/>
                <w:sz w:val="20"/>
                <w:lang w:eastAsia="pl-PL"/>
              </w:rPr>
              <w:t xml:space="preserve">More specifically a focus groups with civil society representatives has been </w:t>
            </w:r>
            <w:proofErr w:type="spellStart"/>
            <w:r w:rsidRPr="001F4B8F">
              <w:rPr>
                <w:rFonts w:ascii="Arial" w:hAnsi="Arial" w:cs="Arial"/>
                <w:sz w:val="20"/>
                <w:lang w:eastAsia="pl-PL"/>
              </w:rPr>
              <w:t>organised</w:t>
            </w:r>
            <w:proofErr w:type="spellEnd"/>
            <w:r w:rsidRPr="001F4B8F">
              <w:rPr>
                <w:rFonts w:ascii="Arial" w:hAnsi="Arial" w:cs="Arial"/>
                <w:sz w:val="20"/>
                <w:lang w:eastAsia="pl-PL"/>
              </w:rPr>
              <w:t xml:space="preserve"> to the premises of PASSIA.  </w:t>
            </w:r>
          </w:p>
        </w:tc>
      </w:tr>
      <w:tr w:rsidR="0071776E" w:rsidRPr="001F4B8F" w:rsidTr="00792401">
        <w:tc>
          <w:tcPr>
            <w:tcW w:w="1526" w:type="dxa"/>
            <w:shd w:val="clear" w:color="auto" w:fill="F2F2F2" w:themeFill="background1" w:themeFillShade="F2"/>
          </w:tcPr>
          <w:p w:rsidR="0071776E" w:rsidRPr="001F4B8F" w:rsidRDefault="0071776E" w:rsidP="0071776E">
            <w:pPr>
              <w:spacing w:before="0" w:after="0"/>
              <w:rPr>
                <w:rFonts w:ascii="Arial" w:hAnsi="Arial" w:cs="Arial"/>
                <w:b/>
                <w:color w:val="000000" w:themeColor="text1"/>
                <w:sz w:val="20"/>
              </w:rPr>
            </w:pPr>
            <w:r w:rsidRPr="001F4B8F">
              <w:rPr>
                <w:rFonts w:ascii="Arial" w:hAnsi="Arial" w:cs="Arial"/>
                <w:b/>
                <w:color w:val="000000" w:themeColor="text1"/>
                <w:sz w:val="20"/>
              </w:rPr>
              <w:t xml:space="preserve">Additional Documentary review </w:t>
            </w:r>
          </w:p>
        </w:tc>
        <w:tc>
          <w:tcPr>
            <w:tcW w:w="8252" w:type="dxa"/>
          </w:tcPr>
          <w:p w:rsidR="0071776E" w:rsidRPr="001F4B8F" w:rsidRDefault="0071776E" w:rsidP="0071776E">
            <w:pPr>
              <w:autoSpaceDE w:val="0"/>
              <w:autoSpaceDN w:val="0"/>
              <w:adjustRightInd w:val="0"/>
              <w:spacing w:before="0" w:after="0"/>
              <w:rPr>
                <w:rFonts w:ascii="Arial" w:hAnsi="Arial" w:cs="Arial"/>
                <w:sz w:val="20"/>
                <w:lang w:eastAsia="pl-PL"/>
              </w:rPr>
            </w:pPr>
            <w:r w:rsidRPr="001F4B8F">
              <w:rPr>
                <w:rFonts w:ascii="Arial" w:hAnsi="Arial" w:cs="Arial"/>
                <w:sz w:val="20"/>
                <w:lang w:eastAsia="pl-PL"/>
              </w:rPr>
              <w:t xml:space="preserve">In addition to the interviews the Evaluation team </w:t>
            </w:r>
            <w:r>
              <w:rPr>
                <w:rFonts w:ascii="Arial" w:hAnsi="Arial" w:cs="Arial"/>
                <w:sz w:val="20"/>
                <w:lang w:eastAsia="pl-PL"/>
              </w:rPr>
              <w:t>has</w:t>
            </w:r>
            <w:r w:rsidRPr="001F4B8F">
              <w:rPr>
                <w:rFonts w:ascii="Arial" w:hAnsi="Arial" w:cs="Arial"/>
                <w:sz w:val="20"/>
                <w:lang w:eastAsia="pl-PL"/>
              </w:rPr>
              <w:t xml:space="preserve"> collect</w:t>
            </w:r>
            <w:r>
              <w:rPr>
                <w:rFonts w:ascii="Arial" w:hAnsi="Arial" w:cs="Arial"/>
                <w:sz w:val="20"/>
                <w:lang w:eastAsia="pl-PL"/>
              </w:rPr>
              <w:t>ed</w:t>
            </w:r>
            <w:r w:rsidRPr="001F4B8F">
              <w:rPr>
                <w:rFonts w:ascii="Arial" w:hAnsi="Arial" w:cs="Arial"/>
                <w:sz w:val="20"/>
                <w:lang w:eastAsia="pl-PL"/>
              </w:rPr>
              <w:t xml:space="preserve"> </w:t>
            </w:r>
            <w:r>
              <w:rPr>
                <w:rFonts w:ascii="Arial" w:hAnsi="Arial" w:cs="Arial"/>
                <w:sz w:val="20"/>
                <w:lang w:eastAsia="pl-PL"/>
              </w:rPr>
              <w:t xml:space="preserve">additional </w:t>
            </w:r>
            <w:r w:rsidRPr="001F4B8F">
              <w:rPr>
                <w:rFonts w:ascii="Arial" w:hAnsi="Arial" w:cs="Arial"/>
                <w:sz w:val="20"/>
                <w:lang w:eastAsia="pl-PL"/>
              </w:rPr>
              <w:t xml:space="preserve">documentation that </w:t>
            </w:r>
            <w:r>
              <w:rPr>
                <w:rFonts w:ascii="Arial" w:hAnsi="Arial" w:cs="Arial"/>
                <w:sz w:val="20"/>
                <w:lang w:eastAsia="pl-PL"/>
              </w:rPr>
              <w:t>was not possible to be collected previously</w:t>
            </w:r>
            <w:r w:rsidRPr="001F4B8F">
              <w:rPr>
                <w:rFonts w:ascii="Arial" w:hAnsi="Arial" w:cs="Arial"/>
                <w:sz w:val="20"/>
                <w:lang w:eastAsia="pl-PL"/>
              </w:rPr>
              <w:t xml:space="preserve">. Sources </w:t>
            </w:r>
            <w:r>
              <w:rPr>
                <w:rFonts w:ascii="Arial" w:hAnsi="Arial" w:cs="Arial"/>
                <w:sz w:val="20"/>
                <w:lang w:eastAsia="pl-PL"/>
              </w:rPr>
              <w:t>i</w:t>
            </w:r>
            <w:r w:rsidRPr="001F4B8F">
              <w:rPr>
                <w:rFonts w:ascii="Arial" w:hAnsi="Arial" w:cs="Arial"/>
                <w:sz w:val="20"/>
                <w:lang w:eastAsia="pl-PL"/>
              </w:rPr>
              <w:t>nclude</w:t>
            </w:r>
            <w:r>
              <w:rPr>
                <w:rFonts w:ascii="Arial" w:hAnsi="Arial" w:cs="Arial"/>
                <w:sz w:val="20"/>
                <w:lang w:eastAsia="pl-PL"/>
              </w:rPr>
              <w:t>d</w:t>
            </w:r>
            <w:r w:rsidRPr="001F4B8F">
              <w:rPr>
                <w:rFonts w:ascii="Arial" w:hAnsi="Arial" w:cs="Arial"/>
                <w:sz w:val="20"/>
                <w:lang w:eastAsia="pl-PL"/>
              </w:rPr>
              <w:t xml:space="preserve"> the EU Representation, managers of the </w:t>
            </w:r>
            <w:proofErr w:type="spellStart"/>
            <w:r w:rsidRPr="001F4B8F">
              <w:rPr>
                <w:rFonts w:ascii="Arial" w:hAnsi="Arial" w:cs="Arial"/>
                <w:sz w:val="20"/>
                <w:lang w:eastAsia="pl-PL"/>
              </w:rPr>
              <w:t>programmes</w:t>
            </w:r>
            <w:proofErr w:type="spellEnd"/>
            <w:r w:rsidRPr="001F4B8F">
              <w:rPr>
                <w:rFonts w:ascii="Arial" w:hAnsi="Arial" w:cs="Arial"/>
                <w:sz w:val="20"/>
                <w:lang w:eastAsia="pl-PL"/>
              </w:rPr>
              <w:t xml:space="preserve">, beneficiary institutions and </w:t>
            </w:r>
            <w:proofErr w:type="spellStart"/>
            <w:r w:rsidRPr="001F4B8F">
              <w:rPr>
                <w:rFonts w:ascii="Arial" w:hAnsi="Arial" w:cs="Arial"/>
                <w:sz w:val="20"/>
                <w:lang w:eastAsia="pl-PL"/>
              </w:rPr>
              <w:t>organisations</w:t>
            </w:r>
            <w:proofErr w:type="spellEnd"/>
            <w:r w:rsidRPr="001F4B8F">
              <w:rPr>
                <w:rFonts w:ascii="Arial" w:hAnsi="Arial" w:cs="Arial"/>
                <w:sz w:val="20"/>
                <w:lang w:eastAsia="pl-PL"/>
              </w:rPr>
              <w:t xml:space="preserve">, other donors, EU Member States, and other Civil Society </w:t>
            </w:r>
            <w:proofErr w:type="spellStart"/>
            <w:r w:rsidRPr="001F4B8F">
              <w:rPr>
                <w:rFonts w:ascii="Arial" w:hAnsi="Arial" w:cs="Arial"/>
                <w:sz w:val="20"/>
                <w:lang w:eastAsia="pl-PL"/>
              </w:rPr>
              <w:t>organisations</w:t>
            </w:r>
            <w:proofErr w:type="spellEnd"/>
            <w:r w:rsidRPr="001F4B8F">
              <w:rPr>
                <w:rFonts w:ascii="Arial" w:hAnsi="Arial" w:cs="Arial"/>
                <w:sz w:val="20"/>
                <w:lang w:eastAsia="pl-PL"/>
              </w:rPr>
              <w:t xml:space="preserve"> and academic </w:t>
            </w:r>
            <w:proofErr w:type="spellStart"/>
            <w:r w:rsidRPr="001F4B8F">
              <w:rPr>
                <w:rFonts w:ascii="Arial" w:hAnsi="Arial" w:cs="Arial"/>
                <w:sz w:val="20"/>
                <w:lang w:eastAsia="pl-PL"/>
              </w:rPr>
              <w:t>centres</w:t>
            </w:r>
            <w:proofErr w:type="spellEnd"/>
            <w:r w:rsidRPr="001F4B8F">
              <w:rPr>
                <w:rFonts w:ascii="Arial" w:hAnsi="Arial" w:cs="Arial"/>
                <w:sz w:val="20"/>
                <w:lang w:eastAsia="pl-PL"/>
              </w:rPr>
              <w:t>.</w:t>
            </w:r>
          </w:p>
        </w:tc>
      </w:tr>
    </w:tbl>
    <w:p w:rsidR="0071776E" w:rsidRDefault="0071776E" w:rsidP="0071776E">
      <w:pPr>
        <w:spacing w:before="0" w:after="0"/>
        <w:rPr>
          <w:rFonts w:ascii="Arial" w:hAnsi="Arial" w:cs="Arial"/>
          <w:b/>
          <w:color w:val="000000" w:themeColor="text1"/>
          <w:sz w:val="22"/>
          <w:szCs w:val="22"/>
        </w:rPr>
      </w:pPr>
    </w:p>
    <w:p w:rsidR="0071776E" w:rsidRDefault="0071776E" w:rsidP="001A745D">
      <w:pPr>
        <w:pStyle w:val="Default"/>
        <w:spacing w:before="0" w:after="0"/>
        <w:rPr>
          <w:rFonts w:ascii="Arial" w:hAnsi="Arial" w:cs="Arial"/>
          <w:b/>
          <w:caps/>
          <w:color w:val="1F497D" w:themeColor="text2"/>
        </w:rPr>
      </w:pPr>
      <w:r w:rsidRPr="004B64B5">
        <w:rPr>
          <w:rFonts w:ascii="Arial" w:hAnsi="Arial" w:cs="Arial"/>
          <w:b/>
          <w:caps/>
          <w:color w:val="1F497D" w:themeColor="text2"/>
        </w:rPr>
        <w:t>Synthesis Phase</w:t>
      </w:r>
    </w:p>
    <w:p w:rsidR="006D3B79" w:rsidRDefault="0071776E" w:rsidP="0071776E">
      <w:pPr>
        <w:pStyle w:val="Default"/>
        <w:spacing w:before="0" w:after="0"/>
        <w:rPr>
          <w:rFonts w:ascii="Arial" w:hAnsi="Arial" w:cs="Arial"/>
          <w:sz w:val="22"/>
          <w:szCs w:val="22"/>
        </w:rPr>
      </w:pPr>
      <w:r w:rsidRPr="00F01918">
        <w:rPr>
          <w:rFonts w:ascii="Arial" w:hAnsi="Arial" w:cs="Arial"/>
          <w:sz w:val="22"/>
          <w:szCs w:val="22"/>
        </w:rPr>
        <w:t xml:space="preserve">During the </w:t>
      </w:r>
      <w:r w:rsidRPr="00F01918">
        <w:rPr>
          <w:rFonts w:ascii="Arial" w:hAnsi="Arial" w:cs="Arial"/>
          <w:bCs/>
          <w:sz w:val="22"/>
          <w:szCs w:val="22"/>
        </w:rPr>
        <w:t>Synthesis Phase</w:t>
      </w:r>
      <w:r w:rsidRPr="00F01918">
        <w:rPr>
          <w:rFonts w:ascii="Arial" w:hAnsi="Arial" w:cs="Arial"/>
          <w:b/>
          <w:bCs/>
          <w:sz w:val="22"/>
          <w:szCs w:val="22"/>
        </w:rPr>
        <w:t xml:space="preserve"> </w:t>
      </w:r>
      <w:r w:rsidRPr="00F01918">
        <w:rPr>
          <w:rFonts w:ascii="Arial" w:hAnsi="Arial" w:cs="Arial"/>
          <w:sz w:val="22"/>
          <w:szCs w:val="22"/>
        </w:rPr>
        <w:t xml:space="preserve">the team brought together the results of the desk phase and field phase, including comments made by the RG during the debriefing held in </w:t>
      </w:r>
      <w:proofErr w:type="spellStart"/>
      <w:r w:rsidRPr="00F01918">
        <w:rPr>
          <w:rFonts w:ascii="Arial" w:hAnsi="Arial" w:cs="Arial"/>
          <w:sz w:val="22"/>
          <w:szCs w:val="22"/>
        </w:rPr>
        <w:t>Brussles</w:t>
      </w:r>
      <w:proofErr w:type="spellEnd"/>
      <w:r w:rsidRPr="00F01918">
        <w:rPr>
          <w:rFonts w:ascii="Arial" w:hAnsi="Arial" w:cs="Arial"/>
          <w:sz w:val="22"/>
          <w:szCs w:val="22"/>
        </w:rPr>
        <w:t xml:space="preserve"> on the 4</w:t>
      </w:r>
      <w:r w:rsidRPr="00F01918">
        <w:rPr>
          <w:rFonts w:ascii="Arial" w:hAnsi="Arial" w:cs="Arial"/>
          <w:sz w:val="22"/>
          <w:szCs w:val="22"/>
          <w:vertAlign w:val="superscript"/>
        </w:rPr>
        <w:t>th</w:t>
      </w:r>
      <w:r w:rsidRPr="00F01918">
        <w:rPr>
          <w:rFonts w:ascii="Arial" w:hAnsi="Arial" w:cs="Arial"/>
          <w:sz w:val="22"/>
          <w:szCs w:val="22"/>
        </w:rPr>
        <w:t xml:space="preserve"> of February 2014, in the drafting of the final report. During the synthesis phase, all information collected was </w:t>
      </w:r>
      <w:proofErr w:type="spellStart"/>
      <w:r w:rsidRPr="00F01918">
        <w:rPr>
          <w:rFonts w:ascii="Arial" w:hAnsi="Arial" w:cs="Arial"/>
          <w:sz w:val="22"/>
          <w:szCs w:val="22"/>
        </w:rPr>
        <w:t>analysed</w:t>
      </w:r>
      <w:proofErr w:type="spellEnd"/>
      <w:r w:rsidRPr="00F01918">
        <w:rPr>
          <w:rFonts w:ascii="Arial" w:hAnsi="Arial" w:cs="Arial"/>
          <w:sz w:val="22"/>
          <w:szCs w:val="22"/>
        </w:rPr>
        <w:t xml:space="preserve"> and cross-checked with a view to provide evidence-based answers to the evaluation questions, sound conclusions and useful recommendations. </w:t>
      </w:r>
      <w:r w:rsidR="006D3B79">
        <w:rPr>
          <w:rFonts w:ascii="Arial" w:hAnsi="Arial" w:cs="Arial"/>
          <w:sz w:val="22"/>
          <w:szCs w:val="22"/>
        </w:rPr>
        <w:t>See Annex 5 Data Evaluation Grid for a full overview of data collection tools used for each JC and EQ.</w:t>
      </w:r>
    </w:p>
    <w:p w:rsidR="0071776E" w:rsidRPr="00F01918" w:rsidRDefault="0071776E" w:rsidP="0071776E">
      <w:pPr>
        <w:pStyle w:val="Default"/>
        <w:spacing w:before="0" w:after="0"/>
        <w:rPr>
          <w:rFonts w:ascii="Arial" w:hAnsi="Arial" w:cs="Arial"/>
          <w:sz w:val="22"/>
          <w:szCs w:val="22"/>
        </w:rPr>
      </w:pPr>
      <w:r w:rsidRPr="00F01918">
        <w:rPr>
          <w:rFonts w:ascii="Arial" w:hAnsi="Arial" w:cs="Arial"/>
          <w:sz w:val="22"/>
          <w:szCs w:val="22"/>
        </w:rPr>
        <w:t xml:space="preserve">The analysis was structured according to the three-tiered logic from Indicator, to </w:t>
      </w:r>
      <w:proofErr w:type="spellStart"/>
      <w:r w:rsidRPr="00F01918">
        <w:rPr>
          <w:rFonts w:ascii="Arial" w:hAnsi="Arial" w:cs="Arial"/>
          <w:sz w:val="22"/>
          <w:szCs w:val="22"/>
        </w:rPr>
        <w:t>Judgement</w:t>
      </w:r>
      <w:proofErr w:type="spellEnd"/>
      <w:r w:rsidRPr="00F01918">
        <w:rPr>
          <w:rFonts w:ascii="Arial" w:hAnsi="Arial" w:cs="Arial"/>
          <w:sz w:val="22"/>
          <w:szCs w:val="22"/>
        </w:rPr>
        <w:t xml:space="preserve"> Criteria (JC), to Evaluation Question (EQ). As a result, activities carried out during this phase can be grouped in the following five subsequent steps: </w:t>
      </w:r>
    </w:p>
    <w:p w:rsidR="0071776E" w:rsidRPr="00F01918" w:rsidRDefault="0071776E" w:rsidP="0071776E">
      <w:pPr>
        <w:pStyle w:val="Default"/>
        <w:numPr>
          <w:ilvl w:val="0"/>
          <w:numId w:val="105"/>
        </w:numPr>
        <w:spacing w:before="0" w:after="32"/>
        <w:ind w:left="426" w:hanging="284"/>
        <w:rPr>
          <w:rFonts w:ascii="Arial" w:hAnsi="Arial" w:cs="Arial"/>
          <w:sz w:val="22"/>
          <w:szCs w:val="22"/>
        </w:rPr>
      </w:pPr>
      <w:r w:rsidRPr="00F01918">
        <w:rPr>
          <w:rFonts w:ascii="Arial" w:hAnsi="Arial" w:cs="Arial"/>
          <w:sz w:val="22"/>
          <w:szCs w:val="22"/>
        </w:rPr>
        <w:t xml:space="preserve">Informing the indicators: sharing of information between the team members, updating, comparing, confirming and cross-checking the information gathered through the different sources; </w:t>
      </w:r>
    </w:p>
    <w:p w:rsidR="0071776E" w:rsidRPr="00F01918" w:rsidRDefault="0071776E" w:rsidP="0071776E">
      <w:pPr>
        <w:pStyle w:val="Default"/>
        <w:numPr>
          <w:ilvl w:val="0"/>
          <w:numId w:val="105"/>
        </w:numPr>
        <w:spacing w:before="0" w:after="32"/>
        <w:ind w:left="426" w:hanging="284"/>
        <w:rPr>
          <w:rFonts w:ascii="Arial" w:hAnsi="Arial" w:cs="Arial"/>
          <w:sz w:val="22"/>
          <w:szCs w:val="22"/>
        </w:rPr>
      </w:pPr>
      <w:r w:rsidRPr="00F01918">
        <w:rPr>
          <w:rFonts w:ascii="Arial" w:hAnsi="Arial" w:cs="Arial"/>
          <w:sz w:val="22"/>
          <w:szCs w:val="22"/>
        </w:rPr>
        <w:t xml:space="preserve">Identifying the limits of the analysis: data quality and unavoidable information gaps; </w:t>
      </w:r>
    </w:p>
    <w:p w:rsidR="0071776E" w:rsidRPr="00F01918" w:rsidRDefault="0071776E" w:rsidP="0071776E">
      <w:pPr>
        <w:pStyle w:val="Default"/>
        <w:numPr>
          <w:ilvl w:val="0"/>
          <w:numId w:val="105"/>
        </w:numPr>
        <w:spacing w:before="0" w:after="32"/>
        <w:ind w:left="426" w:hanging="284"/>
        <w:rPr>
          <w:rFonts w:ascii="Arial" w:hAnsi="Arial" w:cs="Arial"/>
          <w:sz w:val="22"/>
          <w:szCs w:val="22"/>
        </w:rPr>
      </w:pPr>
      <w:r w:rsidRPr="00F01918">
        <w:rPr>
          <w:rFonts w:ascii="Arial" w:hAnsi="Arial" w:cs="Arial"/>
          <w:sz w:val="22"/>
          <w:szCs w:val="22"/>
        </w:rPr>
        <w:t xml:space="preserve">Validating, integrating or amending the </w:t>
      </w:r>
      <w:proofErr w:type="spellStart"/>
      <w:r w:rsidRPr="00F01918">
        <w:rPr>
          <w:rFonts w:ascii="Arial" w:hAnsi="Arial" w:cs="Arial"/>
          <w:sz w:val="22"/>
          <w:szCs w:val="22"/>
        </w:rPr>
        <w:t>judgement</w:t>
      </w:r>
      <w:proofErr w:type="spellEnd"/>
      <w:r w:rsidRPr="00F01918">
        <w:rPr>
          <w:rFonts w:ascii="Arial" w:hAnsi="Arial" w:cs="Arial"/>
          <w:sz w:val="22"/>
          <w:szCs w:val="22"/>
        </w:rPr>
        <w:t xml:space="preserve"> criteria; </w:t>
      </w:r>
    </w:p>
    <w:p w:rsidR="0071776E" w:rsidRPr="00F01918" w:rsidRDefault="0071776E" w:rsidP="0071776E">
      <w:pPr>
        <w:pStyle w:val="Default"/>
        <w:numPr>
          <w:ilvl w:val="0"/>
          <w:numId w:val="105"/>
        </w:numPr>
        <w:spacing w:before="0" w:after="32"/>
        <w:ind w:left="426" w:hanging="284"/>
        <w:rPr>
          <w:rFonts w:ascii="Arial" w:hAnsi="Arial" w:cs="Arial"/>
          <w:sz w:val="22"/>
          <w:szCs w:val="22"/>
        </w:rPr>
      </w:pPr>
      <w:r w:rsidRPr="00F01918">
        <w:rPr>
          <w:rFonts w:ascii="Arial" w:hAnsi="Arial" w:cs="Arial"/>
          <w:sz w:val="22"/>
          <w:szCs w:val="22"/>
        </w:rPr>
        <w:t xml:space="preserve">Providing answers to the evaluation questions based on the combination of the answers at the level of the JCs; </w:t>
      </w:r>
    </w:p>
    <w:p w:rsidR="008F7EE1" w:rsidRDefault="0071776E" w:rsidP="0071776E">
      <w:pPr>
        <w:pStyle w:val="Default"/>
        <w:numPr>
          <w:ilvl w:val="0"/>
          <w:numId w:val="105"/>
        </w:numPr>
        <w:spacing w:before="0" w:after="0"/>
        <w:ind w:left="426" w:hanging="284"/>
        <w:rPr>
          <w:rFonts w:ascii="Arial" w:hAnsi="Arial" w:cs="Arial"/>
          <w:sz w:val="22"/>
          <w:szCs w:val="22"/>
        </w:rPr>
      </w:pPr>
      <w:r w:rsidRPr="00F01918">
        <w:rPr>
          <w:rFonts w:ascii="Arial" w:hAnsi="Arial" w:cs="Arial"/>
          <w:sz w:val="22"/>
          <w:szCs w:val="22"/>
        </w:rPr>
        <w:t>Drafting of conclusions and recommendations</w:t>
      </w:r>
    </w:p>
    <w:p w:rsidR="00043271" w:rsidRPr="008F7EE1" w:rsidRDefault="008F7EE1" w:rsidP="008F7EE1">
      <w:pPr>
        <w:pStyle w:val="Default"/>
        <w:numPr>
          <w:ilvl w:val="0"/>
          <w:numId w:val="105"/>
        </w:numPr>
        <w:spacing w:before="0" w:after="0"/>
        <w:ind w:left="426" w:hanging="284"/>
        <w:rPr>
          <w:rFonts w:ascii="Arial" w:hAnsi="Arial" w:cs="Arial"/>
          <w:sz w:val="22"/>
          <w:szCs w:val="22"/>
        </w:rPr>
      </w:pPr>
      <w:r w:rsidRPr="008F7EE1">
        <w:rPr>
          <w:rFonts w:ascii="Arial" w:hAnsi="Arial" w:cs="Arial"/>
          <w:sz w:val="22"/>
          <w:szCs w:val="22"/>
        </w:rPr>
        <w:t>Quality control of the whole report</w:t>
      </w:r>
      <w:r>
        <w:rPr>
          <w:rStyle w:val="Rimandonotaapidipagina"/>
          <w:rFonts w:cs="Arial"/>
        </w:rPr>
        <w:footnoteReference w:id="1"/>
      </w:r>
    </w:p>
    <w:p w:rsidR="00043271" w:rsidRDefault="00043271" w:rsidP="00A574EB">
      <w:pPr>
        <w:jc w:val="center"/>
        <w:rPr>
          <w:rFonts w:ascii="Times New Roman" w:hAnsi="Times New Roman"/>
          <w:b/>
          <w:caps/>
          <w:color w:val="FFFFFF" w:themeColor="background1"/>
          <w:spacing w:val="20"/>
          <w:kern w:val="28"/>
          <w:sz w:val="28"/>
          <w:szCs w:val="28"/>
          <w:lang w:eastAsia="pl-PL"/>
        </w:rPr>
      </w:pPr>
    </w:p>
    <w:p w:rsidR="00043271" w:rsidRDefault="00043271" w:rsidP="00A574EB">
      <w:pPr>
        <w:jc w:val="center"/>
        <w:rPr>
          <w:rFonts w:ascii="Times New Roman" w:hAnsi="Times New Roman"/>
          <w:b/>
          <w:caps/>
          <w:color w:val="FFFFFF" w:themeColor="background1"/>
          <w:spacing w:val="20"/>
          <w:kern w:val="28"/>
          <w:sz w:val="28"/>
          <w:szCs w:val="28"/>
          <w:lang w:eastAsia="pl-PL"/>
        </w:rPr>
        <w:sectPr w:rsidR="00043271" w:rsidSect="00043271">
          <w:footerReference w:type="default" r:id="rId111"/>
          <w:pgSz w:w="11906" w:h="16838"/>
          <w:pgMar w:top="1417" w:right="1134" w:bottom="1134" w:left="1134" w:header="708" w:footer="708" w:gutter="0"/>
          <w:cols w:space="708"/>
          <w:docGrid w:linePitch="360"/>
        </w:sectPr>
      </w:pPr>
    </w:p>
    <w:p w:rsidR="00C468AA" w:rsidRPr="004A778B" w:rsidRDefault="003C2A8A" w:rsidP="00364492">
      <w:pPr>
        <w:pStyle w:val="Titolo1"/>
      </w:pPr>
      <w:bookmarkStart w:id="40" w:name="_Toc382998024"/>
      <w:r w:rsidRPr="004A778B">
        <w:lastRenderedPageBreak/>
        <w:t xml:space="preserve">Annex </w:t>
      </w:r>
      <w:r w:rsidR="00043271">
        <w:t>5</w:t>
      </w:r>
      <w:r w:rsidRPr="004A778B">
        <w:t xml:space="preserve">: </w:t>
      </w:r>
      <w:r w:rsidR="00364492">
        <w:t xml:space="preserve">DATA </w:t>
      </w:r>
      <w:r w:rsidRPr="004A778B">
        <w:t xml:space="preserve">evaluation </w:t>
      </w:r>
      <w:r w:rsidR="00364492">
        <w:t>GRID</w:t>
      </w:r>
      <w:bookmarkEnd w:id="40"/>
    </w:p>
    <w:p w:rsidR="002342FA" w:rsidRPr="004A778B" w:rsidRDefault="002342FA" w:rsidP="00364492">
      <w:pPr>
        <w:spacing w:before="0" w:after="0"/>
        <w:rPr>
          <w:rFonts w:asciiTheme="minorHAnsi" w:hAnsiTheme="minorHAnsi"/>
          <w:b/>
          <w:smallCaps/>
          <w:sz w:val="20"/>
          <w:szCs w:val="18"/>
          <w:lang w:val="fr-FR"/>
        </w:rPr>
      </w:pPr>
    </w:p>
    <w:tbl>
      <w:tblPr>
        <w:tblStyle w:val="Grigliatabella"/>
        <w:tblW w:w="5000" w:type="pct"/>
        <w:tblLayout w:type="fixed"/>
        <w:tblLook w:val="04A0"/>
      </w:tblPr>
      <w:tblGrid>
        <w:gridCol w:w="1441"/>
        <w:gridCol w:w="2140"/>
        <w:gridCol w:w="1874"/>
        <w:gridCol w:w="1204"/>
        <w:gridCol w:w="963"/>
        <w:gridCol w:w="1134"/>
        <w:gridCol w:w="850"/>
        <w:gridCol w:w="426"/>
        <w:gridCol w:w="708"/>
        <w:gridCol w:w="615"/>
        <w:gridCol w:w="801"/>
        <w:gridCol w:w="673"/>
        <w:gridCol w:w="934"/>
        <w:gridCol w:w="740"/>
      </w:tblGrid>
      <w:tr w:rsidR="00D14FD6" w:rsidRPr="00D620C9" w:rsidTr="00D14FD6">
        <w:trPr>
          <w:trHeight w:val="402"/>
          <w:tblHeader/>
        </w:trPr>
        <w:tc>
          <w:tcPr>
            <w:tcW w:w="497" w:type="pct"/>
            <w:vMerge w:val="restart"/>
            <w:shd w:val="clear" w:color="auto" w:fill="4F81BD" w:themeFill="accent1"/>
            <w:vAlign w:val="center"/>
          </w:tcPr>
          <w:p w:rsidR="00D14FD6" w:rsidRPr="00D620C9" w:rsidRDefault="00D14FD6" w:rsidP="000954E5">
            <w:pPr>
              <w:spacing w:before="0" w:after="0"/>
              <w:jc w:val="center"/>
              <w:rPr>
                <w:rFonts w:ascii="Arial Narrow" w:hAnsi="Arial Narrow" w:cs="Arial"/>
                <w:b/>
                <w:color w:val="FFFFFF" w:themeColor="background1"/>
                <w:sz w:val="20"/>
              </w:rPr>
            </w:pPr>
            <w:r w:rsidRPr="00D620C9">
              <w:rPr>
                <w:rFonts w:ascii="Arial Narrow" w:hAnsi="Arial Narrow" w:cs="Arial"/>
                <w:b/>
                <w:color w:val="FFFFFF" w:themeColor="background1"/>
                <w:sz w:val="20"/>
              </w:rPr>
              <w:t>EQ</w:t>
            </w:r>
          </w:p>
        </w:tc>
        <w:tc>
          <w:tcPr>
            <w:tcW w:w="738" w:type="pct"/>
            <w:vMerge w:val="restart"/>
            <w:shd w:val="clear" w:color="auto" w:fill="4F81BD" w:themeFill="accent1"/>
            <w:vAlign w:val="center"/>
          </w:tcPr>
          <w:p w:rsidR="00D14FD6" w:rsidRPr="00D620C9" w:rsidRDefault="00D14FD6" w:rsidP="000954E5">
            <w:pPr>
              <w:spacing w:before="0" w:after="0"/>
              <w:jc w:val="center"/>
              <w:rPr>
                <w:rFonts w:ascii="Arial Narrow" w:hAnsi="Arial Narrow" w:cs="Arial"/>
                <w:b/>
                <w:color w:val="FFFFFF" w:themeColor="background1"/>
                <w:sz w:val="20"/>
              </w:rPr>
            </w:pPr>
            <w:r w:rsidRPr="00D620C9">
              <w:rPr>
                <w:rFonts w:ascii="Arial Narrow" w:hAnsi="Arial Narrow" w:cs="Arial"/>
                <w:b/>
                <w:color w:val="FFFFFF" w:themeColor="background1"/>
                <w:sz w:val="20"/>
              </w:rPr>
              <w:t>Judgment Criteria</w:t>
            </w:r>
          </w:p>
        </w:tc>
        <w:tc>
          <w:tcPr>
            <w:tcW w:w="646" w:type="pct"/>
            <w:vMerge w:val="restart"/>
            <w:shd w:val="clear" w:color="auto" w:fill="4F81BD" w:themeFill="accent1"/>
            <w:vAlign w:val="center"/>
          </w:tcPr>
          <w:p w:rsidR="00D14FD6" w:rsidRPr="00D620C9" w:rsidRDefault="00D14FD6" w:rsidP="000954E5">
            <w:pPr>
              <w:pStyle w:val="Paragrafoelenco"/>
              <w:spacing w:before="0" w:after="0"/>
              <w:ind w:left="113"/>
              <w:jc w:val="center"/>
              <w:rPr>
                <w:rFonts w:ascii="Arial Narrow" w:hAnsi="Arial Narrow" w:cs="Arial"/>
                <w:b/>
                <w:color w:val="FFFFFF" w:themeColor="background1"/>
                <w:sz w:val="20"/>
              </w:rPr>
            </w:pPr>
            <w:r w:rsidRPr="00D620C9">
              <w:rPr>
                <w:rFonts w:ascii="Arial Narrow" w:hAnsi="Arial Narrow" w:cs="Arial"/>
                <w:b/>
                <w:color w:val="FFFFFF" w:themeColor="background1"/>
                <w:sz w:val="20"/>
              </w:rPr>
              <w:t>Indicators</w:t>
            </w:r>
          </w:p>
        </w:tc>
        <w:tc>
          <w:tcPr>
            <w:tcW w:w="3119" w:type="pct"/>
            <w:gridSpan w:val="11"/>
            <w:shd w:val="clear" w:color="auto" w:fill="4F81BD" w:themeFill="accent1"/>
          </w:tcPr>
          <w:p w:rsidR="00D14FD6" w:rsidRDefault="00D14FD6" w:rsidP="000954E5">
            <w:pPr>
              <w:pStyle w:val="Paragrafoelenco"/>
              <w:spacing w:before="0" w:after="0"/>
              <w:ind w:left="113"/>
              <w:jc w:val="center"/>
              <w:rPr>
                <w:rFonts w:ascii="Arial Narrow" w:hAnsi="Arial Narrow" w:cs="Arial"/>
                <w:b/>
                <w:color w:val="FFFFFF" w:themeColor="background1"/>
                <w:sz w:val="20"/>
              </w:rPr>
            </w:pPr>
            <w:r>
              <w:rPr>
                <w:rFonts w:ascii="Arial Narrow" w:hAnsi="Arial Narrow" w:cs="Arial"/>
                <w:b/>
                <w:color w:val="FFFFFF" w:themeColor="background1"/>
                <w:sz w:val="20"/>
              </w:rPr>
              <w:t>Source of information</w:t>
            </w:r>
          </w:p>
        </w:tc>
      </w:tr>
      <w:tr w:rsidR="00D14FD6" w:rsidRPr="00D620C9" w:rsidTr="00D14FD6">
        <w:trPr>
          <w:trHeight w:val="402"/>
          <w:tblHeader/>
        </w:trPr>
        <w:tc>
          <w:tcPr>
            <w:tcW w:w="497" w:type="pct"/>
            <w:vMerge/>
            <w:shd w:val="clear" w:color="auto" w:fill="4F81BD" w:themeFill="accent1"/>
            <w:vAlign w:val="center"/>
          </w:tcPr>
          <w:p w:rsidR="00D14FD6" w:rsidRPr="00D620C9" w:rsidRDefault="00D14FD6" w:rsidP="000954E5">
            <w:pPr>
              <w:spacing w:before="0" w:after="0"/>
              <w:jc w:val="left"/>
              <w:rPr>
                <w:rFonts w:ascii="Arial Narrow" w:hAnsi="Arial Narrow" w:cs="Arial"/>
                <w:b/>
                <w:color w:val="FFFFFF" w:themeColor="background1"/>
                <w:sz w:val="20"/>
              </w:rPr>
            </w:pPr>
          </w:p>
        </w:tc>
        <w:tc>
          <w:tcPr>
            <w:tcW w:w="738" w:type="pct"/>
            <w:vMerge/>
            <w:shd w:val="clear" w:color="auto" w:fill="4F81BD" w:themeFill="accent1"/>
            <w:vAlign w:val="center"/>
          </w:tcPr>
          <w:p w:rsidR="00D14FD6" w:rsidRPr="00D620C9" w:rsidRDefault="00D14FD6" w:rsidP="000954E5">
            <w:pPr>
              <w:spacing w:before="0" w:after="0"/>
              <w:jc w:val="left"/>
              <w:rPr>
                <w:rFonts w:ascii="Arial Narrow" w:hAnsi="Arial Narrow" w:cs="Arial"/>
                <w:b/>
                <w:color w:val="FFFFFF" w:themeColor="background1"/>
                <w:sz w:val="20"/>
              </w:rPr>
            </w:pPr>
          </w:p>
        </w:tc>
        <w:tc>
          <w:tcPr>
            <w:tcW w:w="646" w:type="pct"/>
            <w:vMerge/>
            <w:shd w:val="clear" w:color="auto" w:fill="4F81BD" w:themeFill="accent1"/>
            <w:vAlign w:val="center"/>
          </w:tcPr>
          <w:p w:rsidR="00D14FD6" w:rsidRPr="00D620C9" w:rsidRDefault="00D14FD6" w:rsidP="000954E5">
            <w:pPr>
              <w:pStyle w:val="Paragrafoelenco"/>
              <w:spacing w:before="0" w:after="0"/>
              <w:ind w:left="113"/>
              <w:jc w:val="left"/>
              <w:rPr>
                <w:rFonts w:ascii="Arial Narrow" w:hAnsi="Arial Narrow" w:cs="Arial"/>
                <w:b/>
                <w:color w:val="FFFFFF" w:themeColor="background1"/>
                <w:sz w:val="20"/>
              </w:rPr>
            </w:pPr>
          </w:p>
        </w:tc>
        <w:tc>
          <w:tcPr>
            <w:tcW w:w="415" w:type="pct"/>
            <w:vMerge w:val="restart"/>
            <w:shd w:val="clear" w:color="auto" w:fill="4F81BD" w:themeFill="accent1"/>
          </w:tcPr>
          <w:p w:rsidR="00D14FD6" w:rsidRPr="00D14FD6" w:rsidRDefault="00D14FD6" w:rsidP="000954E5">
            <w:pPr>
              <w:pStyle w:val="Paragrafoelenco"/>
              <w:spacing w:before="0" w:after="0"/>
              <w:ind w:left="113"/>
              <w:jc w:val="center"/>
              <w:rPr>
                <w:rFonts w:ascii="Arial Narrow" w:hAnsi="Arial Narrow" w:cs="Arial"/>
                <w:b/>
                <w:color w:val="FFFFFF" w:themeColor="background1"/>
                <w:sz w:val="18"/>
                <w:szCs w:val="18"/>
              </w:rPr>
            </w:pPr>
            <w:r w:rsidRPr="00D14FD6">
              <w:rPr>
                <w:rFonts w:ascii="Arial Narrow" w:hAnsi="Arial Narrow" w:cs="Arial"/>
                <w:b/>
                <w:color w:val="FFFFFF" w:themeColor="background1"/>
                <w:sz w:val="18"/>
                <w:szCs w:val="18"/>
              </w:rPr>
              <w:t>Documentary review</w:t>
            </w:r>
          </w:p>
        </w:tc>
        <w:tc>
          <w:tcPr>
            <w:tcW w:w="1619" w:type="pct"/>
            <w:gridSpan w:val="6"/>
            <w:shd w:val="clear" w:color="auto" w:fill="4F81BD" w:themeFill="accent1"/>
          </w:tcPr>
          <w:p w:rsidR="00D14FD6" w:rsidRPr="00D14FD6" w:rsidRDefault="00D14FD6" w:rsidP="000954E5">
            <w:pPr>
              <w:pStyle w:val="Paragrafoelenco"/>
              <w:spacing w:before="0" w:after="0"/>
              <w:ind w:left="113"/>
              <w:jc w:val="center"/>
              <w:rPr>
                <w:rFonts w:ascii="Arial Narrow" w:hAnsi="Arial Narrow" w:cs="Arial"/>
                <w:b/>
                <w:color w:val="FFFFFF" w:themeColor="background1"/>
                <w:sz w:val="18"/>
                <w:szCs w:val="18"/>
              </w:rPr>
            </w:pPr>
            <w:r w:rsidRPr="00D14FD6">
              <w:rPr>
                <w:rFonts w:ascii="Arial Narrow" w:hAnsi="Arial Narrow" w:cs="Arial"/>
                <w:b/>
                <w:color w:val="FFFFFF" w:themeColor="background1"/>
                <w:sz w:val="18"/>
                <w:szCs w:val="18"/>
              </w:rPr>
              <w:t>Interviews</w:t>
            </w:r>
          </w:p>
        </w:tc>
        <w:tc>
          <w:tcPr>
            <w:tcW w:w="276" w:type="pct"/>
            <w:vMerge w:val="restart"/>
            <w:shd w:val="clear" w:color="auto" w:fill="4F81BD" w:themeFill="accent1"/>
          </w:tcPr>
          <w:p w:rsidR="00D14FD6" w:rsidRPr="00D14FD6" w:rsidRDefault="00D14FD6" w:rsidP="000954E5">
            <w:pPr>
              <w:pStyle w:val="Paragrafoelenco"/>
              <w:spacing w:before="0" w:after="0"/>
              <w:ind w:left="113"/>
              <w:jc w:val="center"/>
              <w:rPr>
                <w:rFonts w:ascii="Arial Narrow" w:hAnsi="Arial Narrow" w:cs="Arial"/>
                <w:b/>
                <w:color w:val="FFFFFF" w:themeColor="background1"/>
                <w:sz w:val="18"/>
                <w:szCs w:val="18"/>
              </w:rPr>
            </w:pPr>
            <w:r w:rsidRPr="00D14FD6">
              <w:rPr>
                <w:rFonts w:ascii="Arial Narrow" w:hAnsi="Arial Narrow" w:cs="Arial"/>
                <w:b/>
                <w:color w:val="FFFFFF" w:themeColor="background1"/>
                <w:sz w:val="18"/>
                <w:szCs w:val="18"/>
              </w:rPr>
              <w:t>Focus Groups</w:t>
            </w:r>
          </w:p>
        </w:tc>
        <w:tc>
          <w:tcPr>
            <w:tcW w:w="232" w:type="pct"/>
            <w:vMerge w:val="restart"/>
            <w:shd w:val="clear" w:color="auto" w:fill="4F81BD" w:themeFill="accent1"/>
          </w:tcPr>
          <w:p w:rsidR="00D14FD6" w:rsidRPr="00D14FD6" w:rsidRDefault="00D14FD6" w:rsidP="000954E5">
            <w:pPr>
              <w:pStyle w:val="Paragrafoelenco"/>
              <w:spacing w:before="0" w:after="0"/>
              <w:ind w:left="113"/>
              <w:jc w:val="center"/>
              <w:rPr>
                <w:rFonts w:ascii="Arial Narrow" w:hAnsi="Arial Narrow" w:cs="Arial"/>
                <w:b/>
                <w:color w:val="FFFFFF" w:themeColor="background1"/>
                <w:sz w:val="18"/>
                <w:szCs w:val="18"/>
              </w:rPr>
            </w:pPr>
            <w:r w:rsidRPr="00D14FD6">
              <w:rPr>
                <w:rFonts w:ascii="Arial Narrow" w:hAnsi="Arial Narrow" w:cs="Arial"/>
                <w:b/>
                <w:color w:val="FFFFFF" w:themeColor="background1"/>
                <w:sz w:val="18"/>
                <w:szCs w:val="18"/>
              </w:rPr>
              <w:t>ROM analysis</w:t>
            </w:r>
          </w:p>
        </w:tc>
        <w:tc>
          <w:tcPr>
            <w:tcW w:w="322" w:type="pct"/>
            <w:vMerge w:val="restart"/>
            <w:shd w:val="clear" w:color="auto" w:fill="4F81BD" w:themeFill="accent1"/>
          </w:tcPr>
          <w:p w:rsidR="00D14FD6" w:rsidRPr="00D14FD6" w:rsidRDefault="00D14FD6" w:rsidP="000954E5">
            <w:pPr>
              <w:pStyle w:val="Paragrafoelenco"/>
              <w:spacing w:before="0" w:after="0"/>
              <w:ind w:left="113"/>
              <w:jc w:val="center"/>
              <w:rPr>
                <w:rFonts w:ascii="Arial Narrow" w:hAnsi="Arial Narrow" w:cs="Arial"/>
                <w:b/>
                <w:color w:val="FFFFFF" w:themeColor="background1"/>
                <w:sz w:val="18"/>
                <w:szCs w:val="18"/>
              </w:rPr>
            </w:pPr>
            <w:r w:rsidRPr="00D14FD6">
              <w:rPr>
                <w:rFonts w:ascii="Arial Narrow" w:hAnsi="Arial Narrow" w:cs="Arial"/>
                <w:b/>
                <w:color w:val="FFFFFF" w:themeColor="background1"/>
                <w:sz w:val="18"/>
                <w:szCs w:val="18"/>
              </w:rPr>
              <w:t>Inventory analysis</w:t>
            </w:r>
          </w:p>
        </w:tc>
        <w:tc>
          <w:tcPr>
            <w:tcW w:w="255" w:type="pct"/>
            <w:vMerge w:val="restart"/>
            <w:shd w:val="clear" w:color="auto" w:fill="4F81BD" w:themeFill="accent1"/>
          </w:tcPr>
          <w:p w:rsidR="00D14FD6" w:rsidRPr="00D14FD6" w:rsidRDefault="00D14FD6" w:rsidP="000954E5">
            <w:pPr>
              <w:pStyle w:val="Paragrafoelenco"/>
              <w:spacing w:before="0" w:after="0"/>
              <w:ind w:left="113"/>
              <w:jc w:val="center"/>
              <w:rPr>
                <w:rFonts w:ascii="Arial Narrow" w:hAnsi="Arial Narrow" w:cs="Arial"/>
                <w:b/>
                <w:color w:val="FFFFFF" w:themeColor="background1"/>
                <w:sz w:val="18"/>
                <w:szCs w:val="18"/>
              </w:rPr>
            </w:pPr>
            <w:r w:rsidRPr="00D14FD6">
              <w:rPr>
                <w:rFonts w:ascii="Arial Narrow" w:hAnsi="Arial Narrow" w:cs="Arial"/>
                <w:b/>
                <w:color w:val="FFFFFF" w:themeColor="background1"/>
                <w:sz w:val="18"/>
                <w:szCs w:val="18"/>
              </w:rPr>
              <w:t>Site visit</w:t>
            </w:r>
          </w:p>
        </w:tc>
      </w:tr>
      <w:tr w:rsidR="00D14FD6" w:rsidRPr="00D620C9" w:rsidTr="00D14FD6">
        <w:trPr>
          <w:trHeight w:val="402"/>
          <w:tblHeader/>
        </w:trPr>
        <w:tc>
          <w:tcPr>
            <w:tcW w:w="497" w:type="pct"/>
            <w:vMerge/>
            <w:shd w:val="clear" w:color="auto" w:fill="4F81BD" w:themeFill="accent1"/>
            <w:vAlign w:val="center"/>
          </w:tcPr>
          <w:p w:rsidR="00D14FD6" w:rsidRPr="00D620C9" w:rsidRDefault="00D14FD6" w:rsidP="000954E5">
            <w:pPr>
              <w:spacing w:before="0" w:after="0"/>
              <w:jc w:val="left"/>
              <w:rPr>
                <w:rFonts w:ascii="Arial Narrow" w:hAnsi="Arial Narrow" w:cs="Arial"/>
                <w:b/>
                <w:color w:val="FFFFFF" w:themeColor="background1"/>
                <w:sz w:val="20"/>
              </w:rPr>
            </w:pPr>
          </w:p>
        </w:tc>
        <w:tc>
          <w:tcPr>
            <w:tcW w:w="738" w:type="pct"/>
            <w:vMerge/>
            <w:shd w:val="clear" w:color="auto" w:fill="4F81BD" w:themeFill="accent1"/>
            <w:vAlign w:val="center"/>
          </w:tcPr>
          <w:p w:rsidR="00D14FD6" w:rsidRPr="00D620C9" w:rsidRDefault="00D14FD6" w:rsidP="000954E5">
            <w:pPr>
              <w:spacing w:before="0" w:after="0"/>
              <w:jc w:val="left"/>
              <w:rPr>
                <w:rFonts w:ascii="Arial Narrow" w:hAnsi="Arial Narrow" w:cs="Arial"/>
                <w:b/>
                <w:color w:val="FFFFFF" w:themeColor="background1"/>
                <w:sz w:val="20"/>
              </w:rPr>
            </w:pPr>
          </w:p>
        </w:tc>
        <w:tc>
          <w:tcPr>
            <w:tcW w:w="646" w:type="pct"/>
            <w:vMerge/>
            <w:shd w:val="clear" w:color="auto" w:fill="4F81BD" w:themeFill="accent1"/>
            <w:vAlign w:val="center"/>
          </w:tcPr>
          <w:p w:rsidR="00D14FD6" w:rsidRPr="00D620C9" w:rsidRDefault="00D14FD6" w:rsidP="000954E5">
            <w:pPr>
              <w:pStyle w:val="Paragrafoelenco"/>
              <w:spacing w:before="0" w:after="0"/>
              <w:ind w:left="113"/>
              <w:jc w:val="left"/>
              <w:rPr>
                <w:rFonts w:ascii="Arial Narrow" w:hAnsi="Arial Narrow" w:cs="Arial"/>
                <w:b/>
                <w:color w:val="FFFFFF" w:themeColor="background1"/>
                <w:sz w:val="20"/>
              </w:rPr>
            </w:pPr>
          </w:p>
        </w:tc>
        <w:tc>
          <w:tcPr>
            <w:tcW w:w="415" w:type="pct"/>
            <w:vMerge/>
            <w:shd w:val="clear" w:color="auto" w:fill="4F81BD" w:themeFill="accent1"/>
          </w:tcPr>
          <w:p w:rsidR="00D14FD6" w:rsidRDefault="00D14FD6" w:rsidP="000954E5">
            <w:pPr>
              <w:pStyle w:val="Paragrafoelenco"/>
              <w:spacing w:before="0" w:after="0"/>
              <w:ind w:left="113"/>
              <w:jc w:val="left"/>
              <w:rPr>
                <w:rFonts w:ascii="Arial Narrow" w:hAnsi="Arial Narrow" w:cs="Arial"/>
                <w:b/>
                <w:color w:val="FFFFFF" w:themeColor="background1"/>
                <w:sz w:val="20"/>
              </w:rPr>
            </w:pPr>
          </w:p>
        </w:tc>
        <w:tc>
          <w:tcPr>
            <w:tcW w:w="332" w:type="pct"/>
            <w:shd w:val="clear" w:color="auto" w:fill="DBE5F1" w:themeFill="accent1" w:themeFillTint="33"/>
            <w:vAlign w:val="center"/>
          </w:tcPr>
          <w:p w:rsidR="00D14FD6" w:rsidRPr="006C58DF" w:rsidRDefault="00D14FD6" w:rsidP="00D14FD6">
            <w:pPr>
              <w:pStyle w:val="Paragrafoelenco"/>
              <w:spacing w:before="0" w:after="0"/>
              <w:ind w:left="0"/>
              <w:jc w:val="center"/>
              <w:rPr>
                <w:rFonts w:ascii="Arial Narrow" w:hAnsi="Arial Narrow" w:cs="Arial"/>
                <w:b/>
                <w:color w:val="1F497D" w:themeColor="text2"/>
                <w:sz w:val="16"/>
                <w:szCs w:val="16"/>
              </w:rPr>
            </w:pPr>
            <w:r w:rsidRPr="006C58DF">
              <w:rPr>
                <w:rFonts w:ascii="Arial Narrow" w:hAnsi="Arial Narrow" w:cs="Arial"/>
                <w:b/>
                <w:color w:val="1F497D" w:themeColor="text2"/>
                <w:sz w:val="16"/>
                <w:szCs w:val="16"/>
              </w:rPr>
              <w:t xml:space="preserve">EU Staff in </w:t>
            </w:r>
            <w:proofErr w:type="spellStart"/>
            <w:r w:rsidRPr="006C58DF">
              <w:rPr>
                <w:rFonts w:ascii="Arial Narrow" w:hAnsi="Arial Narrow" w:cs="Arial"/>
                <w:b/>
                <w:color w:val="1F497D" w:themeColor="text2"/>
                <w:sz w:val="16"/>
                <w:szCs w:val="16"/>
              </w:rPr>
              <w:t>Bruxelles</w:t>
            </w:r>
            <w:proofErr w:type="spellEnd"/>
          </w:p>
        </w:tc>
        <w:tc>
          <w:tcPr>
            <w:tcW w:w="391" w:type="pct"/>
            <w:shd w:val="clear" w:color="auto" w:fill="DBE5F1" w:themeFill="accent1" w:themeFillTint="33"/>
            <w:vAlign w:val="center"/>
          </w:tcPr>
          <w:p w:rsidR="00D14FD6" w:rsidRPr="006C58DF" w:rsidRDefault="00D14FD6" w:rsidP="00D14FD6">
            <w:pPr>
              <w:pStyle w:val="Paragrafoelenco"/>
              <w:spacing w:before="0" w:after="0"/>
              <w:ind w:left="0"/>
              <w:jc w:val="center"/>
              <w:rPr>
                <w:rFonts w:ascii="Arial Narrow" w:hAnsi="Arial Narrow" w:cs="Arial"/>
                <w:b/>
                <w:color w:val="1F497D" w:themeColor="text2"/>
                <w:sz w:val="16"/>
                <w:szCs w:val="16"/>
              </w:rPr>
            </w:pPr>
            <w:r>
              <w:rPr>
                <w:rFonts w:ascii="Arial Narrow" w:hAnsi="Arial Narrow" w:cs="Arial"/>
                <w:b/>
                <w:color w:val="1F497D" w:themeColor="text2"/>
                <w:sz w:val="16"/>
                <w:szCs w:val="16"/>
              </w:rPr>
              <w:t>WB staff in Washington</w:t>
            </w:r>
          </w:p>
        </w:tc>
        <w:tc>
          <w:tcPr>
            <w:tcW w:w="293" w:type="pct"/>
            <w:shd w:val="clear" w:color="auto" w:fill="DBE5F1" w:themeFill="accent1" w:themeFillTint="33"/>
            <w:vAlign w:val="center"/>
          </w:tcPr>
          <w:p w:rsidR="00D14FD6" w:rsidRPr="006C58DF" w:rsidRDefault="00D14FD6" w:rsidP="00D14FD6">
            <w:pPr>
              <w:pStyle w:val="Paragrafoelenco"/>
              <w:spacing w:before="0" w:after="0"/>
              <w:ind w:left="0"/>
              <w:jc w:val="center"/>
              <w:rPr>
                <w:rFonts w:ascii="Arial Narrow" w:hAnsi="Arial Narrow" w:cs="Arial"/>
                <w:b/>
                <w:color w:val="1F497D" w:themeColor="text2"/>
                <w:sz w:val="16"/>
                <w:szCs w:val="16"/>
              </w:rPr>
            </w:pPr>
            <w:r w:rsidRPr="006C58DF">
              <w:rPr>
                <w:rFonts w:ascii="Arial Narrow" w:hAnsi="Arial Narrow" w:cs="Arial"/>
                <w:b/>
                <w:color w:val="1F497D" w:themeColor="text2"/>
                <w:sz w:val="16"/>
                <w:szCs w:val="16"/>
              </w:rPr>
              <w:t>EUREP</w:t>
            </w:r>
          </w:p>
        </w:tc>
        <w:tc>
          <w:tcPr>
            <w:tcW w:w="147" w:type="pct"/>
            <w:shd w:val="clear" w:color="auto" w:fill="DBE5F1" w:themeFill="accent1" w:themeFillTint="33"/>
            <w:vAlign w:val="center"/>
          </w:tcPr>
          <w:p w:rsidR="00D14FD6" w:rsidRPr="006C58DF" w:rsidRDefault="00D14FD6" w:rsidP="00D14FD6">
            <w:pPr>
              <w:pStyle w:val="Paragrafoelenco"/>
              <w:spacing w:before="0" w:after="0"/>
              <w:ind w:left="0"/>
              <w:jc w:val="center"/>
              <w:rPr>
                <w:rFonts w:ascii="Arial Narrow" w:hAnsi="Arial Narrow" w:cs="Arial"/>
                <w:b/>
                <w:color w:val="1F497D" w:themeColor="text2"/>
                <w:sz w:val="16"/>
                <w:szCs w:val="16"/>
              </w:rPr>
            </w:pPr>
            <w:r w:rsidRPr="006C58DF">
              <w:rPr>
                <w:rFonts w:ascii="Arial Narrow" w:hAnsi="Arial Narrow" w:cs="Arial"/>
                <w:b/>
                <w:color w:val="1F497D" w:themeColor="text2"/>
                <w:sz w:val="16"/>
                <w:szCs w:val="16"/>
              </w:rPr>
              <w:t>PA</w:t>
            </w:r>
          </w:p>
        </w:tc>
        <w:tc>
          <w:tcPr>
            <w:tcW w:w="244" w:type="pct"/>
            <w:shd w:val="clear" w:color="auto" w:fill="DBE5F1" w:themeFill="accent1" w:themeFillTint="33"/>
            <w:vAlign w:val="center"/>
          </w:tcPr>
          <w:p w:rsidR="00D14FD6" w:rsidRPr="006C58DF" w:rsidRDefault="00D14FD6" w:rsidP="00D14FD6">
            <w:pPr>
              <w:pStyle w:val="Paragrafoelenco"/>
              <w:spacing w:before="0" w:after="0"/>
              <w:ind w:left="0"/>
              <w:jc w:val="center"/>
              <w:rPr>
                <w:rFonts w:ascii="Arial Narrow" w:hAnsi="Arial Narrow" w:cs="Arial"/>
                <w:b/>
                <w:color w:val="1F497D" w:themeColor="text2"/>
                <w:sz w:val="16"/>
                <w:szCs w:val="16"/>
              </w:rPr>
            </w:pPr>
            <w:r w:rsidRPr="006C58DF">
              <w:rPr>
                <w:rFonts w:ascii="Arial Narrow" w:hAnsi="Arial Narrow" w:cs="Arial"/>
                <w:b/>
                <w:color w:val="1F497D" w:themeColor="text2"/>
                <w:sz w:val="16"/>
                <w:szCs w:val="16"/>
              </w:rPr>
              <w:t>NGO</w:t>
            </w:r>
          </w:p>
        </w:tc>
        <w:tc>
          <w:tcPr>
            <w:tcW w:w="212" w:type="pct"/>
            <w:shd w:val="clear" w:color="auto" w:fill="DBE5F1" w:themeFill="accent1" w:themeFillTint="33"/>
            <w:vAlign w:val="center"/>
          </w:tcPr>
          <w:p w:rsidR="00D14FD6" w:rsidRPr="006C58DF" w:rsidRDefault="00D14FD6" w:rsidP="00D14FD6">
            <w:pPr>
              <w:pStyle w:val="Paragrafoelenco"/>
              <w:spacing w:before="0" w:after="0"/>
              <w:ind w:left="0"/>
              <w:jc w:val="center"/>
              <w:rPr>
                <w:rFonts w:ascii="Arial Narrow" w:hAnsi="Arial Narrow" w:cs="Arial"/>
                <w:b/>
                <w:color w:val="1F497D" w:themeColor="text2"/>
                <w:sz w:val="16"/>
                <w:szCs w:val="16"/>
              </w:rPr>
            </w:pPr>
            <w:r w:rsidRPr="006C58DF">
              <w:rPr>
                <w:rFonts w:ascii="Arial Narrow" w:hAnsi="Arial Narrow" w:cs="Arial"/>
                <w:b/>
                <w:color w:val="1F497D" w:themeColor="text2"/>
                <w:sz w:val="16"/>
                <w:szCs w:val="16"/>
              </w:rPr>
              <w:t>Other Donors</w:t>
            </w:r>
          </w:p>
        </w:tc>
        <w:tc>
          <w:tcPr>
            <w:tcW w:w="276" w:type="pct"/>
            <w:vMerge/>
            <w:shd w:val="clear" w:color="auto" w:fill="4F81BD" w:themeFill="accent1"/>
          </w:tcPr>
          <w:p w:rsidR="00D14FD6" w:rsidRPr="00D620C9" w:rsidRDefault="00D14FD6" w:rsidP="000954E5">
            <w:pPr>
              <w:pStyle w:val="Paragrafoelenco"/>
              <w:spacing w:before="0" w:after="0"/>
              <w:ind w:left="113"/>
              <w:jc w:val="left"/>
              <w:rPr>
                <w:rFonts w:ascii="Arial Narrow" w:hAnsi="Arial Narrow" w:cs="Arial"/>
                <w:b/>
                <w:color w:val="FFFFFF" w:themeColor="background1"/>
                <w:sz w:val="20"/>
              </w:rPr>
            </w:pPr>
          </w:p>
        </w:tc>
        <w:tc>
          <w:tcPr>
            <w:tcW w:w="232" w:type="pct"/>
            <w:vMerge/>
            <w:shd w:val="clear" w:color="auto" w:fill="4F81BD" w:themeFill="accent1"/>
          </w:tcPr>
          <w:p w:rsidR="00D14FD6" w:rsidRPr="00D620C9" w:rsidRDefault="00D14FD6" w:rsidP="000954E5">
            <w:pPr>
              <w:pStyle w:val="Paragrafoelenco"/>
              <w:spacing w:before="0" w:after="0"/>
              <w:ind w:left="113"/>
              <w:jc w:val="left"/>
              <w:rPr>
                <w:rFonts w:ascii="Arial Narrow" w:hAnsi="Arial Narrow" w:cs="Arial"/>
                <w:b/>
                <w:color w:val="FFFFFF" w:themeColor="background1"/>
                <w:sz w:val="20"/>
              </w:rPr>
            </w:pPr>
          </w:p>
        </w:tc>
        <w:tc>
          <w:tcPr>
            <w:tcW w:w="322" w:type="pct"/>
            <w:vMerge/>
            <w:shd w:val="clear" w:color="auto" w:fill="4F81BD" w:themeFill="accent1"/>
          </w:tcPr>
          <w:p w:rsidR="00D14FD6" w:rsidRPr="00D620C9" w:rsidRDefault="00D14FD6" w:rsidP="000954E5">
            <w:pPr>
              <w:pStyle w:val="Paragrafoelenco"/>
              <w:spacing w:before="0" w:after="0"/>
              <w:ind w:left="113"/>
              <w:jc w:val="left"/>
              <w:rPr>
                <w:rFonts w:ascii="Arial Narrow" w:hAnsi="Arial Narrow" w:cs="Arial"/>
                <w:b/>
                <w:color w:val="FFFFFF" w:themeColor="background1"/>
                <w:sz w:val="20"/>
              </w:rPr>
            </w:pPr>
          </w:p>
        </w:tc>
        <w:tc>
          <w:tcPr>
            <w:tcW w:w="255" w:type="pct"/>
            <w:vMerge/>
            <w:shd w:val="clear" w:color="auto" w:fill="4F81BD" w:themeFill="accent1"/>
          </w:tcPr>
          <w:p w:rsidR="00D14FD6" w:rsidRPr="00D620C9" w:rsidRDefault="00D14FD6" w:rsidP="000954E5">
            <w:pPr>
              <w:pStyle w:val="Paragrafoelenco"/>
              <w:spacing w:before="0" w:after="0"/>
              <w:ind w:left="113"/>
              <w:jc w:val="left"/>
              <w:rPr>
                <w:rFonts w:ascii="Arial Narrow" w:hAnsi="Arial Narrow" w:cs="Arial"/>
                <w:b/>
                <w:color w:val="FFFFFF" w:themeColor="background1"/>
                <w:sz w:val="20"/>
              </w:rPr>
            </w:pPr>
          </w:p>
        </w:tc>
      </w:tr>
      <w:tr w:rsidR="00D14FD6" w:rsidRPr="00D620C9" w:rsidTr="00D14FD6">
        <w:trPr>
          <w:trHeight w:val="1280"/>
        </w:trPr>
        <w:tc>
          <w:tcPr>
            <w:tcW w:w="497" w:type="pct"/>
            <w:vMerge w:val="restart"/>
            <w:shd w:val="clear" w:color="auto" w:fill="DBE5F1" w:themeFill="accent1" w:themeFillTint="33"/>
            <w:vAlign w:val="center"/>
          </w:tcPr>
          <w:p w:rsidR="00D14FD6" w:rsidRPr="00D620C9" w:rsidRDefault="00D14FD6" w:rsidP="000954E5">
            <w:pPr>
              <w:spacing w:before="0" w:after="0"/>
              <w:jc w:val="left"/>
              <w:rPr>
                <w:rFonts w:ascii="Arial Narrow" w:hAnsi="Arial Narrow" w:cs="Arial"/>
                <w:b/>
                <w:sz w:val="20"/>
              </w:rPr>
            </w:pPr>
            <w:r w:rsidRPr="00D620C9">
              <w:rPr>
                <w:rFonts w:ascii="Arial Narrow" w:hAnsi="Arial Narrow" w:cs="Arial"/>
                <w:b/>
                <w:sz w:val="20"/>
              </w:rPr>
              <w:t xml:space="preserve">EQ 1 POLITICAL COHERENCE IN RELATIONS WITH PALESTINE; </w:t>
            </w:r>
          </w:p>
          <w:p w:rsidR="00D14FD6" w:rsidRPr="00D620C9" w:rsidRDefault="00D14FD6" w:rsidP="000954E5">
            <w:pPr>
              <w:spacing w:before="0" w:after="0"/>
              <w:jc w:val="left"/>
              <w:rPr>
                <w:rFonts w:ascii="Arial Narrow" w:hAnsi="Arial Narrow" w:cs="Arial"/>
                <w:b/>
                <w:sz w:val="20"/>
              </w:rPr>
            </w:pPr>
          </w:p>
          <w:p w:rsidR="00D14FD6" w:rsidRPr="00D620C9" w:rsidRDefault="00D14FD6" w:rsidP="000954E5">
            <w:pPr>
              <w:spacing w:before="0" w:after="0"/>
              <w:jc w:val="left"/>
              <w:rPr>
                <w:rFonts w:ascii="Arial Narrow" w:hAnsi="Arial Narrow" w:cs="Arial"/>
                <w:sz w:val="20"/>
              </w:rPr>
            </w:pPr>
            <w:r w:rsidRPr="00D620C9">
              <w:rPr>
                <w:rFonts w:ascii="Arial Narrow" w:hAnsi="Arial Narrow" w:cs="Arial"/>
                <w:sz w:val="20"/>
              </w:rPr>
              <w:t xml:space="preserve">To what extent and how has the EU developed and implemented a coherent political strategy to underpin its relations with the Palestinian Authority and foster its core objectives (i.e., the two-state solution and the establishment of an independent, democratic and viable Palestinian state?  </w:t>
            </w:r>
          </w:p>
        </w:tc>
        <w:tc>
          <w:tcPr>
            <w:tcW w:w="738" w:type="pct"/>
            <w:shd w:val="clear" w:color="auto" w:fill="DBE5F1" w:themeFill="accent1" w:themeFillTint="33"/>
            <w:vAlign w:val="center"/>
          </w:tcPr>
          <w:p w:rsidR="00D14FD6" w:rsidRPr="00D620C9" w:rsidRDefault="00D14FD6" w:rsidP="000954E5">
            <w:pPr>
              <w:spacing w:before="0" w:after="0"/>
              <w:jc w:val="left"/>
              <w:rPr>
                <w:rFonts w:ascii="Arial Narrow" w:hAnsi="Arial Narrow" w:cs="Arial"/>
                <w:sz w:val="20"/>
              </w:rPr>
            </w:pPr>
            <w:r w:rsidRPr="00D620C9">
              <w:rPr>
                <w:rFonts w:ascii="Arial Narrow" w:hAnsi="Arial Narrow" w:cs="Arial"/>
                <w:b/>
                <w:sz w:val="20"/>
              </w:rPr>
              <w:t>JC1</w:t>
            </w:r>
            <w:r w:rsidRPr="00D620C9">
              <w:rPr>
                <w:rFonts w:ascii="Arial Narrow" w:hAnsi="Arial Narrow" w:cs="Arial"/>
                <w:sz w:val="20"/>
              </w:rPr>
              <w:t>. The EU has elaborated and implemented a clear and coherent external action strategy towards the PA that has the effective support of Member States;</w:t>
            </w:r>
          </w:p>
        </w:tc>
        <w:tc>
          <w:tcPr>
            <w:tcW w:w="646" w:type="pct"/>
            <w:shd w:val="clear" w:color="auto" w:fill="DBE5F1" w:themeFill="accent1" w:themeFillTint="33"/>
            <w:vAlign w:val="center"/>
          </w:tcPr>
          <w:p w:rsidR="00D14FD6" w:rsidRPr="00D620C9" w:rsidRDefault="00D14FD6" w:rsidP="00B54C8F">
            <w:pPr>
              <w:pStyle w:val="Paragrafoelenco"/>
              <w:numPr>
                <w:ilvl w:val="0"/>
                <w:numId w:val="62"/>
              </w:numPr>
              <w:spacing w:before="0" w:after="0"/>
              <w:jc w:val="left"/>
              <w:rPr>
                <w:rFonts w:ascii="Arial Narrow" w:hAnsi="Arial Narrow" w:cs="Arial"/>
                <w:sz w:val="20"/>
              </w:rPr>
            </w:pPr>
            <w:r w:rsidRPr="00D620C9">
              <w:rPr>
                <w:rFonts w:ascii="Arial Narrow" w:hAnsi="Arial Narrow" w:cs="Arial"/>
                <w:sz w:val="20"/>
              </w:rPr>
              <w:t>Strategy in place;</w:t>
            </w:r>
          </w:p>
          <w:p w:rsidR="00D14FD6" w:rsidRPr="00D620C9" w:rsidRDefault="00D14FD6" w:rsidP="00B54C8F">
            <w:pPr>
              <w:pStyle w:val="Paragrafoelenco"/>
              <w:numPr>
                <w:ilvl w:val="0"/>
                <w:numId w:val="62"/>
              </w:numPr>
              <w:spacing w:before="0" w:after="0"/>
              <w:jc w:val="left"/>
              <w:rPr>
                <w:rFonts w:ascii="Arial Narrow" w:hAnsi="Arial Narrow" w:cs="Arial"/>
                <w:sz w:val="20"/>
              </w:rPr>
            </w:pPr>
            <w:r w:rsidRPr="00D620C9">
              <w:rPr>
                <w:rFonts w:ascii="Arial Narrow" w:hAnsi="Arial Narrow" w:cs="Arial"/>
                <w:sz w:val="20"/>
              </w:rPr>
              <w:t>Clear, comprehensive and coherent definition of strategy;</w:t>
            </w:r>
          </w:p>
          <w:p w:rsidR="00D14FD6" w:rsidRPr="00D620C9" w:rsidRDefault="00D14FD6" w:rsidP="00B54C8F">
            <w:pPr>
              <w:pStyle w:val="Paragrafoelenco"/>
              <w:numPr>
                <w:ilvl w:val="0"/>
                <w:numId w:val="62"/>
              </w:numPr>
              <w:spacing w:before="0" w:after="0"/>
              <w:jc w:val="left"/>
              <w:rPr>
                <w:rFonts w:ascii="Arial Narrow" w:hAnsi="Arial Narrow" w:cs="Arial"/>
                <w:sz w:val="20"/>
              </w:rPr>
            </w:pPr>
            <w:r w:rsidRPr="00D620C9">
              <w:rPr>
                <w:rFonts w:ascii="Arial Narrow" w:hAnsi="Arial Narrow" w:cs="Arial"/>
                <w:sz w:val="20"/>
              </w:rPr>
              <w:t>MS support to strategy;</w:t>
            </w:r>
          </w:p>
        </w:tc>
        <w:tc>
          <w:tcPr>
            <w:tcW w:w="415" w:type="pct"/>
            <w:vAlign w:val="center"/>
          </w:tcPr>
          <w:p w:rsidR="00D14FD6" w:rsidRPr="00D620C9" w:rsidRDefault="00D14FD6" w:rsidP="00D14FD6">
            <w:pPr>
              <w:pStyle w:val="Paragrafoelenco"/>
              <w:spacing w:before="0" w:after="0"/>
              <w:ind w:left="170"/>
              <w:jc w:val="center"/>
              <w:rPr>
                <w:rFonts w:ascii="Arial Narrow" w:hAnsi="Arial Narrow" w:cs="Arial"/>
                <w:sz w:val="20"/>
              </w:rPr>
            </w:pPr>
            <w:r>
              <w:rPr>
                <w:rFonts w:ascii="Arial Narrow" w:hAnsi="Arial Narrow" w:cs="Arial"/>
                <w:sz w:val="20"/>
              </w:rPr>
              <w:t>x</w:t>
            </w:r>
          </w:p>
        </w:tc>
        <w:tc>
          <w:tcPr>
            <w:tcW w:w="3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91"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93"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147"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44" w:type="pct"/>
            <w:vAlign w:val="center"/>
          </w:tcPr>
          <w:p w:rsidR="00D14FD6" w:rsidRPr="00D620C9" w:rsidRDefault="00D14FD6" w:rsidP="00D14FD6">
            <w:pPr>
              <w:spacing w:before="0" w:after="0"/>
              <w:contextualSpacing/>
              <w:jc w:val="center"/>
              <w:rPr>
                <w:rFonts w:ascii="Arial Narrow" w:hAnsi="Arial Narrow" w:cs="Arial"/>
                <w:sz w:val="20"/>
              </w:rPr>
            </w:pPr>
          </w:p>
        </w:tc>
        <w:tc>
          <w:tcPr>
            <w:tcW w:w="21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76" w:type="pct"/>
            <w:vAlign w:val="center"/>
          </w:tcPr>
          <w:p w:rsidR="00D14FD6" w:rsidRPr="00D620C9" w:rsidRDefault="00D14FD6" w:rsidP="00D14FD6">
            <w:pPr>
              <w:spacing w:before="0" w:after="0"/>
              <w:contextualSpacing/>
              <w:jc w:val="center"/>
              <w:rPr>
                <w:rFonts w:ascii="Arial Narrow" w:hAnsi="Arial Narrow" w:cs="Arial"/>
                <w:sz w:val="20"/>
              </w:rPr>
            </w:pPr>
          </w:p>
        </w:tc>
        <w:tc>
          <w:tcPr>
            <w:tcW w:w="2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2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55" w:type="pct"/>
            <w:vAlign w:val="center"/>
          </w:tcPr>
          <w:p w:rsidR="00D14FD6" w:rsidRPr="00D620C9" w:rsidRDefault="00D14FD6" w:rsidP="00D14FD6">
            <w:pPr>
              <w:spacing w:before="0" w:after="0"/>
              <w:contextualSpacing/>
              <w:jc w:val="center"/>
              <w:rPr>
                <w:rFonts w:ascii="Arial Narrow" w:hAnsi="Arial Narrow" w:cs="Arial"/>
                <w:sz w:val="20"/>
              </w:rPr>
            </w:pPr>
          </w:p>
        </w:tc>
      </w:tr>
      <w:tr w:rsidR="00D14FD6" w:rsidRPr="00D620C9" w:rsidTr="00D14FD6">
        <w:tc>
          <w:tcPr>
            <w:tcW w:w="497" w:type="pct"/>
            <w:vMerge/>
            <w:shd w:val="clear" w:color="auto" w:fill="DBE5F1" w:themeFill="accent1" w:themeFillTint="33"/>
            <w:vAlign w:val="center"/>
          </w:tcPr>
          <w:p w:rsidR="00D14FD6" w:rsidRPr="00D620C9" w:rsidRDefault="00D14FD6" w:rsidP="000954E5">
            <w:pPr>
              <w:spacing w:before="0" w:after="0"/>
              <w:jc w:val="left"/>
              <w:rPr>
                <w:rFonts w:ascii="Arial Narrow" w:hAnsi="Arial Narrow" w:cs="Arial"/>
                <w:sz w:val="20"/>
              </w:rPr>
            </w:pPr>
          </w:p>
        </w:tc>
        <w:tc>
          <w:tcPr>
            <w:tcW w:w="738" w:type="pct"/>
            <w:shd w:val="clear" w:color="auto" w:fill="DBE5F1" w:themeFill="accent1" w:themeFillTint="33"/>
            <w:vAlign w:val="center"/>
          </w:tcPr>
          <w:p w:rsidR="00D14FD6" w:rsidRPr="00D620C9" w:rsidRDefault="00D14FD6" w:rsidP="000954E5">
            <w:pPr>
              <w:spacing w:before="0" w:after="0"/>
              <w:jc w:val="left"/>
              <w:rPr>
                <w:rFonts w:ascii="Arial Narrow" w:hAnsi="Arial Narrow" w:cs="Arial"/>
                <w:sz w:val="20"/>
              </w:rPr>
            </w:pPr>
            <w:r w:rsidRPr="00D620C9">
              <w:rPr>
                <w:rFonts w:ascii="Arial Narrow" w:hAnsi="Arial Narrow" w:cs="Arial"/>
                <w:b/>
                <w:sz w:val="20"/>
              </w:rPr>
              <w:t>JC2</w:t>
            </w:r>
            <w:r w:rsidRPr="00D620C9">
              <w:rPr>
                <w:rFonts w:ascii="Arial Narrow" w:hAnsi="Arial Narrow" w:cs="Arial"/>
                <w:sz w:val="20"/>
              </w:rPr>
              <w:t xml:space="preserve">. Appropriate, efficient and result-oriented political dialogue mechanisms are in place between the EU, the PA and other stakeholders; </w:t>
            </w:r>
          </w:p>
          <w:p w:rsidR="00D14FD6" w:rsidRPr="00D620C9" w:rsidRDefault="00D14FD6" w:rsidP="000954E5">
            <w:pPr>
              <w:spacing w:before="0" w:after="0"/>
              <w:jc w:val="left"/>
              <w:rPr>
                <w:rFonts w:ascii="Arial Narrow" w:hAnsi="Arial Narrow" w:cs="Arial"/>
                <w:sz w:val="20"/>
              </w:rPr>
            </w:pPr>
          </w:p>
          <w:p w:rsidR="00D14FD6" w:rsidRPr="00D620C9" w:rsidRDefault="00D14FD6" w:rsidP="000954E5">
            <w:pPr>
              <w:spacing w:before="0" w:after="0"/>
              <w:jc w:val="left"/>
              <w:rPr>
                <w:rFonts w:ascii="Arial Narrow" w:hAnsi="Arial Narrow" w:cs="Arial"/>
                <w:i/>
                <w:sz w:val="20"/>
              </w:rPr>
            </w:pPr>
            <w:r w:rsidRPr="00D620C9">
              <w:rPr>
                <w:rFonts w:ascii="Arial Narrow" w:hAnsi="Arial Narrow" w:cs="Arial"/>
                <w:i/>
                <w:sz w:val="20"/>
              </w:rPr>
              <w:t>Inception report version: “Appropriate, efficient and result-oriented political dialogue mechanisms are in place between the EU and the PA”</w:t>
            </w:r>
          </w:p>
          <w:p w:rsidR="00D14FD6" w:rsidRPr="00D620C9" w:rsidRDefault="00D14FD6" w:rsidP="000954E5">
            <w:pPr>
              <w:spacing w:before="0" w:after="0"/>
              <w:jc w:val="left"/>
              <w:rPr>
                <w:rFonts w:ascii="Arial Narrow" w:hAnsi="Arial Narrow" w:cs="Arial"/>
                <w:sz w:val="20"/>
              </w:rPr>
            </w:pPr>
            <w:r w:rsidRPr="00D620C9">
              <w:rPr>
                <w:rFonts w:ascii="Arial Narrow" w:hAnsi="Arial Narrow" w:cs="Arial"/>
                <w:sz w:val="20"/>
                <w:u w:val="single"/>
              </w:rPr>
              <w:t>Justification of change</w:t>
            </w:r>
            <w:r w:rsidRPr="00D620C9">
              <w:rPr>
                <w:rFonts w:ascii="Arial Narrow" w:hAnsi="Arial Narrow" w:cs="Arial"/>
                <w:sz w:val="20"/>
              </w:rPr>
              <w:t>: Words “and other stakeholders” have been added to open to a broader analysis of the political dialogue based on results.</w:t>
            </w:r>
          </w:p>
        </w:tc>
        <w:tc>
          <w:tcPr>
            <w:tcW w:w="646" w:type="pct"/>
            <w:shd w:val="clear" w:color="auto" w:fill="DBE5F1" w:themeFill="accent1" w:themeFillTint="33"/>
            <w:vAlign w:val="center"/>
          </w:tcPr>
          <w:p w:rsidR="00D14FD6" w:rsidRPr="00D620C9" w:rsidRDefault="00D14FD6" w:rsidP="00B54C8F">
            <w:pPr>
              <w:pStyle w:val="Paragrafoelenco"/>
              <w:numPr>
                <w:ilvl w:val="0"/>
                <w:numId w:val="63"/>
              </w:numPr>
              <w:spacing w:before="0" w:after="0"/>
              <w:jc w:val="left"/>
              <w:rPr>
                <w:rFonts w:ascii="Arial Narrow" w:hAnsi="Arial Narrow" w:cs="Arial"/>
                <w:sz w:val="20"/>
              </w:rPr>
            </w:pPr>
            <w:r w:rsidRPr="00D620C9">
              <w:rPr>
                <w:rFonts w:ascii="Arial Narrow" w:hAnsi="Arial Narrow" w:cs="Arial"/>
                <w:sz w:val="20"/>
              </w:rPr>
              <w:t>Dialogue mechanisms in place;</w:t>
            </w:r>
          </w:p>
          <w:p w:rsidR="00D14FD6" w:rsidRPr="00D620C9" w:rsidRDefault="00D14FD6" w:rsidP="00B54C8F">
            <w:pPr>
              <w:pStyle w:val="Paragrafoelenco"/>
              <w:numPr>
                <w:ilvl w:val="0"/>
                <w:numId w:val="63"/>
              </w:numPr>
              <w:spacing w:before="0" w:after="0"/>
              <w:jc w:val="left"/>
              <w:rPr>
                <w:rFonts w:ascii="Arial Narrow" w:hAnsi="Arial Narrow" w:cs="Arial"/>
                <w:sz w:val="20"/>
              </w:rPr>
            </w:pPr>
            <w:r w:rsidRPr="00D620C9">
              <w:rPr>
                <w:rFonts w:ascii="Arial Narrow" w:hAnsi="Arial Narrow" w:cs="Arial"/>
                <w:sz w:val="20"/>
              </w:rPr>
              <w:t>Benchmarks and targets agreed;</w:t>
            </w:r>
          </w:p>
          <w:p w:rsidR="00D14FD6" w:rsidRPr="00D620C9" w:rsidRDefault="00D14FD6" w:rsidP="00B54C8F">
            <w:pPr>
              <w:pStyle w:val="Paragrafoelenco"/>
              <w:numPr>
                <w:ilvl w:val="0"/>
                <w:numId w:val="63"/>
              </w:numPr>
              <w:spacing w:before="0" w:after="0"/>
              <w:jc w:val="left"/>
              <w:rPr>
                <w:rFonts w:ascii="Arial Narrow" w:hAnsi="Arial Narrow" w:cs="Arial"/>
                <w:sz w:val="20"/>
              </w:rPr>
            </w:pPr>
            <w:r w:rsidRPr="00D620C9">
              <w:rPr>
                <w:rFonts w:ascii="Arial Narrow" w:hAnsi="Arial Narrow" w:cs="Arial"/>
                <w:sz w:val="20"/>
              </w:rPr>
              <w:t>Follow up of results by political dialogue;</w:t>
            </w:r>
          </w:p>
        </w:tc>
        <w:tc>
          <w:tcPr>
            <w:tcW w:w="415" w:type="pct"/>
            <w:vAlign w:val="center"/>
          </w:tcPr>
          <w:p w:rsidR="00D14FD6" w:rsidRPr="00D620C9" w:rsidRDefault="00D14FD6" w:rsidP="00D14FD6">
            <w:pPr>
              <w:pStyle w:val="Paragrafoelenco"/>
              <w:spacing w:before="0" w:after="0"/>
              <w:ind w:left="170"/>
              <w:jc w:val="center"/>
              <w:rPr>
                <w:rFonts w:ascii="Arial Narrow" w:hAnsi="Arial Narrow" w:cs="Arial"/>
                <w:sz w:val="20"/>
              </w:rPr>
            </w:pPr>
            <w:r>
              <w:rPr>
                <w:rFonts w:ascii="Arial Narrow" w:hAnsi="Arial Narrow" w:cs="Arial"/>
                <w:sz w:val="20"/>
              </w:rPr>
              <w:t>x</w:t>
            </w:r>
          </w:p>
        </w:tc>
        <w:tc>
          <w:tcPr>
            <w:tcW w:w="3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91"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93"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147"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44" w:type="pct"/>
            <w:vAlign w:val="center"/>
          </w:tcPr>
          <w:p w:rsidR="00D14FD6" w:rsidRPr="00D620C9" w:rsidRDefault="00D14FD6" w:rsidP="00D14FD6">
            <w:pPr>
              <w:spacing w:before="0" w:after="0"/>
              <w:contextualSpacing/>
              <w:jc w:val="center"/>
              <w:rPr>
                <w:rFonts w:ascii="Arial Narrow" w:hAnsi="Arial Narrow" w:cs="Arial"/>
                <w:sz w:val="20"/>
              </w:rPr>
            </w:pPr>
          </w:p>
        </w:tc>
        <w:tc>
          <w:tcPr>
            <w:tcW w:w="21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76" w:type="pct"/>
            <w:vAlign w:val="center"/>
          </w:tcPr>
          <w:p w:rsidR="00D14FD6" w:rsidRPr="00D620C9" w:rsidRDefault="00D14FD6" w:rsidP="00D14FD6">
            <w:pPr>
              <w:spacing w:before="0" w:after="0"/>
              <w:contextualSpacing/>
              <w:jc w:val="center"/>
              <w:rPr>
                <w:rFonts w:ascii="Arial Narrow" w:hAnsi="Arial Narrow" w:cs="Arial"/>
                <w:sz w:val="20"/>
              </w:rPr>
            </w:pPr>
          </w:p>
        </w:tc>
        <w:tc>
          <w:tcPr>
            <w:tcW w:w="2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2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55" w:type="pct"/>
            <w:vAlign w:val="center"/>
          </w:tcPr>
          <w:p w:rsidR="00D14FD6" w:rsidRPr="00D620C9" w:rsidRDefault="00D14FD6" w:rsidP="00D14FD6">
            <w:pPr>
              <w:spacing w:before="0" w:after="0"/>
              <w:contextualSpacing/>
              <w:jc w:val="center"/>
              <w:rPr>
                <w:rFonts w:ascii="Arial Narrow" w:hAnsi="Arial Narrow" w:cs="Arial"/>
                <w:sz w:val="20"/>
              </w:rPr>
            </w:pPr>
          </w:p>
        </w:tc>
      </w:tr>
      <w:tr w:rsidR="00D14FD6" w:rsidRPr="00D620C9" w:rsidTr="00D14FD6">
        <w:tc>
          <w:tcPr>
            <w:tcW w:w="497" w:type="pct"/>
            <w:vMerge/>
            <w:shd w:val="clear" w:color="auto" w:fill="DBE5F1" w:themeFill="accent1" w:themeFillTint="33"/>
            <w:vAlign w:val="center"/>
          </w:tcPr>
          <w:p w:rsidR="00D14FD6" w:rsidRPr="00D620C9" w:rsidRDefault="00D14FD6" w:rsidP="000954E5">
            <w:pPr>
              <w:spacing w:before="0" w:after="0"/>
              <w:jc w:val="left"/>
              <w:rPr>
                <w:rFonts w:ascii="Arial Narrow" w:hAnsi="Arial Narrow" w:cs="Arial"/>
                <w:sz w:val="20"/>
              </w:rPr>
            </w:pPr>
          </w:p>
        </w:tc>
        <w:tc>
          <w:tcPr>
            <w:tcW w:w="738" w:type="pct"/>
            <w:shd w:val="clear" w:color="auto" w:fill="DBE5F1" w:themeFill="accent1" w:themeFillTint="33"/>
            <w:vAlign w:val="center"/>
          </w:tcPr>
          <w:p w:rsidR="00D14FD6" w:rsidRPr="00D620C9" w:rsidRDefault="00D14FD6" w:rsidP="000954E5">
            <w:pPr>
              <w:spacing w:before="0" w:after="0"/>
              <w:jc w:val="left"/>
              <w:rPr>
                <w:rFonts w:ascii="Arial Narrow" w:hAnsi="Arial Narrow" w:cs="Arial"/>
                <w:sz w:val="20"/>
              </w:rPr>
            </w:pPr>
            <w:r w:rsidRPr="00D620C9">
              <w:rPr>
                <w:rFonts w:ascii="Arial Narrow" w:hAnsi="Arial Narrow" w:cs="Arial"/>
                <w:b/>
                <w:sz w:val="20"/>
              </w:rPr>
              <w:t>JC3</w:t>
            </w:r>
            <w:r w:rsidRPr="00D620C9">
              <w:rPr>
                <w:rFonts w:ascii="Arial Narrow" w:hAnsi="Arial Narrow" w:cs="Arial"/>
                <w:sz w:val="20"/>
              </w:rPr>
              <w:t xml:space="preserve">. The EU has developed adequate responses to address the divergence of the West Bank   and Gaza Strip </w:t>
            </w:r>
            <w:r w:rsidRPr="00D620C9">
              <w:rPr>
                <w:rFonts w:ascii="Arial Narrow" w:hAnsi="Arial Narrow" w:cs="Arial"/>
                <w:sz w:val="20"/>
              </w:rPr>
              <w:lastRenderedPageBreak/>
              <w:t xml:space="preserve">including economic and governance divergence; </w:t>
            </w:r>
          </w:p>
          <w:p w:rsidR="00D14FD6" w:rsidRPr="00D620C9" w:rsidRDefault="00D14FD6" w:rsidP="000954E5">
            <w:pPr>
              <w:spacing w:before="0" w:after="0"/>
              <w:jc w:val="left"/>
              <w:rPr>
                <w:rFonts w:ascii="Arial Narrow" w:hAnsi="Arial Narrow" w:cs="Arial"/>
                <w:sz w:val="20"/>
              </w:rPr>
            </w:pPr>
          </w:p>
          <w:p w:rsidR="00D14FD6" w:rsidRPr="00D620C9" w:rsidRDefault="00D14FD6" w:rsidP="000954E5">
            <w:pPr>
              <w:spacing w:before="0" w:after="0"/>
              <w:jc w:val="left"/>
              <w:rPr>
                <w:rFonts w:ascii="Arial Narrow" w:hAnsi="Arial Narrow" w:cs="Arial"/>
                <w:i/>
                <w:sz w:val="20"/>
              </w:rPr>
            </w:pPr>
            <w:r w:rsidRPr="00D620C9">
              <w:rPr>
                <w:rFonts w:ascii="Arial Narrow" w:hAnsi="Arial Narrow" w:cs="Arial"/>
                <w:i/>
                <w:sz w:val="20"/>
              </w:rPr>
              <w:t>Inception report version: “The EU has developed appropriate response to address the inter Palestinian conflict”</w:t>
            </w:r>
          </w:p>
          <w:p w:rsidR="00D14FD6" w:rsidRPr="00D620C9" w:rsidRDefault="00D14FD6" w:rsidP="000954E5">
            <w:pPr>
              <w:spacing w:before="0" w:after="0"/>
              <w:jc w:val="left"/>
              <w:rPr>
                <w:rFonts w:ascii="Arial Narrow" w:hAnsi="Arial Narrow" w:cs="Arial"/>
                <w:i/>
                <w:sz w:val="20"/>
              </w:rPr>
            </w:pPr>
            <w:r w:rsidRPr="00D620C9">
              <w:rPr>
                <w:rFonts w:ascii="Arial Narrow" w:hAnsi="Arial Narrow" w:cs="Arial"/>
                <w:sz w:val="20"/>
                <w:u w:val="single"/>
              </w:rPr>
              <w:t>Justification of change</w:t>
            </w:r>
            <w:r w:rsidRPr="00D620C9">
              <w:rPr>
                <w:rFonts w:ascii="Arial Narrow" w:hAnsi="Arial Narrow" w:cs="Arial"/>
                <w:sz w:val="20"/>
              </w:rPr>
              <w:t>: The change improves JC focus on political differences of Palestinian society, and how these affect governance and economic issues, aspects relevant to cooperation efforts’ analysis.</w:t>
            </w:r>
          </w:p>
        </w:tc>
        <w:tc>
          <w:tcPr>
            <w:tcW w:w="646" w:type="pct"/>
            <w:shd w:val="clear" w:color="auto" w:fill="DBE5F1" w:themeFill="accent1" w:themeFillTint="33"/>
            <w:vAlign w:val="center"/>
          </w:tcPr>
          <w:p w:rsidR="00D14FD6" w:rsidRPr="00D620C9" w:rsidRDefault="00D14FD6" w:rsidP="00B54C8F">
            <w:pPr>
              <w:pStyle w:val="Paragrafoelenco"/>
              <w:numPr>
                <w:ilvl w:val="0"/>
                <w:numId w:val="64"/>
              </w:numPr>
              <w:spacing w:before="0" w:after="0"/>
              <w:jc w:val="left"/>
              <w:rPr>
                <w:rFonts w:ascii="Arial Narrow" w:hAnsi="Arial Narrow" w:cs="Arial"/>
                <w:sz w:val="20"/>
              </w:rPr>
            </w:pPr>
            <w:r w:rsidRPr="00D620C9">
              <w:rPr>
                <w:rFonts w:ascii="Arial Narrow" w:hAnsi="Arial Narrow" w:cs="Arial"/>
                <w:sz w:val="20"/>
              </w:rPr>
              <w:lastRenderedPageBreak/>
              <w:t>Evidence of progress toward reconciliation as a result of EU cooperation efforts;</w:t>
            </w:r>
          </w:p>
        </w:tc>
        <w:tc>
          <w:tcPr>
            <w:tcW w:w="415" w:type="pct"/>
            <w:vAlign w:val="center"/>
          </w:tcPr>
          <w:p w:rsidR="00D14FD6" w:rsidRPr="00D620C9" w:rsidRDefault="00D14FD6" w:rsidP="00D14FD6">
            <w:pPr>
              <w:pStyle w:val="Paragrafoelenco"/>
              <w:spacing w:before="0" w:after="0"/>
              <w:ind w:left="170"/>
              <w:jc w:val="center"/>
              <w:rPr>
                <w:rFonts w:ascii="Arial Narrow" w:hAnsi="Arial Narrow" w:cs="Arial"/>
                <w:sz w:val="20"/>
              </w:rPr>
            </w:pPr>
            <w:r>
              <w:rPr>
                <w:rFonts w:ascii="Arial Narrow" w:hAnsi="Arial Narrow" w:cs="Arial"/>
                <w:sz w:val="20"/>
              </w:rPr>
              <w:t>x</w:t>
            </w:r>
          </w:p>
        </w:tc>
        <w:tc>
          <w:tcPr>
            <w:tcW w:w="3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91"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93"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147"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44" w:type="pct"/>
            <w:vAlign w:val="center"/>
          </w:tcPr>
          <w:p w:rsidR="00D14FD6" w:rsidRPr="00D620C9" w:rsidRDefault="00D14FD6" w:rsidP="00D14FD6">
            <w:pPr>
              <w:spacing w:before="0" w:after="0"/>
              <w:contextualSpacing/>
              <w:jc w:val="center"/>
              <w:rPr>
                <w:rFonts w:ascii="Arial Narrow" w:hAnsi="Arial Narrow" w:cs="Arial"/>
                <w:sz w:val="20"/>
              </w:rPr>
            </w:pPr>
          </w:p>
        </w:tc>
        <w:tc>
          <w:tcPr>
            <w:tcW w:w="21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76" w:type="pct"/>
            <w:vAlign w:val="center"/>
          </w:tcPr>
          <w:p w:rsidR="00D14FD6" w:rsidRPr="00D620C9" w:rsidRDefault="00D14FD6" w:rsidP="00D14FD6">
            <w:pPr>
              <w:spacing w:before="0" w:after="0"/>
              <w:contextualSpacing/>
              <w:jc w:val="center"/>
              <w:rPr>
                <w:rFonts w:ascii="Arial Narrow" w:hAnsi="Arial Narrow" w:cs="Arial"/>
                <w:sz w:val="20"/>
              </w:rPr>
            </w:pPr>
          </w:p>
        </w:tc>
        <w:tc>
          <w:tcPr>
            <w:tcW w:w="2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2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55" w:type="pct"/>
            <w:vAlign w:val="center"/>
          </w:tcPr>
          <w:p w:rsidR="00D14FD6" w:rsidRPr="00D620C9" w:rsidRDefault="00D14FD6" w:rsidP="00D14FD6">
            <w:pPr>
              <w:spacing w:before="0" w:after="0"/>
              <w:contextualSpacing/>
              <w:jc w:val="center"/>
              <w:rPr>
                <w:rFonts w:ascii="Arial Narrow" w:hAnsi="Arial Narrow" w:cs="Arial"/>
                <w:sz w:val="20"/>
              </w:rPr>
            </w:pPr>
          </w:p>
        </w:tc>
      </w:tr>
      <w:tr w:rsidR="00D14FD6" w:rsidRPr="00D620C9" w:rsidTr="00D14FD6">
        <w:tc>
          <w:tcPr>
            <w:tcW w:w="497" w:type="pct"/>
            <w:vMerge/>
            <w:shd w:val="clear" w:color="auto" w:fill="DBE5F1" w:themeFill="accent1" w:themeFillTint="33"/>
            <w:vAlign w:val="center"/>
          </w:tcPr>
          <w:p w:rsidR="00D14FD6" w:rsidRPr="00D620C9" w:rsidRDefault="00D14FD6" w:rsidP="000954E5">
            <w:pPr>
              <w:spacing w:before="0" w:after="0"/>
              <w:jc w:val="left"/>
              <w:rPr>
                <w:rFonts w:ascii="Arial Narrow" w:hAnsi="Arial Narrow" w:cs="Arial"/>
                <w:sz w:val="20"/>
              </w:rPr>
            </w:pPr>
          </w:p>
        </w:tc>
        <w:tc>
          <w:tcPr>
            <w:tcW w:w="738" w:type="pct"/>
            <w:shd w:val="clear" w:color="auto" w:fill="DBE5F1" w:themeFill="accent1" w:themeFillTint="33"/>
            <w:vAlign w:val="center"/>
          </w:tcPr>
          <w:p w:rsidR="00D14FD6" w:rsidRPr="00D620C9" w:rsidRDefault="00D14FD6" w:rsidP="000954E5">
            <w:pPr>
              <w:spacing w:before="0" w:after="0"/>
              <w:jc w:val="left"/>
              <w:rPr>
                <w:rFonts w:ascii="Arial Narrow" w:hAnsi="Arial Narrow" w:cs="Arial"/>
                <w:sz w:val="20"/>
              </w:rPr>
            </w:pPr>
            <w:r w:rsidRPr="00D620C9">
              <w:rPr>
                <w:rFonts w:ascii="Arial Narrow" w:hAnsi="Arial Narrow" w:cs="Arial"/>
                <w:b/>
                <w:sz w:val="20"/>
              </w:rPr>
              <w:t>JC4</w:t>
            </w:r>
            <w:r w:rsidRPr="00D620C9">
              <w:rPr>
                <w:rFonts w:ascii="Arial Narrow" w:hAnsi="Arial Narrow" w:cs="Arial"/>
                <w:sz w:val="20"/>
              </w:rPr>
              <w:t>.The EU external action towards the PA –including the use of its leverage as global player and major donor- contribute to attainment of the EU’s political and cooperation objectives</w:t>
            </w:r>
          </w:p>
        </w:tc>
        <w:tc>
          <w:tcPr>
            <w:tcW w:w="646" w:type="pct"/>
            <w:shd w:val="clear" w:color="auto" w:fill="DBE5F1" w:themeFill="accent1" w:themeFillTint="33"/>
            <w:vAlign w:val="center"/>
          </w:tcPr>
          <w:p w:rsidR="00D14FD6" w:rsidRPr="00D620C9" w:rsidRDefault="00D14FD6" w:rsidP="00B54C8F">
            <w:pPr>
              <w:pStyle w:val="Paragrafoelenco"/>
              <w:numPr>
                <w:ilvl w:val="0"/>
                <w:numId w:val="65"/>
              </w:numPr>
              <w:spacing w:before="0" w:after="0"/>
              <w:jc w:val="left"/>
              <w:rPr>
                <w:rFonts w:ascii="Arial Narrow" w:hAnsi="Arial Narrow" w:cs="Arial"/>
                <w:sz w:val="20"/>
              </w:rPr>
            </w:pPr>
            <w:r w:rsidRPr="00D620C9">
              <w:rPr>
                <w:rFonts w:ascii="Arial Narrow" w:hAnsi="Arial Narrow" w:cs="Arial"/>
                <w:sz w:val="20"/>
              </w:rPr>
              <w:t>Evidence of use of leverage to engage Palestine, Israel, Member States and other stakeholders toward the achievement of political goals;</w:t>
            </w:r>
          </w:p>
          <w:p w:rsidR="00D14FD6" w:rsidRPr="00D620C9" w:rsidRDefault="00D14FD6" w:rsidP="000954E5">
            <w:pPr>
              <w:spacing w:before="0" w:after="0"/>
              <w:jc w:val="left"/>
              <w:rPr>
                <w:rFonts w:ascii="Arial Narrow" w:hAnsi="Arial Narrow" w:cs="Arial"/>
                <w:sz w:val="20"/>
              </w:rPr>
            </w:pPr>
          </w:p>
        </w:tc>
        <w:tc>
          <w:tcPr>
            <w:tcW w:w="415" w:type="pct"/>
            <w:vAlign w:val="center"/>
          </w:tcPr>
          <w:p w:rsidR="00D14FD6" w:rsidRPr="00D620C9" w:rsidRDefault="00D14FD6" w:rsidP="00D14FD6">
            <w:pPr>
              <w:pStyle w:val="Paragrafoelenco"/>
              <w:spacing w:before="0" w:after="0"/>
              <w:ind w:left="170"/>
              <w:jc w:val="center"/>
              <w:rPr>
                <w:rFonts w:ascii="Arial Narrow" w:hAnsi="Arial Narrow" w:cs="Arial"/>
                <w:sz w:val="20"/>
              </w:rPr>
            </w:pPr>
            <w:r>
              <w:rPr>
                <w:rFonts w:ascii="Arial Narrow" w:hAnsi="Arial Narrow" w:cs="Arial"/>
                <w:sz w:val="20"/>
              </w:rPr>
              <w:t>x</w:t>
            </w:r>
          </w:p>
        </w:tc>
        <w:tc>
          <w:tcPr>
            <w:tcW w:w="3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91"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93"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147"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44" w:type="pct"/>
            <w:vAlign w:val="center"/>
          </w:tcPr>
          <w:p w:rsidR="00D14FD6" w:rsidRPr="00D620C9" w:rsidRDefault="00D14FD6" w:rsidP="00D14FD6">
            <w:pPr>
              <w:spacing w:before="0" w:after="0"/>
              <w:contextualSpacing/>
              <w:jc w:val="center"/>
              <w:rPr>
                <w:rFonts w:ascii="Arial Narrow" w:hAnsi="Arial Narrow" w:cs="Arial"/>
                <w:sz w:val="20"/>
              </w:rPr>
            </w:pPr>
          </w:p>
        </w:tc>
        <w:tc>
          <w:tcPr>
            <w:tcW w:w="21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76" w:type="pct"/>
            <w:vAlign w:val="center"/>
          </w:tcPr>
          <w:p w:rsidR="00D14FD6" w:rsidRPr="00D620C9" w:rsidRDefault="00D14FD6" w:rsidP="00D14FD6">
            <w:pPr>
              <w:spacing w:before="0" w:after="0"/>
              <w:contextualSpacing/>
              <w:jc w:val="center"/>
              <w:rPr>
                <w:rFonts w:ascii="Arial Narrow" w:hAnsi="Arial Narrow" w:cs="Arial"/>
                <w:sz w:val="20"/>
              </w:rPr>
            </w:pPr>
          </w:p>
        </w:tc>
        <w:tc>
          <w:tcPr>
            <w:tcW w:w="2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2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55" w:type="pct"/>
            <w:vAlign w:val="center"/>
          </w:tcPr>
          <w:p w:rsidR="00D14FD6" w:rsidRPr="00D620C9" w:rsidRDefault="00D14FD6" w:rsidP="00D14FD6">
            <w:pPr>
              <w:spacing w:before="0" w:after="0"/>
              <w:contextualSpacing/>
              <w:jc w:val="center"/>
              <w:rPr>
                <w:rFonts w:ascii="Arial Narrow" w:hAnsi="Arial Narrow" w:cs="Arial"/>
                <w:sz w:val="20"/>
              </w:rPr>
            </w:pPr>
          </w:p>
        </w:tc>
      </w:tr>
      <w:tr w:rsidR="00D14FD6" w:rsidRPr="00D620C9" w:rsidTr="00D14FD6">
        <w:tc>
          <w:tcPr>
            <w:tcW w:w="497" w:type="pct"/>
            <w:vMerge w:val="restart"/>
            <w:shd w:val="clear" w:color="auto" w:fill="DBE5F1" w:themeFill="accent1" w:themeFillTint="33"/>
            <w:vAlign w:val="center"/>
          </w:tcPr>
          <w:p w:rsidR="00D14FD6" w:rsidRPr="00D620C9" w:rsidRDefault="00D14FD6" w:rsidP="000954E5">
            <w:pPr>
              <w:spacing w:before="0" w:after="0"/>
              <w:jc w:val="left"/>
              <w:rPr>
                <w:rFonts w:ascii="Arial Narrow" w:hAnsi="Arial Narrow" w:cs="Arial"/>
                <w:b/>
                <w:sz w:val="20"/>
              </w:rPr>
            </w:pPr>
            <w:r w:rsidRPr="00D620C9">
              <w:rPr>
                <w:rFonts w:ascii="Arial Narrow" w:hAnsi="Arial Narrow" w:cs="Arial"/>
                <w:b/>
                <w:sz w:val="20"/>
              </w:rPr>
              <w:t xml:space="preserve">EQ 2 POLITICAL COHERENCE OF EU EXTERNAL ACTION WITH KEY PLAYERS; </w:t>
            </w:r>
          </w:p>
          <w:p w:rsidR="00D14FD6" w:rsidRPr="00D620C9" w:rsidRDefault="00D14FD6" w:rsidP="000954E5">
            <w:pPr>
              <w:spacing w:before="0" w:after="0"/>
              <w:jc w:val="left"/>
              <w:rPr>
                <w:rFonts w:ascii="Arial Narrow" w:hAnsi="Arial Narrow" w:cs="Arial"/>
                <w:b/>
                <w:sz w:val="20"/>
              </w:rPr>
            </w:pPr>
          </w:p>
          <w:p w:rsidR="00D14FD6" w:rsidRPr="00D620C9" w:rsidRDefault="00D14FD6" w:rsidP="000954E5">
            <w:pPr>
              <w:spacing w:before="0" w:after="0"/>
              <w:jc w:val="left"/>
              <w:rPr>
                <w:rFonts w:ascii="Arial Narrow" w:hAnsi="Arial Narrow" w:cs="Arial"/>
                <w:sz w:val="20"/>
              </w:rPr>
            </w:pPr>
            <w:r w:rsidRPr="00D620C9">
              <w:rPr>
                <w:rFonts w:ascii="Arial Narrow" w:hAnsi="Arial Narrow" w:cs="Arial"/>
                <w:sz w:val="20"/>
              </w:rPr>
              <w:t xml:space="preserve">To what extent </w:t>
            </w:r>
            <w:r w:rsidRPr="00D620C9">
              <w:rPr>
                <w:rFonts w:ascii="Arial Narrow" w:hAnsi="Arial Narrow" w:cs="Arial"/>
                <w:sz w:val="20"/>
              </w:rPr>
              <w:lastRenderedPageBreak/>
              <w:t>and how has the EU developed and implemented a coherent external action strategy to push for peace and a two-state solution in its relations with key political players including Israel, regional actors and its partners in the Quartet?</w:t>
            </w:r>
          </w:p>
          <w:p w:rsidR="00D14FD6" w:rsidRPr="00D620C9" w:rsidRDefault="00D14FD6" w:rsidP="000954E5">
            <w:pPr>
              <w:spacing w:before="0" w:after="0"/>
              <w:jc w:val="left"/>
              <w:rPr>
                <w:rFonts w:ascii="Arial Narrow" w:hAnsi="Arial Narrow" w:cs="Arial"/>
                <w:sz w:val="20"/>
              </w:rPr>
            </w:pPr>
          </w:p>
        </w:tc>
        <w:tc>
          <w:tcPr>
            <w:tcW w:w="738" w:type="pct"/>
            <w:shd w:val="clear" w:color="auto" w:fill="DBE5F1" w:themeFill="accent1" w:themeFillTint="33"/>
            <w:vAlign w:val="center"/>
          </w:tcPr>
          <w:p w:rsidR="00D14FD6" w:rsidRPr="00D620C9" w:rsidRDefault="00D14FD6" w:rsidP="000954E5">
            <w:pPr>
              <w:spacing w:before="0" w:after="0"/>
              <w:jc w:val="left"/>
              <w:rPr>
                <w:rFonts w:ascii="Arial Narrow" w:hAnsi="Arial Narrow" w:cs="Arial"/>
                <w:sz w:val="20"/>
              </w:rPr>
            </w:pPr>
            <w:r w:rsidRPr="00D620C9">
              <w:rPr>
                <w:rFonts w:ascii="Arial Narrow" w:hAnsi="Arial Narrow" w:cs="Arial"/>
                <w:b/>
                <w:sz w:val="20"/>
              </w:rPr>
              <w:lastRenderedPageBreak/>
              <w:t>JC1.</w:t>
            </w:r>
            <w:r w:rsidRPr="00D620C9">
              <w:rPr>
                <w:rFonts w:ascii="Arial Narrow" w:hAnsi="Arial Narrow" w:cs="Arial"/>
                <w:sz w:val="20"/>
              </w:rPr>
              <w:t>The EU has adequately used available tools and instruments to constructively engage with Israel  towards achieving peace and contributing to the establishment of an independent and viable Palestinian state.</w:t>
            </w:r>
          </w:p>
          <w:p w:rsidR="00D14FD6" w:rsidRPr="00D620C9" w:rsidRDefault="00D14FD6" w:rsidP="000954E5">
            <w:pPr>
              <w:spacing w:before="0" w:after="0"/>
              <w:jc w:val="left"/>
              <w:rPr>
                <w:rFonts w:ascii="Arial Narrow" w:hAnsi="Arial Narrow" w:cs="Arial"/>
                <w:sz w:val="20"/>
              </w:rPr>
            </w:pPr>
          </w:p>
          <w:p w:rsidR="00D14FD6" w:rsidRPr="00D620C9" w:rsidRDefault="00D14FD6" w:rsidP="000954E5">
            <w:pPr>
              <w:spacing w:before="0" w:after="0"/>
              <w:jc w:val="left"/>
              <w:rPr>
                <w:rFonts w:ascii="Arial Narrow" w:hAnsi="Arial Narrow" w:cs="Arial"/>
                <w:i/>
                <w:sz w:val="20"/>
              </w:rPr>
            </w:pPr>
            <w:r w:rsidRPr="00D620C9">
              <w:rPr>
                <w:rFonts w:ascii="Arial Narrow" w:hAnsi="Arial Narrow" w:cs="Arial"/>
                <w:i/>
                <w:sz w:val="20"/>
              </w:rPr>
              <w:t>Inception report version: “The EU has adequately used available tools and instruments to influence Israeli approaches towards achieving peace and contributing to the establishment of an independent and viable Palestinian state”</w:t>
            </w:r>
          </w:p>
          <w:p w:rsidR="00D14FD6" w:rsidRPr="00D620C9" w:rsidRDefault="00D14FD6" w:rsidP="000954E5">
            <w:pPr>
              <w:spacing w:before="0" w:after="0"/>
              <w:jc w:val="left"/>
              <w:rPr>
                <w:rFonts w:ascii="Arial Narrow" w:hAnsi="Arial Narrow" w:cs="Arial"/>
                <w:i/>
                <w:sz w:val="20"/>
              </w:rPr>
            </w:pPr>
            <w:r w:rsidRPr="00D620C9">
              <w:rPr>
                <w:rFonts w:ascii="Arial Narrow" w:hAnsi="Arial Narrow" w:cs="Arial"/>
                <w:sz w:val="20"/>
                <w:u w:val="single"/>
              </w:rPr>
              <w:t>Justification of change</w:t>
            </w:r>
            <w:r w:rsidRPr="00D620C9">
              <w:rPr>
                <w:rFonts w:ascii="Arial Narrow" w:hAnsi="Arial Narrow" w:cs="Arial"/>
                <w:sz w:val="20"/>
              </w:rPr>
              <w:t>: “Constructive engagement” describes better the scope of EU dialogue with Israel and sets a better frame for evaluation work.</w:t>
            </w:r>
          </w:p>
        </w:tc>
        <w:tc>
          <w:tcPr>
            <w:tcW w:w="646" w:type="pct"/>
            <w:shd w:val="clear" w:color="auto" w:fill="DBE5F1" w:themeFill="accent1" w:themeFillTint="33"/>
            <w:vAlign w:val="center"/>
          </w:tcPr>
          <w:p w:rsidR="00D14FD6" w:rsidRPr="00D620C9" w:rsidRDefault="00D14FD6" w:rsidP="00B54C8F">
            <w:pPr>
              <w:pStyle w:val="Paragrafoelenco"/>
              <w:numPr>
                <w:ilvl w:val="0"/>
                <w:numId w:val="95"/>
              </w:numPr>
              <w:spacing w:before="0" w:after="0"/>
              <w:ind w:left="175" w:hanging="218"/>
              <w:jc w:val="left"/>
              <w:rPr>
                <w:rFonts w:ascii="Arial Narrow" w:hAnsi="Arial Narrow" w:cs="Arial"/>
                <w:sz w:val="20"/>
              </w:rPr>
            </w:pPr>
            <w:r w:rsidRPr="00D620C9">
              <w:rPr>
                <w:rFonts w:ascii="Arial Narrow" w:hAnsi="Arial Narrow" w:cs="Arial"/>
                <w:sz w:val="20"/>
              </w:rPr>
              <w:lastRenderedPageBreak/>
              <w:t xml:space="preserve">Increased access to Area C, </w:t>
            </w:r>
          </w:p>
          <w:p w:rsidR="00D14FD6" w:rsidRPr="00D620C9" w:rsidRDefault="00D14FD6" w:rsidP="00B54C8F">
            <w:pPr>
              <w:pStyle w:val="Paragrafoelenco"/>
              <w:numPr>
                <w:ilvl w:val="0"/>
                <w:numId w:val="95"/>
              </w:numPr>
              <w:spacing w:before="0" w:after="0"/>
              <w:ind w:left="175" w:hanging="218"/>
              <w:jc w:val="left"/>
              <w:rPr>
                <w:rFonts w:ascii="Arial Narrow" w:hAnsi="Arial Narrow" w:cs="Arial"/>
                <w:sz w:val="20"/>
              </w:rPr>
            </w:pPr>
            <w:r w:rsidRPr="00D620C9">
              <w:rPr>
                <w:rFonts w:ascii="Arial Narrow" w:hAnsi="Arial Narrow" w:cs="Arial"/>
                <w:sz w:val="20"/>
              </w:rPr>
              <w:t xml:space="preserve">Availability of permits for EU delegation, humanitarian workers and EU Parliamentarians for movement within </w:t>
            </w:r>
            <w:r w:rsidRPr="00D620C9">
              <w:rPr>
                <w:rFonts w:ascii="Arial Narrow" w:hAnsi="Arial Narrow" w:cs="Arial"/>
                <w:sz w:val="20"/>
              </w:rPr>
              <w:lastRenderedPageBreak/>
              <w:t>West bank/Jerusalem and to/from Gaza;</w:t>
            </w:r>
          </w:p>
          <w:p w:rsidR="00D14FD6" w:rsidRPr="00D620C9" w:rsidRDefault="00D14FD6" w:rsidP="00B54C8F">
            <w:pPr>
              <w:pStyle w:val="Paragrafoelenco"/>
              <w:numPr>
                <w:ilvl w:val="0"/>
                <w:numId w:val="95"/>
              </w:numPr>
              <w:spacing w:before="0" w:after="0"/>
              <w:ind w:left="175" w:hanging="218"/>
              <w:jc w:val="left"/>
              <w:rPr>
                <w:rFonts w:ascii="Arial Narrow" w:hAnsi="Arial Narrow" w:cs="Arial"/>
                <w:sz w:val="20"/>
              </w:rPr>
            </w:pPr>
            <w:r w:rsidRPr="00D620C9">
              <w:rPr>
                <w:rFonts w:ascii="Arial Narrow" w:hAnsi="Arial Narrow" w:cs="Arial"/>
                <w:sz w:val="20"/>
              </w:rPr>
              <w:t xml:space="preserve">Progress on trade matters ( King Hussein bridge, e.g.,) </w:t>
            </w:r>
          </w:p>
          <w:p w:rsidR="00D14FD6" w:rsidRPr="00D620C9" w:rsidRDefault="00D14FD6" w:rsidP="00B54C8F">
            <w:pPr>
              <w:pStyle w:val="Paragrafoelenco"/>
              <w:numPr>
                <w:ilvl w:val="0"/>
                <w:numId w:val="95"/>
              </w:numPr>
              <w:spacing w:before="0" w:after="0"/>
              <w:ind w:left="175" w:hanging="218"/>
              <w:jc w:val="left"/>
              <w:rPr>
                <w:rFonts w:ascii="Arial Narrow" w:hAnsi="Arial Narrow" w:cs="Arial"/>
                <w:sz w:val="20"/>
              </w:rPr>
            </w:pPr>
            <w:r w:rsidRPr="00D620C9">
              <w:rPr>
                <w:rFonts w:ascii="Arial Narrow" w:hAnsi="Arial Narrow" w:cs="Arial"/>
                <w:sz w:val="20"/>
              </w:rPr>
              <w:t xml:space="preserve">Regularity of VAT remission from Israel to PA </w:t>
            </w:r>
          </w:p>
        </w:tc>
        <w:tc>
          <w:tcPr>
            <w:tcW w:w="415" w:type="pct"/>
            <w:vAlign w:val="center"/>
          </w:tcPr>
          <w:p w:rsidR="00D14FD6" w:rsidRPr="00D620C9" w:rsidRDefault="00D14FD6" w:rsidP="00D14FD6">
            <w:pPr>
              <w:pStyle w:val="Paragrafoelenco"/>
              <w:spacing w:before="0" w:after="0"/>
              <w:ind w:left="170"/>
              <w:jc w:val="center"/>
              <w:rPr>
                <w:rFonts w:ascii="Arial Narrow" w:hAnsi="Arial Narrow" w:cs="Arial"/>
                <w:sz w:val="20"/>
              </w:rPr>
            </w:pPr>
            <w:r>
              <w:rPr>
                <w:rFonts w:ascii="Arial Narrow" w:hAnsi="Arial Narrow" w:cs="Arial"/>
                <w:sz w:val="20"/>
              </w:rPr>
              <w:lastRenderedPageBreak/>
              <w:t>x</w:t>
            </w:r>
          </w:p>
        </w:tc>
        <w:tc>
          <w:tcPr>
            <w:tcW w:w="3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91"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93"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147"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44" w:type="pct"/>
            <w:vAlign w:val="center"/>
          </w:tcPr>
          <w:p w:rsidR="00D14FD6" w:rsidRPr="00D620C9" w:rsidRDefault="00D14FD6" w:rsidP="00D14FD6">
            <w:pPr>
              <w:spacing w:before="0" w:after="0"/>
              <w:contextualSpacing/>
              <w:jc w:val="center"/>
              <w:rPr>
                <w:rFonts w:ascii="Arial Narrow" w:hAnsi="Arial Narrow" w:cs="Arial"/>
                <w:sz w:val="20"/>
              </w:rPr>
            </w:pPr>
          </w:p>
        </w:tc>
        <w:tc>
          <w:tcPr>
            <w:tcW w:w="21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76" w:type="pct"/>
            <w:vAlign w:val="center"/>
          </w:tcPr>
          <w:p w:rsidR="00D14FD6" w:rsidRPr="00D620C9" w:rsidRDefault="00D14FD6" w:rsidP="00D14FD6">
            <w:pPr>
              <w:spacing w:before="0" w:after="0"/>
              <w:contextualSpacing/>
              <w:jc w:val="center"/>
              <w:rPr>
                <w:rFonts w:ascii="Arial Narrow" w:hAnsi="Arial Narrow" w:cs="Arial"/>
                <w:sz w:val="20"/>
              </w:rPr>
            </w:pPr>
          </w:p>
        </w:tc>
        <w:tc>
          <w:tcPr>
            <w:tcW w:w="2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2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55" w:type="pct"/>
            <w:vAlign w:val="center"/>
          </w:tcPr>
          <w:p w:rsidR="00D14FD6" w:rsidRPr="00D620C9" w:rsidRDefault="00D14FD6" w:rsidP="00D14FD6">
            <w:pPr>
              <w:spacing w:before="0" w:after="0"/>
              <w:ind w:left="-43"/>
              <w:contextualSpacing/>
              <w:jc w:val="center"/>
              <w:rPr>
                <w:rFonts w:ascii="Arial Narrow" w:hAnsi="Arial Narrow" w:cs="Arial"/>
                <w:sz w:val="20"/>
              </w:rPr>
            </w:pPr>
          </w:p>
        </w:tc>
      </w:tr>
      <w:tr w:rsidR="00D14FD6" w:rsidRPr="00D620C9" w:rsidTr="00D14FD6">
        <w:tc>
          <w:tcPr>
            <w:tcW w:w="497" w:type="pct"/>
            <w:vMerge/>
            <w:shd w:val="clear" w:color="auto" w:fill="DBE5F1" w:themeFill="accent1" w:themeFillTint="33"/>
            <w:vAlign w:val="center"/>
          </w:tcPr>
          <w:p w:rsidR="00D14FD6" w:rsidRPr="00D620C9" w:rsidRDefault="00D14FD6" w:rsidP="000954E5">
            <w:pPr>
              <w:spacing w:before="0" w:after="0"/>
              <w:jc w:val="left"/>
              <w:rPr>
                <w:rFonts w:ascii="Arial Narrow" w:hAnsi="Arial Narrow" w:cs="Arial"/>
                <w:sz w:val="20"/>
              </w:rPr>
            </w:pPr>
          </w:p>
        </w:tc>
        <w:tc>
          <w:tcPr>
            <w:tcW w:w="738" w:type="pct"/>
            <w:shd w:val="clear" w:color="auto" w:fill="DBE5F1" w:themeFill="accent1" w:themeFillTint="33"/>
            <w:vAlign w:val="center"/>
          </w:tcPr>
          <w:p w:rsidR="00D14FD6" w:rsidRPr="00D620C9" w:rsidRDefault="00D14FD6" w:rsidP="000954E5">
            <w:pPr>
              <w:spacing w:before="0" w:after="0"/>
              <w:jc w:val="left"/>
              <w:rPr>
                <w:rFonts w:ascii="Arial Narrow" w:hAnsi="Arial Narrow" w:cs="Arial"/>
                <w:i/>
                <w:iCs/>
                <w:caps/>
                <w:color w:val="943634"/>
                <w:spacing w:val="10"/>
                <w:sz w:val="20"/>
                <w:u w:val="single"/>
              </w:rPr>
            </w:pPr>
            <w:r w:rsidRPr="00D620C9">
              <w:rPr>
                <w:rFonts w:ascii="Arial Narrow" w:hAnsi="Arial Narrow" w:cs="Arial"/>
                <w:b/>
                <w:sz w:val="20"/>
              </w:rPr>
              <w:t>JC2.</w:t>
            </w:r>
            <w:r w:rsidRPr="00D620C9">
              <w:rPr>
                <w:rFonts w:ascii="Arial Narrow" w:hAnsi="Arial Narrow" w:cs="Arial"/>
                <w:sz w:val="20"/>
              </w:rPr>
              <w:t xml:space="preserve"> The EU has engaged strategically with Regional Donors with a view to fostering the peace process and contributing to the establishment of an independent and viable Palestinian State;</w:t>
            </w:r>
          </w:p>
        </w:tc>
        <w:tc>
          <w:tcPr>
            <w:tcW w:w="646" w:type="pct"/>
            <w:shd w:val="clear" w:color="auto" w:fill="DBE5F1" w:themeFill="accent1" w:themeFillTint="33"/>
            <w:vAlign w:val="center"/>
          </w:tcPr>
          <w:p w:rsidR="00D14FD6" w:rsidRPr="00D620C9" w:rsidRDefault="00D14FD6" w:rsidP="00B54C8F">
            <w:pPr>
              <w:pStyle w:val="Paragrafoelenco"/>
              <w:numPr>
                <w:ilvl w:val="0"/>
                <w:numId w:val="66"/>
              </w:numPr>
              <w:spacing w:before="0" w:after="0"/>
              <w:jc w:val="left"/>
              <w:rPr>
                <w:rFonts w:ascii="Arial Narrow" w:hAnsi="Arial Narrow" w:cs="Arial"/>
                <w:sz w:val="20"/>
              </w:rPr>
            </w:pPr>
            <w:r w:rsidRPr="00D620C9">
              <w:rPr>
                <w:rFonts w:ascii="Arial Narrow" w:hAnsi="Arial Narrow" w:cs="Arial"/>
                <w:sz w:val="20"/>
              </w:rPr>
              <w:t>Evidence of efforts to engage regional Donors;</w:t>
            </w:r>
          </w:p>
        </w:tc>
        <w:tc>
          <w:tcPr>
            <w:tcW w:w="415" w:type="pct"/>
            <w:vAlign w:val="center"/>
          </w:tcPr>
          <w:p w:rsidR="00D14FD6" w:rsidRPr="00D620C9" w:rsidRDefault="00D14FD6" w:rsidP="00D14FD6">
            <w:pPr>
              <w:pStyle w:val="Paragrafoelenco"/>
              <w:spacing w:before="0" w:after="0"/>
              <w:ind w:left="170"/>
              <w:jc w:val="center"/>
              <w:rPr>
                <w:rFonts w:ascii="Arial Narrow" w:hAnsi="Arial Narrow" w:cs="Arial"/>
                <w:sz w:val="20"/>
              </w:rPr>
            </w:pPr>
            <w:r>
              <w:rPr>
                <w:rFonts w:ascii="Arial Narrow" w:hAnsi="Arial Narrow" w:cs="Arial"/>
                <w:sz w:val="20"/>
              </w:rPr>
              <w:t>x</w:t>
            </w:r>
          </w:p>
        </w:tc>
        <w:tc>
          <w:tcPr>
            <w:tcW w:w="3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91"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93"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147"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44" w:type="pct"/>
            <w:vAlign w:val="center"/>
          </w:tcPr>
          <w:p w:rsidR="00D14FD6" w:rsidRPr="00D620C9" w:rsidRDefault="00D14FD6" w:rsidP="00D14FD6">
            <w:pPr>
              <w:spacing w:before="0" w:after="0"/>
              <w:contextualSpacing/>
              <w:jc w:val="center"/>
              <w:rPr>
                <w:rFonts w:ascii="Arial Narrow" w:hAnsi="Arial Narrow" w:cs="Arial"/>
                <w:sz w:val="20"/>
              </w:rPr>
            </w:pPr>
          </w:p>
        </w:tc>
        <w:tc>
          <w:tcPr>
            <w:tcW w:w="21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76" w:type="pct"/>
            <w:vAlign w:val="center"/>
          </w:tcPr>
          <w:p w:rsidR="00D14FD6" w:rsidRPr="00D620C9" w:rsidRDefault="00D14FD6" w:rsidP="00D14FD6">
            <w:pPr>
              <w:spacing w:before="0" w:after="0"/>
              <w:contextualSpacing/>
              <w:jc w:val="center"/>
              <w:rPr>
                <w:rFonts w:ascii="Arial Narrow" w:hAnsi="Arial Narrow" w:cs="Arial"/>
                <w:sz w:val="20"/>
              </w:rPr>
            </w:pPr>
          </w:p>
        </w:tc>
        <w:tc>
          <w:tcPr>
            <w:tcW w:w="2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2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55" w:type="pct"/>
            <w:vAlign w:val="center"/>
          </w:tcPr>
          <w:p w:rsidR="00D14FD6" w:rsidRPr="00D620C9" w:rsidRDefault="00D14FD6" w:rsidP="00D14FD6">
            <w:pPr>
              <w:spacing w:before="0" w:after="0"/>
              <w:contextualSpacing/>
              <w:jc w:val="center"/>
              <w:rPr>
                <w:rFonts w:ascii="Arial Narrow" w:hAnsi="Arial Narrow" w:cs="Arial"/>
                <w:sz w:val="20"/>
              </w:rPr>
            </w:pPr>
          </w:p>
        </w:tc>
      </w:tr>
      <w:tr w:rsidR="00D14FD6" w:rsidRPr="00D620C9" w:rsidTr="00D14FD6">
        <w:tc>
          <w:tcPr>
            <w:tcW w:w="497" w:type="pct"/>
            <w:vMerge/>
            <w:shd w:val="clear" w:color="auto" w:fill="DBE5F1" w:themeFill="accent1" w:themeFillTint="33"/>
            <w:vAlign w:val="center"/>
          </w:tcPr>
          <w:p w:rsidR="00D14FD6" w:rsidRPr="00D620C9" w:rsidRDefault="00D14FD6" w:rsidP="000954E5">
            <w:pPr>
              <w:spacing w:before="0" w:after="0"/>
              <w:jc w:val="left"/>
              <w:rPr>
                <w:rFonts w:ascii="Arial Narrow" w:hAnsi="Arial Narrow" w:cs="Arial"/>
                <w:sz w:val="20"/>
              </w:rPr>
            </w:pPr>
          </w:p>
        </w:tc>
        <w:tc>
          <w:tcPr>
            <w:tcW w:w="738" w:type="pct"/>
            <w:shd w:val="clear" w:color="auto" w:fill="DBE5F1" w:themeFill="accent1" w:themeFillTint="33"/>
            <w:vAlign w:val="center"/>
          </w:tcPr>
          <w:p w:rsidR="00D14FD6" w:rsidRPr="00D620C9" w:rsidRDefault="00D14FD6" w:rsidP="000954E5">
            <w:pPr>
              <w:spacing w:before="0" w:after="0"/>
              <w:jc w:val="left"/>
              <w:rPr>
                <w:rFonts w:ascii="Arial Narrow" w:hAnsi="Arial Narrow" w:cs="Arial"/>
                <w:sz w:val="20"/>
              </w:rPr>
            </w:pPr>
            <w:r w:rsidRPr="00D620C9">
              <w:rPr>
                <w:rFonts w:ascii="Arial Narrow" w:hAnsi="Arial Narrow" w:cs="Arial"/>
                <w:b/>
                <w:sz w:val="20"/>
              </w:rPr>
              <w:t xml:space="preserve">JC3. </w:t>
            </w:r>
            <w:r w:rsidRPr="00D620C9">
              <w:rPr>
                <w:rFonts w:ascii="Arial Narrow" w:hAnsi="Arial Narrow" w:cs="Arial"/>
                <w:sz w:val="20"/>
              </w:rPr>
              <w:t xml:space="preserve">The EU has optimally and coherently used its leverage and available windows of opportunity within the framework of the Quartet to push for peace and for the establishment of a </w:t>
            </w:r>
            <w:r w:rsidRPr="00D620C9">
              <w:rPr>
                <w:rFonts w:ascii="Arial Narrow" w:hAnsi="Arial Narrow" w:cs="Arial"/>
                <w:sz w:val="20"/>
              </w:rPr>
              <w:lastRenderedPageBreak/>
              <w:t>viable and independent Palestinian state</w:t>
            </w:r>
          </w:p>
        </w:tc>
        <w:tc>
          <w:tcPr>
            <w:tcW w:w="646" w:type="pct"/>
            <w:shd w:val="clear" w:color="auto" w:fill="DBE5F1" w:themeFill="accent1" w:themeFillTint="33"/>
            <w:vAlign w:val="center"/>
          </w:tcPr>
          <w:p w:rsidR="00D14FD6" w:rsidRPr="00D620C9" w:rsidRDefault="00D14FD6" w:rsidP="00B54C8F">
            <w:pPr>
              <w:pStyle w:val="Paragrafoelenco"/>
              <w:numPr>
                <w:ilvl w:val="0"/>
                <w:numId w:val="67"/>
              </w:numPr>
              <w:spacing w:before="0" w:after="0"/>
              <w:jc w:val="left"/>
              <w:rPr>
                <w:rFonts w:ascii="Arial Narrow" w:hAnsi="Arial Narrow" w:cs="Arial"/>
                <w:sz w:val="20"/>
              </w:rPr>
            </w:pPr>
            <w:r w:rsidRPr="00D620C9">
              <w:rPr>
                <w:rFonts w:ascii="Arial Narrow" w:hAnsi="Arial Narrow" w:cs="Arial"/>
                <w:sz w:val="20"/>
              </w:rPr>
              <w:lastRenderedPageBreak/>
              <w:t>Examples of pro-active action within the Quarter framework to foster EU goals;</w:t>
            </w:r>
          </w:p>
        </w:tc>
        <w:tc>
          <w:tcPr>
            <w:tcW w:w="415" w:type="pct"/>
            <w:vAlign w:val="center"/>
          </w:tcPr>
          <w:p w:rsidR="00D14FD6" w:rsidRPr="00D620C9" w:rsidRDefault="00D14FD6" w:rsidP="00D14FD6">
            <w:pPr>
              <w:pStyle w:val="Paragrafoelenco"/>
              <w:spacing w:before="0" w:after="0"/>
              <w:ind w:left="170"/>
              <w:jc w:val="center"/>
              <w:rPr>
                <w:rFonts w:ascii="Arial Narrow" w:hAnsi="Arial Narrow" w:cs="Arial"/>
                <w:sz w:val="20"/>
              </w:rPr>
            </w:pPr>
            <w:r>
              <w:rPr>
                <w:rFonts w:ascii="Arial Narrow" w:hAnsi="Arial Narrow" w:cs="Arial"/>
                <w:sz w:val="20"/>
              </w:rPr>
              <w:t>x</w:t>
            </w:r>
          </w:p>
        </w:tc>
        <w:tc>
          <w:tcPr>
            <w:tcW w:w="3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91"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93"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147"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44" w:type="pct"/>
            <w:vAlign w:val="center"/>
          </w:tcPr>
          <w:p w:rsidR="00D14FD6" w:rsidRPr="00D620C9" w:rsidRDefault="00D14FD6" w:rsidP="00D14FD6">
            <w:pPr>
              <w:spacing w:before="0" w:after="0"/>
              <w:contextualSpacing/>
              <w:jc w:val="center"/>
              <w:rPr>
                <w:rFonts w:ascii="Arial Narrow" w:hAnsi="Arial Narrow" w:cs="Arial"/>
                <w:sz w:val="20"/>
              </w:rPr>
            </w:pPr>
          </w:p>
        </w:tc>
        <w:tc>
          <w:tcPr>
            <w:tcW w:w="21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76" w:type="pct"/>
            <w:vAlign w:val="center"/>
          </w:tcPr>
          <w:p w:rsidR="00D14FD6" w:rsidRPr="00D620C9" w:rsidRDefault="00D14FD6" w:rsidP="00D14FD6">
            <w:pPr>
              <w:spacing w:before="0" w:after="0"/>
              <w:contextualSpacing/>
              <w:jc w:val="center"/>
              <w:rPr>
                <w:rFonts w:ascii="Arial Narrow" w:hAnsi="Arial Narrow" w:cs="Arial"/>
                <w:sz w:val="20"/>
              </w:rPr>
            </w:pPr>
          </w:p>
        </w:tc>
        <w:tc>
          <w:tcPr>
            <w:tcW w:w="2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2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55" w:type="pct"/>
            <w:vAlign w:val="center"/>
          </w:tcPr>
          <w:p w:rsidR="00D14FD6" w:rsidRPr="00D620C9" w:rsidRDefault="00D14FD6" w:rsidP="00D14FD6">
            <w:pPr>
              <w:spacing w:before="0" w:after="0"/>
              <w:contextualSpacing/>
              <w:jc w:val="center"/>
              <w:rPr>
                <w:rFonts w:ascii="Arial Narrow" w:hAnsi="Arial Narrow" w:cs="Arial"/>
                <w:sz w:val="20"/>
              </w:rPr>
            </w:pPr>
          </w:p>
        </w:tc>
      </w:tr>
      <w:tr w:rsidR="00D14FD6" w:rsidRPr="00D620C9" w:rsidTr="00D14FD6">
        <w:tc>
          <w:tcPr>
            <w:tcW w:w="497" w:type="pct"/>
            <w:vMerge w:val="restart"/>
            <w:shd w:val="clear" w:color="auto" w:fill="DBE5F1" w:themeFill="accent1" w:themeFillTint="33"/>
            <w:vAlign w:val="center"/>
          </w:tcPr>
          <w:p w:rsidR="00D14FD6" w:rsidRPr="00D620C9" w:rsidRDefault="00D14FD6" w:rsidP="000954E5">
            <w:pPr>
              <w:spacing w:before="0" w:after="0"/>
              <w:jc w:val="left"/>
              <w:rPr>
                <w:rFonts w:ascii="Arial Narrow" w:hAnsi="Arial Narrow" w:cs="Arial"/>
                <w:b/>
                <w:sz w:val="20"/>
              </w:rPr>
            </w:pPr>
          </w:p>
          <w:p w:rsidR="00D14FD6" w:rsidRPr="00D620C9" w:rsidRDefault="00D14FD6" w:rsidP="000954E5">
            <w:pPr>
              <w:spacing w:before="0" w:after="0"/>
              <w:jc w:val="left"/>
              <w:rPr>
                <w:rFonts w:ascii="Arial Narrow" w:hAnsi="Arial Narrow" w:cs="Arial"/>
                <w:b/>
                <w:sz w:val="20"/>
              </w:rPr>
            </w:pPr>
          </w:p>
          <w:p w:rsidR="00D14FD6" w:rsidRPr="00D620C9" w:rsidRDefault="00D14FD6" w:rsidP="000954E5">
            <w:pPr>
              <w:spacing w:before="0" w:after="0"/>
              <w:jc w:val="left"/>
              <w:rPr>
                <w:rFonts w:ascii="Arial Narrow" w:hAnsi="Arial Narrow" w:cs="Arial"/>
                <w:b/>
                <w:sz w:val="20"/>
              </w:rPr>
            </w:pPr>
          </w:p>
          <w:p w:rsidR="00D14FD6" w:rsidRPr="00D620C9" w:rsidRDefault="00D14FD6" w:rsidP="000954E5">
            <w:pPr>
              <w:spacing w:before="0" w:after="0"/>
              <w:jc w:val="left"/>
              <w:rPr>
                <w:rFonts w:ascii="Arial Narrow" w:hAnsi="Arial Narrow" w:cs="Arial"/>
                <w:b/>
                <w:sz w:val="20"/>
              </w:rPr>
            </w:pPr>
          </w:p>
          <w:p w:rsidR="00D14FD6" w:rsidRPr="00D620C9" w:rsidRDefault="00D14FD6" w:rsidP="000954E5">
            <w:pPr>
              <w:spacing w:before="0" w:after="0"/>
              <w:jc w:val="left"/>
              <w:rPr>
                <w:rFonts w:ascii="Arial Narrow" w:hAnsi="Arial Narrow" w:cs="Arial"/>
                <w:b/>
                <w:sz w:val="20"/>
              </w:rPr>
            </w:pPr>
            <w:r w:rsidRPr="00D620C9">
              <w:rPr>
                <w:rFonts w:ascii="Arial Narrow" w:hAnsi="Arial Narrow" w:cs="Arial"/>
                <w:b/>
                <w:sz w:val="20"/>
              </w:rPr>
              <w:t xml:space="preserve">EQ3. EU PROCESSES, RESOURCES AND CAPACITIES; </w:t>
            </w:r>
          </w:p>
          <w:p w:rsidR="00D14FD6" w:rsidRPr="00D620C9" w:rsidRDefault="00D14FD6" w:rsidP="000954E5">
            <w:pPr>
              <w:spacing w:before="0" w:after="0"/>
              <w:jc w:val="left"/>
              <w:rPr>
                <w:rFonts w:ascii="Arial Narrow" w:hAnsi="Arial Narrow" w:cs="Arial"/>
                <w:b/>
                <w:sz w:val="20"/>
              </w:rPr>
            </w:pPr>
          </w:p>
          <w:p w:rsidR="00D14FD6" w:rsidRPr="00D620C9" w:rsidRDefault="00D14FD6" w:rsidP="000954E5">
            <w:pPr>
              <w:spacing w:before="0" w:after="0"/>
              <w:jc w:val="left"/>
              <w:rPr>
                <w:rFonts w:ascii="Arial Narrow" w:hAnsi="Arial Narrow" w:cs="Arial"/>
                <w:sz w:val="20"/>
              </w:rPr>
            </w:pPr>
            <w:r w:rsidRPr="00D620C9">
              <w:rPr>
                <w:rFonts w:ascii="Arial Narrow" w:hAnsi="Arial Narrow" w:cs="Arial"/>
                <w:sz w:val="20"/>
              </w:rPr>
              <w:t>To what extent do EC processes, resources and capacities support political and cooperation goals in Palestine’s complex and volatile environment?</w:t>
            </w:r>
          </w:p>
        </w:tc>
        <w:tc>
          <w:tcPr>
            <w:tcW w:w="738" w:type="pct"/>
            <w:shd w:val="clear" w:color="auto" w:fill="DBE5F1" w:themeFill="accent1" w:themeFillTint="33"/>
            <w:vAlign w:val="center"/>
          </w:tcPr>
          <w:p w:rsidR="00D14FD6" w:rsidRPr="00D620C9" w:rsidRDefault="00D14FD6" w:rsidP="000954E5">
            <w:pPr>
              <w:spacing w:before="0" w:after="0"/>
              <w:jc w:val="left"/>
              <w:rPr>
                <w:rFonts w:ascii="Arial Narrow" w:hAnsi="Arial Narrow" w:cs="Arial"/>
                <w:sz w:val="20"/>
              </w:rPr>
            </w:pPr>
            <w:r w:rsidRPr="00D620C9">
              <w:rPr>
                <w:rFonts w:ascii="Arial Narrow" w:hAnsi="Arial Narrow" w:cs="Arial"/>
                <w:b/>
                <w:sz w:val="20"/>
              </w:rPr>
              <w:t>JC1.</w:t>
            </w:r>
            <w:r w:rsidRPr="00D620C9">
              <w:rPr>
                <w:rFonts w:ascii="Arial Narrow" w:hAnsi="Arial Narrow" w:cs="Arial"/>
                <w:sz w:val="20"/>
              </w:rPr>
              <w:t xml:space="preserve"> Capacities are established to define cooperation strategies coherent with political objectives and are responsive to conflict and the external context;</w:t>
            </w:r>
          </w:p>
        </w:tc>
        <w:tc>
          <w:tcPr>
            <w:tcW w:w="646" w:type="pct"/>
            <w:shd w:val="clear" w:color="auto" w:fill="DBE5F1" w:themeFill="accent1" w:themeFillTint="33"/>
            <w:vAlign w:val="center"/>
          </w:tcPr>
          <w:p w:rsidR="00D14FD6" w:rsidRPr="00D620C9" w:rsidRDefault="00D14FD6" w:rsidP="00B54C8F">
            <w:pPr>
              <w:pStyle w:val="Paragrafoelenco"/>
              <w:numPr>
                <w:ilvl w:val="0"/>
                <w:numId w:val="68"/>
              </w:numPr>
              <w:spacing w:before="0" w:after="0"/>
              <w:jc w:val="left"/>
              <w:rPr>
                <w:rFonts w:ascii="Arial Narrow" w:hAnsi="Arial Narrow" w:cs="Arial"/>
                <w:sz w:val="20"/>
              </w:rPr>
            </w:pPr>
            <w:r w:rsidRPr="00D620C9">
              <w:rPr>
                <w:rFonts w:ascii="Arial Narrow" w:hAnsi="Arial Narrow" w:cs="Arial"/>
                <w:sz w:val="20"/>
              </w:rPr>
              <w:t>Strategies clear and benchmarked and in line with political objectives;</w:t>
            </w:r>
          </w:p>
          <w:p w:rsidR="00D14FD6" w:rsidRPr="00D620C9" w:rsidRDefault="00D14FD6" w:rsidP="00B54C8F">
            <w:pPr>
              <w:pStyle w:val="Paragrafoelenco"/>
              <w:numPr>
                <w:ilvl w:val="0"/>
                <w:numId w:val="68"/>
              </w:numPr>
              <w:spacing w:before="0" w:after="0"/>
              <w:jc w:val="left"/>
              <w:rPr>
                <w:rFonts w:ascii="Arial Narrow" w:hAnsi="Arial Narrow" w:cs="Arial"/>
                <w:sz w:val="20"/>
              </w:rPr>
            </w:pPr>
            <w:proofErr w:type="spellStart"/>
            <w:r w:rsidRPr="00D620C9">
              <w:rPr>
                <w:rFonts w:ascii="Arial Narrow" w:hAnsi="Arial Narrow" w:cs="Arial"/>
                <w:sz w:val="20"/>
              </w:rPr>
              <w:t>Sectoral</w:t>
            </w:r>
            <w:proofErr w:type="spellEnd"/>
            <w:r w:rsidRPr="00D620C9">
              <w:rPr>
                <w:rFonts w:ascii="Arial Narrow" w:hAnsi="Arial Narrow" w:cs="Arial"/>
                <w:sz w:val="20"/>
              </w:rPr>
              <w:t xml:space="preserve"> strategies developed;</w:t>
            </w:r>
          </w:p>
        </w:tc>
        <w:tc>
          <w:tcPr>
            <w:tcW w:w="415" w:type="pct"/>
            <w:vAlign w:val="center"/>
          </w:tcPr>
          <w:p w:rsidR="00D14FD6" w:rsidRPr="00D620C9" w:rsidRDefault="00D14FD6" w:rsidP="00D14FD6">
            <w:pPr>
              <w:pStyle w:val="Paragrafoelenco"/>
              <w:spacing w:before="0" w:after="0"/>
              <w:ind w:left="170"/>
              <w:jc w:val="center"/>
              <w:rPr>
                <w:rFonts w:ascii="Arial Narrow" w:hAnsi="Arial Narrow" w:cs="Arial"/>
                <w:sz w:val="20"/>
              </w:rPr>
            </w:pPr>
            <w:r>
              <w:rPr>
                <w:rFonts w:ascii="Arial Narrow" w:hAnsi="Arial Narrow" w:cs="Arial"/>
                <w:sz w:val="20"/>
              </w:rPr>
              <w:t>x</w:t>
            </w:r>
          </w:p>
        </w:tc>
        <w:tc>
          <w:tcPr>
            <w:tcW w:w="3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91" w:type="pct"/>
            <w:vAlign w:val="center"/>
          </w:tcPr>
          <w:p w:rsidR="00D14FD6" w:rsidRPr="00D620C9" w:rsidRDefault="00D14FD6" w:rsidP="00D14FD6">
            <w:pPr>
              <w:spacing w:before="0" w:after="0"/>
              <w:contextualSpacing/>
              <w:jc w:val="center"/>
              <w:rPr>
                <w:rFonts w:ascii="Arial Narrow" w:hAnsi="Arial Narrow" w:cs="Arial"/>
                <w:sz w:val="20"/>
              </w:rPr>
            </w:pPr>
          </w:p>
        </w:tc>
        <w:tc>
          <w:tcPr>
            <w:tcW w:w="293"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147"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44" w:type="pct"/>
            <w:vAlign w:val="center"/>
          </w:tcPr>
          <w:p w:rsidR="00D14FD6" w:rsidRPr="00D620C9" w:rsidRDefault="00D14FD6" w:rsidP="00D14FD6">
            <w:pPr>
              <w:spacing w:before="0" w:after="0"/>
              <w:contextualSpacing/>
              <w:jc w:val="center"/>
              <w:rPr>
                <w:rFonts w:ascii="Arial Narrow" w:hAnsi="Arial Narrow" w:cs="Arial"/>
                <w:sz w:val="20"/>
              </w:rPr>
            </w:pPr>
          </w:p>
        </w:tc>
        <w:tc>
          <w:tcPr>
            <w:tcW w:w="21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76" w:type="pct"/>
            <w:vAlign w:val="center"/>
          </w:tcPr>
          <w:p w:rsidR="00D14FD6" w:rsidRPr="00D620C9" w:rsidRDefault="00D14FD6" w:rsidP="00D14FD6">
            <w:pPr>
              <w:spacing w:before="0" w:after="0"/>
              <w:contextualSpacing/>
              <w:jc w:val="center"/>
              <w:rPr>
                <w:rFonts w:ascii="Arial Narrow" w:hAnsi="Arial Narrow" w:cs="Arial"/>
                <w:sz w:val="20"/>
              </w:rPr>
            </w:pPr>
          </w:p>
        </w:tc>
        <w:tc>
          <w:tcPr>
            <w:tcW w:w="2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2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55" w:type="pct"/>
            <w:vAlign w:val="center"/>
          </w:tcPr>
          <w:p w:rsidR="00D14FD6" w:rsidRPr="00D620C9" w:rsidRDefault="00D14FD6" w:rsidP="00D14FD6">
            <w:pPr>
              <w:pStyle w:val="Paragrafoelenco"/>
              <w:spacing w:before="0" w:after="0"/>
              <w:ind w:left="170"/>
              <w:jc w:val="center"/>
              <w:rPr>
                <w:rFonts w:ascii="Arial Narrow" w:hAnsi="Arial Narrow" w:cs="Arial"/>
                <w:sz w:val="20"/>
              </w:rPr>
            </w:pPr>
          </w:p>
        </w:tc>
      </w:tr>
      <w:tr w:rsidR="00D14FD6" w:rsidRPr="00D620C9" w:rsidTr="00D14FD6">
        <w:tc>
          <w:tcPr>
            <w:tcW w:w="497" w:type="pct"/>
            <w:vMerge/>
            <w:shd w:val="clear" w:color="auto" w:fill="DBE5F1" w:themeFill="accent1" w:themeFillTint="33"/>
            <w:vAlign w:val="center"/>
          </w:tcPr>
          <w:p w:rsidR="00D14FD6" w:rsidRPr="00D620C9" w:rsidRDefault="00D14FD6" w:rsidP="000954E5">
            <w:pPr>
              <w:spacing w:before="0" w:after="0"/>
              <w:jc w:val="left"/>
              <w:rPr>
                <w:rFonts w:ascii="Arial Narrow" w:hAnsi="Arial Narrow" w:cs="Arial"/>
                <w:sz w:val="20"/>
              </w:rPr>
            </w:pPr>
          </w:p>
        </w:tc>
        <w:tc>
          <w:tcPr>
            <w:tcW w:w="738" w:type="pct"/>
            <w:shd w:val="clear" w:color="auto" w:fill="DBE5F1" w:themeFill="accent1" w:themeFillTint="33"/>
            <w:vAlign w:val="center"/>
          </w:tcPr>
          <w:p w:rsidR="00D14FD6" w:rsidRPr="00D620C9" w:rsidRDefault="00D14FD6" w:rsidP="000954E5">
            <w:pPr>
              <w:spacing w:before="0" w:after="0"/>
              <w:jc w:val="left"/>
              <w:rPr>
                <w:rFonts w:ascii="Arial Narrow" w:hAnsi="Arial Narrow" w:cs="Arial"/>
                <w:sz w:val="20"/>
              </w:rPr>
            </w:pPr>
            <w:r w:rsidRPr="00D620C9">
              <w:rPr>
                <w:rFonts w:ascii="Arial Narrow" w:hAnsi="Arial Narrow" w:cs="Arial"/>
                <w:b/>
                <w:sz w:val="20"/>
              </w:rPr>
              <w:t>JC2.</w:t>
            </w:r>
            <w:r w:rsidRPr="00D620C9">
              <w:rPr>
                <w:rFonts w:ascii="Arial Narrow" w:hAnsi="Arial Narrow" w:cs="Arial"/>
                <w:sz w:val="20"/>
              </w:rPr>
              <w:t>Coordination with donors, development agencies and key stakeholders fosters design and implementation of an effective cooperation program</w:t>
            </w:r>
          </w:p>
        </w:tc>
        <w:tc>
          <w:tcPr>
            <w:tcW w:w="646" w:type="pct"/>
            <w:shd w:val="clear" w:color="auto" w:fill="DBE5F1" w:themeFill="accent1" w:themeFillTint="33"/>
            <w:vAlign w:val="center"/>
          </w:tcPr>
          <w:p w:rsidR="00D14FD6" w:rsidRPr="00D620C9" w:rsidRDefault="00D14FD6" w:rsidP="00B54C8F">
            <w:pPr>
              <w:pStyle w:val="Paragrafoelenco"/>
              <w:numPr>
                <w:ilvl w:val="0"/>
                <w:numId w:val="69"/>
              </w:numPr>
              <w:spacing w:before="0" w:after="0"/>
              <w:jc w:val="left"/>
              <w:rPr>
                <w:rFonts w:ascii="Arial Narrow" w:hAnsi="Arial Narrow" w:cs="Arial"/>
                <w:sz w:val="20"/>
              </w:rPr>
            </w:pPr>
            <w:r w:rsidRPr="00D620C9">
              <w:rPr>
                <w:rFonts w:ascii="Arial Narrow" w:hAnsi="Arial Narrow" w:cs="Arial"/>
                <w:sz w:val="20"/>
              </w:rPr>
              <w:t>Coordination mechanisms in place;</w:t>
            </w:r>
          </w:p>
          <w:p w:rsidR="00D14FD6" w:rsidRPr="00D620C9" w:rsidRDefault="00D14FD6" w:rsidP="00B54C8F">
            <w:pPr>
              <w:pStyle w:val="Paragrafoelenco"/>
              <w:numPr>
                <w:ilvl w:val="0"/>
                <w:numId w:val="69"/>
              </w:numPr>
              <w:spacing w:before="0" w:after="0"/>
              <w:jc w:val="left"/>
              <w:rPr>
                <w:rFonts w:ascii="Arial Narrow" w:hAnsi="Arial Narrow" w:cs="Arial"/>
                <w:sz w:val="20"/>
              </w:rPr>
            </w:pPr>
            <w:r w:rsidRPr="00D620C9">
              <w:rPr>
                <w:rFonts w:ascii="Arial Narrow" w:hAnsi="Arial Narrow" w:cs="Arial"/>
                <w:sz w:val="20"/>
              </w:rPr>
              <w:t>Action fiches evidence coordination and complementarities;</w:t>
            </w:r>
          </w:p>
        </w:tc>
        <w:tc>
          <w:tcPr>
            <w:tcW w:w="415" w:type="pct"/>
            <w:vAlign w:val="center"/>
          </w:tcPr>
          <w:p w:rsidR="00D14FD6" w:rsidRPr="00D620C9" w:rsidRDefault="00D14FD6" w:rsidP="00D14FD6">
            <w:pPr>
              <w:pStyle w:val="Paragrafoelenco"/>
              <w:spacing w:before="0" w:after="0"/>
              <w:ind w:left="170"/>
              <w:jc w:val="center"/>
              <w:rPr>
                <w:rFonts w:ascii="Arial Narrow" w:hAnsi="Arial Narrow" w:cs="Arial"/>
                <w:sz w:val="20"/>
              </w:rPr>
            </w:pPr>
            <w:r>
              <w:rPr>
                <w:rFonts w:ascii="Arial Narrow" w:hAnsi="Arial Narrow" w:cs="Arial"/>
                <w:sz w:val="20"/>
              </w:rPr>
              <w:t>x</w:t>
            </w:r>
          </w:p>
        </w:tc>
        <w:tc>
          <w:tcPr>
            <w:tcW w:w="3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91" w:type="pct"/>
            <w:vAlign w:val="center"/>
          </w:tcPr>
          <w:p w:rsidR="00D14FD6" w:rsidRPr="00D620C9" w:rsidRDefault="00D14FD6" w:rsidP="00D14FD6">
            <w:pPr>
              <w:spacing w:before="0" w:after="0"/>
              <w:contextualSpacing/>
              <w:jc w:val="center"/>
              <w:rPr>
                <w:rFonts w:ascii="Arial Narrow" w:hAnsi="Arial Narrow" w:cs="Arial"/>
                <w:sz w:val="20"/>
              </w:rPr>
            </w:pPr>
          </w:p>
        </w:tc>
        <w:tc>
          <w:tcPr>
            <w:tcW w:w="293"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147"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44" w:type="pct"/>
            <w:vAlign w:val="center"/>
          </w:tcPr>
          <w:p w:rsidR="00D14FD6" w:rsidRPr="00D620C9" w:rsidRDefault="00D14FD6" w:rsidP="00D14FD6">
            <w:pPr>
              <w:spacing w:before="0" w:after="0"/>
              <w:contextualSpacing/>
              <w:jc w:val="center"/>
              <w:rPr>
                <w:rFonts w:ascii="Arial Narrow" w:hAnsi="Arial Narrow" w:cs="Arial"/>
                <w:sz w:val="20"/>
              </w:rPr>
            </w:pPr>
          </w:p>
        </w:tc>
        <w:tc>
          <w:tcPr>
            <w:tcW w:w="21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76" w:type="pct"/>
            <w:vAlign w:val="center"/>
          </w:tcPr>
          <w:p w:rsidR="00D14FD6" w:rsidRPr="00D620C9" w:rsidRDefault="00D14FD6" w:rsidP="00D14FD6">
            <w:pPr>
              <w:spacing w:before="0" w:after="0"/>
              <w:contextualSpacing/>
              <w:jc w:val="center"/>
              <w:rPr>
                <w:rFonts w:ascii="Arial Narrow" w:hAnsi="Arial Narrow" w:cs="Arial"/>
                <w:sz w:val="20"/>
              </w:rPr>
            </w:pPr>
          </w:p>
        </w:tc>
        <w:tc>
          <w:tcPr>
            <w:tcW w:w="2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2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55" w:type="pct"/>
            <w:vAlign w:val="center"/>
          </w:tcPr>
          <w:p w:rsidR="00D14FD6" w:rsidRPr="00D620C9" w:rsidRDefault="00D14FD6" w:rsidP="00D14FD6">
            <w:pPr>
              <w:pStyle w:val="Paragrafoelenco"/>
              <w:spacing w:before="0" w:after="0"/>
              <w:ind w:left="170"/>
              <w:jc w:val="center"/>
              <w:rPr>
                <w:rFonts w:ascii="Arial Narrow" w:hAnsi="Arial Narrow" w:cs="Arial"/>
                <w:sz w:val="20"/>
              </w:rPr>
            </w:pPr>
          </w:p>
        </w:tc>
      </w:tr>
      <w:tr w:rsidR="00D14FD6" w:rsidRPr="00D620C9" w:rsidTr="00D14FD6">
        <w:tc>
          <w:tcPr>
            <w:tcW w:w="497" w:type="pct"/>
            <w:vMerge/>
            <w:shd w:val="clear" w:color="auto" w:fill="DBE5F1" w:themeFill="accent1" w:themeFillTint="33"/>
            <w:vAlign w:val="center"/>
          </w:tcPr>
          <w:p w:rsidR="00D14FD6" w:rsidRPr="00D620C9" w:rsidRDefault="00D14FD6" w:rsidP="000954E5">
            <w:pPr>
              <w:spacing w:before="0" w:after="0"/>
              <w:jc w:val="left"/>
              <w:rPr>
                <w:rFonts w:ascii="Arial Narrow" w:hAnsi="Arial Narrow" w:cs="Arial"/>
                <w:sz w:val="20"/>
              </w:rPr>
            </w:pPr>
          </w:p>
        </w:tc>
        <w:tc>
          <w:tcPr>
            <w:tcW w:w="738" w:type="pct"/>
            <w:shd w:val="clear" w:color="auto" w:fill="DBE5F1" w:themeFill="accent1" w:themeFillTint="33"/>
            <w:vAlign w:val="center"/>
          </w:tcPr>
          <w:p w:rsidR="00D14FD6" w:rsidRPr="00D620C9" w:rsidRDefault="00D14FD6" w:rsidP="000954E5">
            <w:pPr>
              <w:spacing w:before="0" w:after="0"/>
              <w:jc w:val="left"/>
              <w:rPr>
                <w:rFonts w:ascii="Arial Narrow" w:hAnsi="Arial Narrow" w:cs="Arial"/>
                <w:sz w:val="20"/>
              </w:rPr>
            </w:pPr>
            <w:r w:rsidRPr="00D620C9">
              <w:rPr>
                <w:rFonts w:ascii="Arial Narrow" w:hAnsi="Arial Narrow" w:cs="Arial"/>
                <w:b/>
                <w:sz w:val="20"/>
              </w:rPr>
              <w:t>JC3.</w:t>
            </w:r>
            <w:r w:rsidRPr="00D620C9">
              <w:rPr>
                <w:rFonts w:ascii="Arial Narrow" w:hAnsi="Arial Narrow" w:cs="Arial"/>
                <w:sz w:val="20"/>
              </w:rPr>
              <w:t>Capacities are established for programming and design of effective cooperation efforts, in line with strategies and political goals;</w:t>
            </w:r>
          </w:p>
        </w:tc>
        <w:tc>
          <w:tcPr>
            <w:tcW w:w="646" w:type="pct"/>
            <w:shd w:val="clear" w:color="auto" w:fill="DBE5F1" w:themeFill="accent1" w:themeFillTint="33"/>
            <w:vAlign w:val="center"/>
          </w:tcPr>
          <w:p w:rsidR="00D14FD6" w:rsidRPr="00D620C9" w:rsidRDefault="00D14FD6" w:rsidP="00B54C8F">
            <w:pPr>
              <w:pStyle w:val="Paragrafoelenco"/>
              <w:numPr>
                <w:ilvl w:val="0"/>
                <w:numId w:val="70"/>
              </w:numPr>
              <w:spacing w:before="0" w:after="0"/>
              <w:jc w:val="left"/>
              <w:rPr>
                <w:rFonts w:ascii="Arial Narrow" w:hAnsi="Arial Narrow" w:cs="Arial"/>
                <w:sz w:val="20"/>
              </w:rPr>
            </w:pPr>
            <w:r w:rsidRPr="00D620C9">
              <w:rPr>
                <w:rFonts w:ascii="Arial Narrow" w:hAnsi="Arial Narrow" w:cs="Arial"/>
                <w:sz w:val="20"/>
              </w:rPr>
              <w:t>Quality of design of interventions;</w:t>
            </w:r>
          </w:p>
          <w:p w:rsidR="00D14FD6" w:rsidRPr="00D620C9" w:rsidRDefault="00D14FD6" w:rsidP="00B54C8F">
            <w:pPr>
              <w:pStyle w:val="Paragrafoelenco"/>
              <w:numPr>
                <w:ilvl w:val="0"/>
                <w:numId w:val="70"/>
              </w:numPr>
              <w:spacing w:before="0" w:after="0"/>
              <w:jc w:val="left"/>
              <w:rPr>
                <w:rFonts w:ascii="Arial Narrow" w:hAnsi="Arial Narrow" w:cs="Arial"/>
                <w:sz w:val="20"/>
              </w:rPr>
            </w:pPr>
            <w:r w:rsidRPr="00D620C9">
              <w:rPr>
                <w:rFonts w:ascii="Arial Narrow" w:hAnsi="Arial Narrow" w:cs="Arial"/>
                <w:sz w:val="20"/>
              </w:rPr>
              <w:t>Quality control mechanisms in place;</w:t>
            </w:r>
          </w:p>
          <w:p w:rsidR="00D14FD6" w:rsidRPr="00D620C9" w:rsidRDefault="00D14FD6" w:rsidP="00B54C8F">
            <w:pPr>
              <w:pStyle w:val="Paragrafoelenco"/>
              <w:numPr>
                <w:ilvl w:val="0"/>
                <w:numId w:val="70"/>
              </w:numPr>
              <w:spacing w:before="0" w:after="0"/>
              <w:jc w:val="left"/>
              <w:rPr>
                <w:rFonts w:ascii="Arial Narrow" w:hAnsi="Arial Narrow" w:cs="Arial"/>
                <w:sz w:val="20"/>
              </w:rPr>
            </w:pPr>
            <w:r w:rsidRPr="00D620C9">
              <w:rPr>
                <w:rFonts w:ascii="Arial Narrow" w:hAnsi="Arial Narrow" w:cs="Arial"/>
                <w:sz w:val="20"/>
              </w:rPr>
              <w:t>Project assessment and prioritization mechanisms in place;</w:t>
            </w:r>
          </w:p>
        </w:tc>
        <w:tc>
          <w:tcPr>
            <w:tcW w:w="415" w:type="pct"/>
            <w:vAlign w:val="center"/>
          </w:tcPr>
          <w:p w:rsidR="00D14FD6" w:rsidRPr="00D620C9" w:rsidRDefault="00D14FD6" w:rsidP="00D14FD6">
            <w:pPr>
              <w:pStyle w:val="Paragrafoelenco"/>
              <w:spacing w:before="0" w:after="0"/>
              <w:ind w:left="170"/>
              <w:jc w:val="center"/>
              <w:rPr>
                <w:rFonts w:ascii="Arial Narrow" w:hAnsi="Arial Narrow" w:cs="Arial"/>
                <w:sz w:val="20"/>
              </w:rPr>
            </w:pPr>
            <w:r>
              <w:rPr>
                <w:rFonts w:ascii="Arial Narrow" w:hAnsi="Arial Narrow" w:cs="Arial"/>
                <w:sz w:val="20"/>
              </w:rPr>
              <w:t>x</w:t>
            </w:r>
          </w:p>
        </w:tc>
        <w:tc>
          <w:tcPr>
            <w:tcW w:w="3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91" w:type="pct"/>
            <w:vAlign w:val="center"/>
          </w:tcPr>
          <w:p w:rsidR="00D14FD6" w:rsidRPr="00D620C9" w:rsidRDefault="00D14FD6" w:rsidP="00D14FD6">
            <w:pPr>
              <w:spacing w:before="0" w:after="0"/>
              <w:contextualSpacing/>
              <w:jc w:val="center"/>
              <w:rPr>
                <w:rFonts w:ascii="Arial Narrow" w:hAnsi="Arial Narrow" w:cs="Arial"/>
                <w:sz w:val="20"/>
              </w:rPr>
            </w:pPr>
          </w:p>
        </w:tc>
        <w:tc>
          <w:tcPr>
            <w:tcW w:w="293"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147"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44" w:type="pct"/>
            <w:vAlign w:val="center"/>
          </w:tcPr>
          <w:p w:rsidR="00D14FD6" w:rsidRPr="00D620C9" w:rsidRDefault="00D14FD6" w:rsidP="00D14FD6">
            <w:pPr>
              <w:spacing w:before="0" w:after="0"/>
              <w:contextualSpacing/>
              <w:jc w:val="center"/>
              <w:rPr>
                <w:rFonts w:ascii="Arial Narrow" w:hAnsi="Arial Narrow" w:cs="Arial"/>
                <w:sz w:val="20"/>
              </w:rPr>
            </w:pPr>
          </w:p>
        </w:tc>
        <w:tc>
          <w:tcPr>
            <w:tcW w:w="21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76" w:type="pct"/>
            <w:vAlign w:val="center"/>
          </w:tcPr>
          <w:p w:rsidR="00D14FD6" w:rsidRPr="00D620C9" w:rsidRDefault="00D14FD6" w:rsidP="00D14FD6">
            <w:pPr>
              <w:spacing w:before="0" w:after="0"/>
              <w:contextualSpacing/>
              <w:jc w:val="center"/>
              <w:rPr>
                <w:rFonts w:ascii="Arial Narrow" w:hAnsi="Arial Narrow" w:cs="Arial"/>
                <w:sz w:val="20"/>
              </w:rPr>
            </w:pPr>
          </w:p>
        </w:tc>
        <w:tc>
          <w:tcPr>
            <w:tcW w:w="2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2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55" w:type="pct"/>
            <w:vAlign w:val="center"/>
          </w:tcPr>
          <w:p w:rsidR="00D14FD6" w:rsidRPr="00D620C9" w:rsidRDefault="00D14FD6" w:rsidP="00D14FD6">
            <w:pPr>
              <w:pStyle w:val="Paragrafoelenco"/>
              <w:spacing w:before="0" w:after="0"/>
              <w:ind w:left="170"/>
              <w:jc w:val="center"/>
              <w:rPr>
                <w:rFonts w:ascii="Arial Narrow" w:hAnsi="Arial Narrow" w:cs="Arial"/>
                <w:sz w:val="20"/>
              </w:rPr>
            </w:pPr>
          </w:p>
        </w:tc>
      </w:tr>
      <w:tr w:rsidR="00D14FD6" w:rsidRPr="00D620C9" w:rsidTr="00D14FD6">
        <w:tc>
          <w:tcPr>
            <w:tcW w:w="497" w:type="pct"/>
            <w:vMerge/>
            <w:shd w:val="clear" w:color="auto" w:fill="DBE5F1" w:themeFill="accent1" w:themeFillTint="33"/>
            <w:vAlign w:val="center"/>
          </w:tcPr>
          <w:p w:rsidR="00D14FD6" w:rsidRPr="00D620C9" w:rsidRDefault="00D14FD6" w:rsidP="000954E5">
            <w:pPr>
              <w:spacing w:before="0" w:after="0"/>
              <w:jc w:val="left"/>
              <w:rPr>
                <w:rFonts w:ascii="Arial Narrow" w:hAnsi="Arial Narrow" w:cs="Arial"/>
                <w:sz w:val="20"/>
              </w:rPr>
            </w:pPr>
          </w:p>
        </w:tc>
        <w:tc>
          <w:tcPr>
            <w:tcW w:w="738" w:type="pct"/>
            <w:shd w:val="clear" w:color="auto" w:fill="DBE5F1" w:themeFill="accent1" w:themeFillTint="33"/>
            <w:vAlign w:val="center"/>
          </w:tcPr>
          <w:p w:rsidR="00D14FD6" w:rsidRPr="00D620C9" w:rsidRDefault="00D14FD6" w:rsidP="000954E5">
            <w:pPr>
              <w:spacing w:before="0" w:after="0"/>
              <w:jc w:val="left"/>
              <w:rPr>
                <w:rFonts w:ascii="Arial Narrow" w:hAnsi="Arial Narrow" w:cs="Arial"/>
                <w:sz w:val="20"/>
              </w:rPr>
            </w:pPr>
            <w:r w:rsidRPr="00D620C9">
              <w:rPr>
                <w:rFonts w:ascii="Arial Narrow" w:hAnsi="Arial Narrow" w:cs="Arial"/>
                <w:b/>
                <w:sz w:val="20"/>
              </w:rPr>
              <w:t xml:space="preserve">JC4. </w:t>
            </w:r>
            <w:r w:rsidRPr="00D620C9">
              <w:rPr>
                <w:rFonts w:ascii="Arial Narrow" w:hAnsi="Arial Narrow" w:cs="Arial"/>
                <w:sz w:val="20"/>
              </w:rPr>
              <w:t>Capacities are appropriate to implement, follow up and evaluate interventions in line with strategies and political goals, and are adapted to the volatile context of Palestine</w:t>
            </w:r>
          </w:p>
        </w:tc>
        <w:tc>
          <w:tcPr>
            <w:tcW w:w="646" w:type="pct"/>
            <w:shd w:val="clear" w:color="auto" w:fill="DBE5F1" w:themeFill="accent1" w:themeFillTint="33"/>
            <w:vAlign w:val="center"/>
          </w:tcPr>
          <w:p w:rsidR="00D14FD6" w:rsidRPr="00D620C9" w:rsidRDefault="00D14FD6" w:rsidP="00B54C8F">
            <w:pPr>
              <w:pStyle w:val="Paragrafoelenco"/>
              <w:numPr>
                <w:ilvl w:val="0"/>
                <w:numId w:val="71"/>
              </w:numPr>
              <w:spacing w:before="0" w:after="0"/>
              <w:jc w:val="left"/>
              <w:rPr>
                <w:rFonts w:ascii="Arial Narrow" w:hAnsi="Arial Narrow" w:cs="Arial"/>
                <w:sz w:val="20"/>
              </w:rPr>
            </w:pPr>
            <w:r w:rsidRPr="00D620C9">
              <w:rPr>
                <w:rFonts w:ascii="Arial Narrow" w:hAnsi="Arial Narrow" w:cs="Arial"/>
                <w:sz w:val="20"/>
              </w:rPr>
              <w:t>External evaluation of efficiency criterion (including monitoring reports);</w:t>
            </w:r>
          </w:p>
          <w:p w:rsidR="00D14FD6" w:rsidRPr="00D620C9" w:rsidRDefault="00D14FD6" w:rsidP="00B54C8F">
            <w:pPr>
              <w:pStyle w:val="Paragrafoelenco"/>
              <w:numPr>
                <w:ilvl w:val="0"/>
                <w:numId w:val="71"/>
              </w:numPr>
              <w:spacing w:before="0" w:after="0"/>
              <w:jc w:val="left"/>
              <w:rPr>
                <w:rFonts w:ascii="Arial Narrow" w:hAnsi="Arial Narrow" w:cs="Arial"/>
                <w:sz w:val="20"/>
              </w:rPr>
            </w:pPr>
            <w:r w:rsidRPr="00D620C9">
              <w:rPr>
                <w:rFonts w:ascii="Arial Narrow" w:hAnsi="Arial Narrow" w:cs="Arial"/>
                <w:sz w:val="20"/>
              </w:rPr>
              <w:t>Timeliness of interventions;</w:t>
            </w:r>
          </w:p>
          <w:p w:rsidR="00D14FD6" w:rsidRPr="00D620C9" w:rsidRDefault="00D14FD6" w:rsidP="00B54C8F">
            <w:pPr>
              <w:pStyle w:val="Paragrafoelenco"/>
              <w:numPr>
                <w:ilvl w:val="0"/>
                <w:numId w:val="71"/>
              </w:numPr>
              <w:spacing w:before="0" w:after="0"/>
              <w:jc w:val="left"/>
              <w:rPr>
                <w:rFonts w:ascii="Arial Narrow" w:hAnsi="Arial Narrow" w:cs="Arial"/>
                <w:sz w:val="20"/>
              </w:rPr>
            </w:pPr>
            <w:r w:rsidRPr="00D620C9">
              <w:rPr>
                <w:rFonts w:ascii="Arial Narrow" w:hAnsi="Arial Narrow" w:cs="Arial"/>
                <w:sz w:val="20"/>
              </w:rPr>
              <w:t xml:space="preserve">Portfolios of </w:t>
            </w:r>
            <w:proofErr w:type="spellStart"/>
            <w:r w:rsidRPr="00D620C9">
              <w:rPr>
                <w:rFonts w:ascii="Arial Narrow" w:hAnsi="Arial Narrow" w:cs="Arial"/>
                <w:sz w:val="20"/>
              </w:rPr>
              <w:t>Programme</w:t>
            </w:r>
            <w:proofErr w:type="spellEnd"/>
            <w:r w:rsidRPr="00D620C9">
              <w:rPr>
                <w:rFonts w:ascii="Arial Narrow" w:hAnsi="Arial Narrow" w:cs="Arial"/>
                <w:sz w:val="20"/>
              </w:rPr>
              <w:t xml:space="preserve"> Officers in EUREP: number </w:t>
            </w:r>
            <w:r w:rsidRPr="00D620C9">
              <w:rPr>
                <w:rFonts w:ascii="Arial Narrow" w:hAnsi="Arial Narrow" w:cs="Arial"/>
                <w:sz w:val="20"/>
              </w:rPr>
              <w:lastRenderedPageBreak/>
              <w:t>of contracts and value (million €) per person;</w:t>
            </w:r>
          </w:p>
        </w:tc>
        <w:tc>
          <w:tcPr>
            <w:tcW w:w="415" w:type="pct"/>
            <w:vAlign w:val="center"/>
          </w:tcPr>
          <w:p w:rsidR="00D14FD6" w:rsidRPr="00D620C9" w:rsidRDefault="00D14FD6" w:rsidP="00D14FD6">
            <w:pPr>
              <w:pStyle w:val="Paragrafoelenco"/>
              <w:spacing w:before="0" w:after="0"/>
              <w:ind w:left="170"/>
              <w:jc w:val="center"/>
              <w:rPr>
                <w:rFonts w:ascii="Arial Narrow" w:hAnsi="Arial Narrow" w:cs="Arial"/>
                <w:sz w:val="20"/>
              </w:rPr>
            </w:pPr>
            <w:r>
              <w:rPr>
                <w:rFonts w:ascii="Arial Narrow" w:hAnsi="Arial Narrow" w:cs="Arial"/>
                <w:sz w:val="20"/>
              </w:rPr>
              <w:lastRenderedPageBreak/>
              <w:t>x</w:t>
            </w:r>
          </w:p>
        </w:tc>
        <w:tc>
          <w:tcPr>
            <w:tcW w:w="3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91" w:type="pct"/>
            <w:vAlign w:val="center"/>
          </w:tcPr>
          <w:p w:rsidR="00D14FD6" w:rsidRPr="00D620C9" w:rsidRDefault="00D14FD6" w:rsidP="00D14FD6">
            <w:pPr>
              <w:spacing w:before="0" w:after="0"/>
              <w:contextualSpacing/>
              <w:jc w:val="center"/>
              <w:rPr>
                <w:rFonts w:ascii="Arial Narrow" w:hAnsi="Arial Narrow" w:cs="Arial"/>
                <w:sz w:val="20"/>
              </w:rPr>
            </w:pPr>
          </w:p>
        </w:tc>
        <w:tc>
          <w:tcPr>
            <w:tcW w:w="293"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147"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44" w:type="pct"/>
            <w:vAlign w:val="center"/>
          </w:tcPr>
          <w:p w:rsidR="00D14FD6" w:rsidRPr="00D620C9" w:rsidRDefault="00D14FD6" w:rsidP="00D14FD6">
            <w:pPr>
              <w:spacing w:before="0" w:after="0"/>
              <w:contextualSpacing/>
              <w:jc w:val="center"/>
              <w:rPr>
                <w:rFonts w:ascii="Arial Narrow" w:hAnsi="Arial Narrow" w:cs="Arial"/>
                <w:sz w:val="20"/>
              </w:rPr>
            </w:pPr>
          </w:p>
        </w:tc>
        <w:tc>
          <w:tcPr>
            <w:tcW w:w="21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76" w:type="pct"/>
            <w:vAlign w:val="center"/>
          </w:tcPr>
          <w:p w:rsidR="00D14FD6" w:rsidRPr="00D620C9" w:rsidRDefault="00D14FD6" w:rsidP="00D14FD6">
            <w:pPr>
              <w:spacing w:before="0" w:after="0"/>
              <w:contextualSpacing/>
              <w:jc w:val="center"/>
              <w:rPr>
                <w:rFonts w:ascii="Arial Narrow" w:hAnsi="Arial Narrow" w:cs="Arial"/>
                <w:sz w:val="20"/>
              </w:rPr>
            </w:pPr>
          </w:p>
        </w:tc>
        <w:tc>
          <w:tcPr>
            <w:tcW w:w="2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2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55" w:type="pct"/>
            <w:vAlign w:val="center"/>
          </w:tcPr>
          <w:p w:rsidR="00D14FD6" w:rsidRPr="00D620C9" w:rsidRDefault="00D14FD6" w:rsidP="00D14FD6">
            <w:pPr>
              <w:pStyle w:val="Paragrafoelenco"/>
              <w:spacing w:before="0" w:after="0"/>
              <w:ind w:left="170"/>
              <w:jc w:val="center"/>
              <w:rPr>
                <w:rFonts w:ascii="Arial Narrow" w:hAnsi="Arial Narrow" w:cs="Arial"/>
                <w:sz w:val="20"/>
              </w:rPr>
            </w:pPr>
          </w:p>
        </w:tc>
      </w:tr>
      <w:tr w:rsidR="00D14FD6" w:rsidRPr="00D620C9" w:rsidTr="00D14FD6">
        <w:tc>
          <w:tcPr>
            <w:tcW w:w="497" w:type="pct"/>
            <w:vMerge/>
            <w:shd w:val="clear" w:color="auto" w:fill="DBE5F1" w:themeFill="accent1" w:themeFillTint="33"/>
            <w:vAlign w:val="center"/>
          </w:tcPr>
          <w:p w:rsidR="00D14FD6" w:rsidRPr="00D620C9" w:rsidRDefault="00D14FD6" w:rsidP="000954E5">
            <w:pPr>
              <w:spacing w:before="0" w:after="0"/>
              <w:jc w:val="left"/>
              <w:rPr>
                <w:rFonts w:ascii="Arial Narrow" w:hAnsi="Arial Narrow" w:cs="Arial"/>
                <w:sz w:val="20"/>
              </w:rPr>
            </w:pPr>
          </w:p>
        </w:tc>
        <w:tc>
          <w:tcPr>
            <w:tcW w:w="738" w:type="pct"/>
            <w:shd w:val="clear" w:color="auto" w:fill="DBE5F1" w:themeFill="accent1" w:themeFillTint="33"/>
            <w:vAlign w:val="center"/>
          </w:tcPr>
          <w:p w:rsidR="00D14FD6" w:rsidRPr="00D620C9" w:rsidRDefault="00D14FD6" w:rsidP="000954E5">
            <w:pPr>
              <w:spacing w:before="0" w:after="0"/>
              <w:jc w:val="left"/>
              <w:rPr>
                <w:rFonts w:ascii="Arial Narrow" w:hAnsi="Arial Narrow" w:cs="Arial"/>
                <w:sz w:val="20"/>
              </w:rPr>
            </w:pPr>
            <w:r w:rsidRPr="00D620C9">
              <w:rPr>
                <w:rFonts w:ascii="Arial Narrow" w:hAnsi="Arial Narrow" w:cs="Arial"/>
                <w:b/>
                <w:sz w:val="20"/>
              </w:rPr>
              <w:t>JC5.</w:t>
            </w:r>
            <w:r w:rsidRPr="00D620C9">
              <w:rPr>
                <w:rFonts w:ascii="Arial Narrow" w:hAnsi="Arial Narrow" w:cs="Arial"/>
                <w:sz w:val="20"/>
              </w:rPr>
              <w:t xml:space="preserve">Learning mechanisms are in place supporting new strategies and cooperation interventions </w:t>
            </w:r>
          </w:p>
        </w:tc>
        <w:tc>
          <w:tcPr>
            <w:tcW w:w="646" w:type="pct"/>
            <w:shd w:val="clear" w:color="auto" w:fill="DBE5F1" w:themeFill="accent1" w:themeFillTint="33"/>
            <w:vAlign w:val="center"/>
          </w:tcPr>
          <w:p w:rsidR="00D14FD6" w:rsidRPr="00D620C9" w:rsidRDefault="00D14FD6" w:rsidP="00B54C8F">
            <w:pPr>
              <w:pStyle w:val="Paragrafoelenco"/>
              <w:numPr>
                <w:ilvl w:val="0"/>
                <w:numId w:val="72"/>
              </w:numPr>
              <w:spacing w:before="0" w:after="0"/>
              <w:jc w:val="left"/>
              <w:rPr>
                <w:rFonts w:ascii="Arial Narrow" w:hAnsi="Arial Narrow" w:cs="Arial"/>
                <w:sz w:val="20"/>
              </w:rPr>
            </w:pPr>
            <w:r w:rsidRPr="00D620C9">
              <w:rPr>
                <w:rFonts w:ascii="Arial Narrow" w:hAnsi="Arial Narrow" w:cs="Arial"/>
                <w:sz w:val="20"/>
              </w:rPr>
              <w:t>Tools, programs and interventions which did benefit of external assessment;</w:t>
            </w:r>
          </w:p>
          <w:p w:rsidR="00D14FD6" w:rsidRPr="00D620C9" w:rsidRDefault="00D14FD6" w:rsidP="00B54C8F">
            <w:pPr>
              <w:pStyle w:val="Paragrafoelenco"/>
              <w:numPr>
                <w:ilvl w:val="0"/>
                <w:numId w:val="72"/>
              </w:numPr>
              <w:spacing w:before="0" w:after="0"/>
              <w:jc w:val="left"/>
              <w:rPr>
                <w:rFonts w:ascii="Arial Narrow" w:hAnsi="Arial Narrow" w:cs="Arial"/>
                <w:sz w:val="20"/>
              </w:rPr>
            </w:pPr>
            <w:r w:rsidRPr="00D620C9">
              <w:rPr>
                <w:rFonts w:ascii="Arial Narrow" w:hAnsi="Arial Narrow" w:cs="Arial"/>
                <w:sz w:val="20"/>
              </w:rPr>
              <w:t>Mechanisms in place to follow up implementation of evaluations’ recommendations;</w:t>
            </w:r>
          </w:p>
        </w:tc>
        <w:tc>
          <w:tcPr>
            <w:tcW w:w="415" w:type="pct"/>
            <w:vAlign w:val="center"/>
          </w:tcPr>
          <w:p w:rsidR="00D14FD6" w:rsidRPr="00D620C9" w:rsidRDefault="00D14FD6" w:rsidP="00D14FD6">
            <w:pPr>
              <w:pStyle w:val="Paragrafoelenco"/>
              <w:spacing w:before="0" w:after="0"/>
              <w:ind w:left="170"/>
              <w:jc w:val="center"/>
              <w:rPr>
                <w:rFonts w:ascii="Arial Narrow" w:hAnsi="Arial Narrow" w:cs="Arial"/>
                <w:sz w:val="20"/>
              </w:rPr>
            </w:pPr>
            <w:r>
              <w:rPr>
                <w:rFonts w:ascii="Arial Narrow" w:hAnsi="Arial Narrow" w:cs="Arial"/>
                <w:sz w:val="20"/>
              </w:rPr>
              <w:t>x</w:t>
            </w:r>
          </w:p>
        </w:tc>
        <w:tc>
          <w:tcPr>
            <w:tcW w:w="3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91" w:type="pct"/>
            <w:vAlign w:val="center"/>
          </w:tcPr>
          <w:p w:rsidR="00D14FD6" w:rsidRPr="00D620C9" w:rsidRDefault="00D14FD6" w:rsidP="00D14FD6">
            <w:pPr>
              <w:spacing w:before="0" w:after="0"/>
              <w:contextualSpacing/>
              <w:jc w:val="center"/>
              <w:rPr>
                <w:rFonts w:ascii="Arial Narrow" w:hAnsi="Arial Narrow" w:cs="Arial"/>
                <w:sz w:val="20"/>
              </w:rPr>
            </w:pPr>
          </w:p>
        </w:tc>
        <w:tc>
          <w:tcPr>
            <w:tcW w:w="293"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147"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44" w:type="pct"/>
            <w:vAlign w:val="center"/>
          </w:tcPr>
          <w:p w:rsidR="00D14FD6" w:rsidRPr="00D620C9" w:rsidRDefault="00D14FD6" w:rsidP="00D14FD6">
            <w:pPr>
              <w:spacing w:before="0" w:after="0"/>
              <w:contextualSpacing/>
              <w:jc w:val="center"/>
              <w:rPr>
                <w:rFonts w:ascii="Arial Narrow" w:hAnsi="Arial Narrow" w:cs="Arial"/>
                <w:sz w:val="20"/>
              </w:rPr>
            </w:pPr>
          </w:p>
        </w:tc>
        <w:tc>
          <w:tcPr>
            <w:tcW w:w="21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76" w:type="pct"/>
            <w:vAlign w:val="center"/>
          </w:tcPr>
          <w:p w:rsidR="00D14FD6" w:rsidRPr="00D620C9" w:rsidRDefault="00D14FD6" w:rsidP="00D14FD6">
            <w:pPr>
              <w:spacing w:before="0" w:after="0"/>
              <w:contextualSpacing/>
              <w:jc w:val="center"/>
              <w:rPr>
                <w:rFonts w:ascii="Arial Narrow" w:hAnsi="Arial Narrow" w:cs="Arial"/>
                <w:sz w:val="20"/>
              </w:rPr>
            </w:pPr>
          </w:p>
        </w:tc>
        <w:tc>
          <w:tcPr>
            <w:tcW w:w="2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2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55" w:type="pct"/>
            <w:vAlign w:val="center"/>
          </w:tcPr>
          <w:p w:rsidR="00D14FD6" w:rsidRPr="00D620C9" w:rsidRDefault="00D14FD6" w:rsidP="00D14FD6">
            <w:pPr>
              <w:pStyle w:val="Paragrafoelenco"/>
              <w:spacing w:before="0" w:after="0"/>
              <w:ind w:left="170"/>
              <w:jc w:val="center"/>
              <w:rPr>
                <w:rFonts w:ascii="Arial Narrow" w:hAnsi="Arial Narrow" w:cs="Arial"/>
                <w:sz w:val="20"/>
              </w:rPr>
            </w:pPr>
          </w:p>
        </w:tc>
      </w:tr>
      <w:tr w:rsidR="00D14FD6" w:rsidRPr="00D620C9" w:rsidTr="00D14FD6">
        <w:tc>
          <w:tcPr>
            <w:tcW w:w="497" w:type="pct"/>
            <w:vMerge/>
            <w:shd w:val="clear" w:color="auto" w:fill="DBE5F1" w:themeFill="accent1" w:themeFillTint="33"/>
            <w:vAlign w:val="center"/>
          </w:tcPr>
          <w:p w:rsidR="00D14FD6" w:rsidRPr="00D620C9" w:rsidRDefault="00D14FD6" w:rsidP="000954E5">
            <w:pPr>
              <w:spacing w:before="0" w:after="0"/>
              <w:jc w:val="left"/>
              <w:rPr>
                <w:rFonts w:ascii="Arial Narrow" w:hAnsi="Arial Narrow" w:cs="Arial"/>
                <w:sz w:val="20"/>
              </w:rPr>
            </w:pPr>
          </w:p>
        </w:tc>
        <w:tc>
          <w:tcPr>
            <w:tcW w:w="738" w:type="pct"/>
            <w:shd w:val="clear" w:color="auto" w:fill="DBE5F1" w:themeFill="accent1" w:themeFillTint="33"/>
            <w:vAlign w:val="center"/>
          </w:tcPr>
          <w:p w:rsidR="00D14FD6" w:rsidRPr="00D620C9" w:rsidRDefault="00D14FD6" w:rsidP="000954E5">
            <w:pPr>
              <w:spacing w:before="0" w:after="0"/>
              <w:jc w:val="left"/>
              <w:rPr>
                <w:rFonts w:ascii="Arial Narrow" w:hAnsi="Arial Narrow" w:cs="Arial"/>
                <w:b/>
                <w:sz w:val="20"/>
              </w:rPr>
            </w:pPr>
            <w:r w:rsidRPr="00D620C9">
              <w:rPr>
                <w:rFonts w:ascii="Arial Narrow" w:hAnsi="Arial Narrow" w:cs="Arial"/>
                <w:b/>
                <w:sz w:val="20"/>
              </w:rPr>
              <w:t xml:space="preserve">JC6. </w:t>
            </w:r>
            <w:r w:rsidRPr="00D620C9">
              <w:rPr>
                <w:rFonts w:ascii="Arial Narrow" w:hAnsi="Arial Narrow" w:cs="Arial"/>
                <w:sz w:val="20"/>
              </w:rPr>
              <w:t>Effective communication and visibility strategies and mechanisms supports EU cooperation</w:t>
            </w:r>
          </w:p>
        </w:tc>
        <w:tc>
          <w:tcPr>
            <w:tcW w:w="646" w:type="pct"/>
            <w:shd w:val="clear" w:color="auto" w:fill="DBE5F1" w:themeFill="accent1" w:themeFillTint="33"/>
            <w:vAlign w:val="center"/>
          </w:tcPr>
          <w:p w:rsidR="00D14FD6" w:rsidRPr="00D620C9" w:rsidRDefault="00D14FD6" w:rsidP="00B54C8F">
            <w:pPr>
              <w:pStyle w:val="Paragrafoelenco"/>
              <w:numPr>
                <w:ilvl w:val="0"/>
                <w:numId w:val="73"/>
              </w:numPr>
              <w:spacing w:before="0" w:after="0"/>
              <w:jc w:val="left"/>
              <w:rPr>
                <w:rFonts w:ascii="Arial Narrow" w:hAnsi="Arial Narrow" w:cs="Arial"/>
                <w:sz w:val="20"/>
              </w:rPr>
            </w:pPr>
            <w:r w:rsidRPr="00D620C9">
              <w:rPr>
                <w:rFonts w:ascii="Arial Narrow" w:hAnsi="Arial Narrow" w:cs="Arial"/>
                <w:sz w:val="20"/>
              </w:rPr>
              <w:t>Visibility and communication strategy in place;</w:t>
            </w:r>
          </w:p>
          <w:p w:rsidR="00D14FD6" w:rsidRPr="00D620C9" w:rsidRDefault="00D14FD6" w:rsidP="00B54C8F">
            <w:pPr>
              <w:pStyle w:val="Paragrafoelenco"/>
              <w:numPr>
                <w:ilvl w:val="0"/>
                <w:numId w:val="73"/>
              </w:numPr>
              <w:spacing w:before="0" w:after="0"/>
              <w:jc w:val="left"/>
              <w:rPr>
                <w:rFonts w:ascii="Arial Narrow" w:hAnsi="Arial Narrow" w:cs="Arial"/>
                <w:sz w:val="20"/>
              </w:rPr>
            </w:pPr>
            <w:r w:rsidRPr="00D620C9">
              <w:rPr>
                <w:rFonts w:ascii="Arial Narrow" w:hAnsi="Arial Narrow" w:cs="Arial"/>
                <w:sz w:val="20"/>
              </w:rPr>
              <w:t>Communication strategy is designed to support contributions to goals;</w:t>
            </w:r>
          </w:p>
        </w:tc>
        <w:tc>
          <w:tcPr>
            <w:tcW w:w="415" w:type="pct"/>
            <w:vAlign w:val="center"/>
          </w:tcPr>
          <w:p w:rsidR="00D14FD6" w:rsidRPr="00D620C9" w:rsidRDefault="00D14FD6" w:rsidP="00D14FD6">
            <w:pPr>
              <w:pStyle w:val="Paragrafoelenco"/>
              <w:spacing w:before="0" w:after="0"/>
              <w:ind w:left="170"/>
              <w:jc w:val="center"/>
              <w:rPr>
                <w:rFonts w:ascii="Arial Narrow" w:hAnsi="Arial Narrow" w:cs="Arial"/>
                <w:sz w:val="20"/>
              </w:rPr>
            </w:pPr>
            <w:r>
              <w:rPr>
                <w:rFonts w:ascii="Arial Narrow" w:hAnsi="Arial Narrow" w:cs="Arial"/>
                <w:sz w:val="20"/>
              </w:rPr>
              <w:t>x</w:t>
            </w:r>
          </w:p>
        </w:tc>
        <w:tc>
          <w:tcPr>
            <w:tcW w:w="3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91" w:type="pct"/>
            <w:vAlign w:val="center"/>
          </w:tcPr>
          <w:p w:rsidR="00D14FD6" w:rsidRPr="00D620C9" w:rsidRDefault="00D14FD6" w:rsidP="00D14FD6">
            <w:pPr>
              <w:spacing w:before="0" w:after="0"/>
              <w:contextualSpacing/>
              <w:jc w:val="center"/>
              <w:rPr>
                <w:rFonts w:ascii="Arial Narrow" w:hAnsi="Arial Narrow" w:cs="Arial"/>
                <w:sz w:val="20"/>
              </w:rPr>
            </w:pPr>
          </w:p>
        </w:tc>
        <w:tc>
          <w:tcPr>
            <w:tcW w:w="293"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147"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44" w:type="pct"/>
            <w:vAlign w:val="center"/>
          </w:tcPr>
          <w:p w:rsidR="00D14FD6" w:rsidRPr="00D620C9" w:rsidRDefault="00D14FD6" w:rsidP="00D14FD6">
            <w:pPr>
              <w:spacing w:before="0" w:after="0"/>
              <w:contextualSpacing/>
              <w:jc w:val="center"/>
              <w:rPr>
                <w:rFonts w:ascii="Arial Narrow" w:hAnsi="Arial Narrow" w:cs="Arial"/>
                <w:sz w:val="20"/>
              </w:rPr>
            </w:pPr>
          </w:p>
        </w:tc>
        <w:tc>
          <w:tcPr>
            <w:tcW w:w="21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76" w:type="pct"/>
            <w:vAlign w:val="center"/>
          </w:tcPr>
          <w:p w:rsidR="00D14FD6" w:rsidRPr="00D620C9" w:rsidRDefault="00D14FD6" w:rsidP="00D14FD6">
            <w:pPr>
              <w:spacing w:before="0" w:after="0"/>
              <w:contextualSpacing/>
              <w:jc w:val="center"/>
              <w:rPr>
                <w:rFonts w:ascii="Arial Narrow" w:hAnsi="Arial Narrow" w:cs="Arial"/>
                <w:sz w:val="20"/>
              </w:rPr>
            </w:pPr>
          </w:p>
        </w:tc>
        <w:tc>
          <w:tcPr>
            <w:tcW w:w="2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2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55" w:type="pct"/>
            <w:vAlign w:val="center"/>
          </w:tcPr>
          <w:p w:rsidR="00D14FD6" w:rsidRPr="00D620C9" w:rsidRDefault="00D14FD6" w:rsidP="00D14FD6">
            <w:pPr>
              <w:pStyle w:val="Paragrafoelenco"/>
              <w:spacing w:before="0" w:after="0"/>
              <w:ind w:left="170"/>
              <w:jc w:val="center"/>
              <w:rPr>
                <w:rFonts w:ascii="Arial Narrow" w:hAnsi="Arial Narrow" w:cs="Arial"/>
                <w:sz w:val="20"/>
              </w:rPr>
            </w:pPr>
          </w:p>
        </w:tc>
      </w:tr>
      <w:tr w:rsidR="00D14FD6" w:rsidRPr="00D620C9" w:rsidTr="00D14FD6">
        <w:tc>
          <w:tcPr>
            <w:tcW w:w="497" w:type="pct"/>
            <w:vMerge w:val="restart"/>
            <w:shd w:val="clear" w:color="auto" w:fill="DBE5F1" w:themeFill="accent1" w:themeFillTint="33"/>
            <w:vAlign w:val="center"/>
          </w:tcPr>
          <w:p w:rsidR="00D14FD6" w:rsidRPr="00D620C9" w:rsidRDefault="00D14FD6" w:rsidP="000954E5">
            <w:pPr>
              <w:spacing w:before="0" w:after="0"/>
              <w:jc w:val="left"/>
              <w:rPr>
                <w:rFonts w:ascii="Arial Narrow" w:hAnsi="Arial Narrow" w:cs="Arial"/>
                <w:sz w:val="20"/>
              </w:rPr>
            </w:pPr>
            <w:r w:rsidRPr="00D620C9">
              <w:rPr>
                <w:rFonts w:ascii="Arial Narrow" w:hAnsi="Arial Narrow" w:cs="Arial"/>
                <w:b/>
                <w:sz w:val="20"/>
              </w:rPr>
              <w:t xml:space="preserve">EQ4 - COOPERATION INSTRUMENTS; </w:t>
            </w:r>
            <w:r w:rsidRPr="00D620C9">
              <w:rPr>
                <w:rFonts w:ascii="Arial Narrow" w:hAnsi="Arial Narrow" w:cs="Arial"/>
                <w:sz w:val="20"/>
              </w:rPr>
              <w:t>Are the different cooperation instruments adapted, suitably flexible and effective for contributing to political and cooperation goals?</w:t>
            </w:r>
          </w:p>
        </w:tc>
        <w:tc>
          <w:tcPr>
            <w:tcW w:w="738" w:type="pct"/>
            <w:shd w:val="clear" w:color="auto" w:fill="DBE5F1" w:themeFill="accent1" w:themeFillTint="33"/>
            <w:vAlign w:val="center"/>
          </w:tcPr>
          <w:p w:rsidR="00D14FD6" w:rsidRPr="00D620C9" w:rsidRDefault="00D14FD6" w:rsidP="000954E5">
            <w:pPr>
              <w:spacing w:before="0" w:after="0"/>
              <w:jc w:val="left"/>
              <w:rPr>
                <w:rFonts w:ascii="Arial Narrow" w:hAnsi="Arial Narrow" w:cs="Arial"/>
                <w:i/>
                <w:iCs/>
                <w:caps/>
                <w:color w:val="943634"/>
                <w:spacing w:val="10"/>
                <w:sz w:val="20"/>
                <w:u w:val="single"/>
              </w:rPr>
            </w:pPr>
            <w:r w:rsidRPr="00D620C9">
              <w:rPr>
                <w:rFonts w:ascii="Arial Narrow" w:hAnsi="Arial Narrow" w:cs="Arial"/>
                <w:b/>
                <w:sz w:val="20"/>
              </w:rPr>
              <w:t>JC1.</w:t>
            </w:r>
            <w:r w:rsidRPr="00D620C9">
              <w:rPr>
                <w:rFonts w:ascii="Arial Narrow" w:hAnsi="Arial Narrow" w:cs="Arial"/>
                <w:sz w:val="20"/>
              </w:rPr>
              <w:t xml:space="preserve"> Direct financial support (PEGASE) is effectively supporting political goals</w:t>
            </w:r>
          </w:p>
        </w:tc>
        <w:tc>
          <w:tcPr>
            <w:tcW w:w="646" w:type="pct"/>
            <w:shd w:val="clear" w:color="auto" w:fill="DBE5F1" w:themeFill="accent1" w:themeFillTint="33"/>
            <w:vAlign w:val="center"/>
          </w:tcPr>
          <w:p w:rsidR="00D14FD6" w:rsidRPr="00D620C9" w:rsidRDefault="00D14FD6" w:rsidP="00B54C8F">
            <w:pPr>
              <w:pStyle w:val="Paragrafoelenco"/>
              <w:numPr>
                <w:ilvl w:val="0"/>
                <w:numId w:val="74"/>
              </w:numPr>
              <w:spacing w:before="0" w:after="0"/>
              <w:jc w:val="left"/>
              <w:rPr>
                <w:rFonts w:ascii="Arial Narrow" w:hAnsi="Arial Narrow" w:cs="Arial"/>
                <w:sz w:val="20"/>
              </w:rPr>
            </w:pPr>
            <w:r w:rsidRPr="00D620C9">
              <w:rPr>
                <w:rFonts w:ascii="Arial Narrow" w:hAnsi="Arial Narrow" w:cs="Arial"/>
                <w:sz w:val="20"/>
              </w:rPr>
              <w:t>External assessment of PEGASE;</w:t>
            </w:r>
          </w:p>
          <w:p w:rsidR="00D14FD6" w:rsidRPr="00D620C9" w:rsidRDefault="00D14FD6" w:rsidP="00B54C8F">
            <w:pPr>
              <w:pStyle w:val="Paragrafoelenco"/>
              <w:numPr>
                <w:ilvl w:val="0"/>
                <w:numId w:val="74"/>
              </w:numPr>
              <w:spacing w:before="0" w:after="0"/>
              <w:jc w:val="left"/>
              <w:rPr>
                <w:rFonts w:ascii="Arial Narrow" w:hAnsi="Arial Narrow" w:cs="Arial"/>
                <w:sz w:val="20"/>
              </w:rPr>
            </w:pPr>
            <w:r w:rsidRPr="00D620C9">
              <w:rPr>
                <w:rFonts w:ascii="Arial Narrow" w:hAnsi="Arial Narrow" w:cs="Arial"/>
                <w:sz w:val="20"/>
              </w:rPr>
              <w:t>Evidence of outcomes contributing to viable Palestinian State;</w:t>
            </w:r>
          </w:p>
        </w:tc>
        <w:tc>
          <w:tcPr>
            <w:tcW w:w="415" w:type="pct"/>
            <w:vAlign w:val="center"/>
          </w:tcPr>
          <w:p w:rsidR="00D14FD6" w:rsidRPr="00D620C9" w:rsidRDefault="00D14FD6" w:rsidP="00D14FD6">
            <w:pPr>
              <w:pStyle w:val="Paragrafoelenco"/>
              <w:spacing w:before="0" w:after="0"/>
              <w:ind w:left="170"/>
              <w:jc w:val="center"/>
              <w:rPr>
                <w:rFonts w:ascii="Arial Narrow" w:hAnsi="Arial Narrow" w:cs="Arial"/>
                <w:sz w:val="20"/>
              </w:rPr>
            </w:pPr>
            <w:r>
              <w:rPr>
                <w:rFonts w:ascii="Arial Narrow" w:hAnsi="Arial Narrow" w:cs="Arial"/>
                <w:sz w:val="20"/>
              </w:rPr>
              <w:t>x</w:t>
            </w:r>
          </w:p>
        </w:tc>
        <w:tc>
          <w:tcPr>
            <w:tcW w:w="3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91" w:type="pct"/>
            <w:vAlign w:val="center"/>
          </w:tcPr>
          <w:p w:rsidR="00D14FD6" w:rsidRPr="00D620C9" w:rsidRDefault="00D14FD6" w:rsidP="00D14FD6">
            <w:pPr>
              <w:spacing w:before="0" w:after="0"/>
              <w:contextualSpacing/>
              <w:jc w:val="center"/>
              <w:rPr>
                <w:rFonts w:ascii="Arial Narrow" w:hAnsi="Arial Narrow" w:cs="Arial"/>
                <w:sz w:val="20"/>
              </w:rPr>
            </w:pPr>
          </w:p>
        </w:tc>
        <w:tc>
          <w:tcPr>
            <w:tcW w:w="293"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147"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44" w:type="pct"/>
            <w:vAlign w:val="center"/>
          </w:tcPr>
          <w:p w:rsidR="00D14FD6" w:rsidRPr="00D620C9" w:rsidRDefault="00D14FD6" w:rsidP="00D14FD6">
            <w:pPr>
              <w:spacing w:before="0" w:after="0"/>
              <w:contextualSpacing/>
              <w:jc w:val="center"/>
              <w:rPr>
                <w:rFonts w:ascii="Arial Narrow" w:hAnsi="Arial Narrow" w:cs="Arial"/>
                <w:sz w:val="20"/>
              </w:rPr>
            </w:pPr>
          </w:p>
        </w:tc>
        <w:tc>
          <w:tcPr>
            <w:tcW w:w="21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76" w:type="pct"/>
            <w:vAlign w:val="center"/>
          </w:tcPr>
          <w:p w:rsidR="00D14FD6" w:rsidRPr="00D620C9" w:rsidRDefault="00D14FD6" w:rsidP="00D14FD6">
            <w:pPr>
              <w:spacing w:before="0" w:after="0"/>
              <w:contextualSpacing/>
              <w:jc w:val="center"/>
              <w:rPr>
                <w:rFonts w:ascii="Arial Narrow" w:hAnsi="Arial Narrow" w:cs="Arial"/>
                <w:sz w:val="20"/>
              </w:rPr>
            </w:pPr>
          </w:p>
        </w:tc>
        <w:tc>
          <w:tcPr>
            <w:tcW w:w="2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2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55" w:type="pct"/>
            <w:vAlign w:val="center"/>
          </w:tcPr>
          <w:p w:rsidR="00D14FD6" w:rsidRPr="00D620C9" w:rsidRDefault="00D14FD6" w:rsidP="00D14FD6">
            <w:pPr>
              <w:pStyle w:val="Paragrafoelenco"/>
              <w:spacing w:before="0" w:after="0"/>
              <w:ind w:left="170"/>
              <w:jc w:val="center"/>
              <w:rPr>
                <w:rFonts w:ascii="Arial Narrow" w:hAnsi="Arial Narrow" w:cs="Arial"/>
                <w:sz w:val="20"/>
              </w:rPr>
            </w:pPr>
          </w:p>
        </w:tc>
      </w:tr>
      <w:tr w:rsidR="00D14FD6" w:rsidRPr="00D620C9" w:rsidTr="00D14FD6">
        <w:tc>
          <w:tcPr>
            <w:tcW w:w="497" w:type="pct"/>
            <w:vMerge/>
            <w:shd w:val="clear" w:color="auto" w:fill="DBE5F1" w:themeFill="accent1" w:themeFillTint="33"/>
            <w:vAlign w:val="center"/>
          </w:tcPr>
          <w:p w:rsidR="00D14FD6" w:rsidRPr="00D620C9" w:rsidRDefault="00D14FD6" w:rsidP="000954E5">
            <w:pPr>
              <w:spacing w:before="0" w:after="0"/>
              <w:jc w:val="left"/>
              <w:rPr>
                <w:rFonts w:ascii="Arial Narrow" w:hAnsi="Arial Narrow" w:cs="Arial"/>
                <w:sz w:val="20"/>
              </w:rPr>
            </w:pPr>
          </w:p>
        </w:tc>
        <w:tc>
          <w:tcPr>
            <w:tcW w:w="738" w:type="pct"/>
            <w:shd w:val="clear" w:color="auto" w:fill="DBE5F1" w:themeFill="accent1" w:themeFillTint="33"/>
            <w:vAlign w:val="center"/>
          </w:tcPr>
          <w:p w:rsidR="00D14FD6" w:rsidRPr="00D620C9" w:rsidRDefault="00D14FD6" w:rsidP="000954E5">
            <w:pPr>
              <w:autoSpaceDE w:val="0"/>
              <w:autoSpaceDN w:val="0"/>
              <w:adjustRightInd w:val="0"/>
              <w:spacing w:before="0" w:after="0"/>
              <w:jc w:val="left"/>
              <w:rPr>
                <w:rFonts w:ascii="Arial Narrow" w:hAnsi="Arial Narrow" w:cs="Arial"/>
                <w:sz w:val="20"/>
              </w:rPr>
            </w:pPr>
            <w:r w:rsidRPr="00D620C9">
              <w:rPr>
                <w:rFonts w:ascii="Arial Narrow" w:hAnsi="Arial Narrow" w:cs="Arial"/>
                <w:b/>
                <w:sz w:val="20"/>
              </w:rPr>
              <w:t>JC2.</w:t>
            </w:r>
            <w:r w:rsidRPr="00D620C9">
              <w:rPr>
                <w:rFonts w:ascii="Arial Narrow" w:hAnsi="Arial Narrow" w:cs="Arial"/>
                <w:sz w:val="20"/>
              </w:rPr>
              <w:t xml:space="preserve">The EU uses its various instruments in a strategic and complementary way to optimize impact; </w:t>
            </w:r>
          </w:p>
          <w:p w:rsidR="00D14FD6" w:rsidRPr="00D620C9" w:rsidRDefault="00D14FD6" w:rsidP="000954E5">
            <w:pPr>
              <w:autoSpaceDE w:val="0"/>
              <w:autoSpaceDN w:val="0"/>
              <w:adjustRightInd w:val="0"/>
              <w:spacing w:before="0" w:after="0"/>
              <w:jc w:val="left"/>
              <w:rPr>
                <w:rFonts w:ascii="Arial Narrow" w:hAnsi="Arial Narrow" w:cs="Arial"/>
                <w:sz w:val="20"/>
              </w:rPr>
            </w:pPr>
          </w:p>
          <w:p w:rsidR="00D14FD6" w:rsidRPr="00D620C9" w:rsidRDefault="00D14FD6" w:rsidP="000954E5">
            <w:pPr>
              <w:autoSpaceDE w:val="0"/>
              <w:autoSpaceDN w:val="0"/>
              <w:adjustRightInd w:val="0"/>
              <w:spacing w:before="0" w:after="0"/>
              <w:jc w:val="left"/>
              <w:rPr>
                <w:rFonts w:ascii="Arial Narrow" w:hAnsi="Arial Narrow" w:cs="Arial"/>
                <w:i/>
                <w:sz w:val="20"/>
              </w:rPr>
            </w:pPr>
            <w:r w:rsidRPr="00D620C9">
              <w:rPr>
                <w:rFonts w:ascii="Arial Narrow" w:hAnsi="Arial Narrow" w:cs="Arial"/>
                <w:i/>
                <w:sz w:val="20"/>
              </w:rPr>
              <w:lastRenderedPageBreak/>
              <w:t xml:space="preserve">The analysis is covering: </w:t>
            </w:r>
            <w:proofErr w:type="spellStart"/>
            <w:r w:rsidRPr="00D620C9">
              <w:rPr>
                <w:rFonts w:ascii="Arial Narrow" w:hAnsi="Arial Narrow" w:cs="Arial"/>
                <w:i/>
                <w:sz w:val="20"/>
              </w:rPr>
              <w:t>i</w:t>
            </w:r>
            <w:proofErr w:type="spellEnd"/>
            <w:r w:rsidRPr="00D620C9">
              <w:rPr>
                <w:rFonts w:ascii="Arial Narrow" w:hAnsi="Arial Narrow" w:cs="Arial"/>
                <w:i/>
                <w:sz w:val="20"/>
              </w:rPr>
              <w:t>) Development Projects, ii) Support to East Jerusalem, iii) Support to Area C, iv) Thematic programs, v) Regional Programs</w:t>
            </w:r>
          </w:p>
        </w:tc>
        <w:tc>
          <w:tcPr>
            <w:tcW w:w="646" w:type="pct"/>
            <w:shd w:val="clear" w:color="auto" w:fill="DBE5F1" w:themeFill="accent1" w:themeFillTint="33"/>
            <w:vAlign w:val="center"/>
          </w:tcPr>
          <w:p w:rsidR="00D14FD6" w:rsidRPr="00D620C9" w:rsidRDefault="00D14FD6" w:rsidP="00B54C8F">
            <w:pPr>
              <w:pStyle w:val="Paragrafoelenco"/>
              <w:numPr>
                <w:ilvl w:val="0"/>
                <w:numId w:val="75"/>
              </w:numPr>
              <w:spacing w:before="0" w:after="0"/>
              <w:jc w:val="left"/>
              <w:rPr>
                <w:rFonts w:ascii="Arial Narrow" w:hAnsi="Arial Narrow" w:cs="Arial"/>
                <w:sz w:val="20"/>
              </w:rPr>
            </w:pPr>
            <w:r w:rsidRPr="00D620C9">
              <w:rPr>
                <w:rFonts w:ascii="Arial Narrow" w:hAnsi="Arial Narrow" w:cs="Arial"/>
                <w:sz w:val="20"/>
              </w:rPr>
              <w:lastRenderedPageBreak/>
              <w:t>Action Fiches supporting complementarities;</w:t>
            </w:r>
          </w:p>
          <w:p w:rsidR="00D14FD6" w:rsidRPr="00D620C9" w:rsidRDefault="00D14FD6" w:rsidP="00B54C8F">
            <w:pPr>
              <w:pStyle w:val="Paragrafoelenco"/>
              <w:numPr>
                <w:ilvl w:val="0"/>
                <w:numId w:val="75"/>
              </w:numPr>
              <w:spacing w:before="0" w:after="0"/>
              <w:jc w:val="left"/>
              <w:rPr>
                <w:rFonts w:ascii="Arial Narrow" w:hAnsi="Arial Narrow" w:cs="Arial"/>
                <w:sz w:val="20"/>
              </w:rPr>
            </w:pPr>
            <w:r w:rsidRPr="00D620C9">
              <w:rPr>
                <w:rFonts w:ascii="Arial Narrow" w:hAnsi="Arial Narrow" w:cs="Arial"/>
                <w:sz w:val="20"/>
              </w:rPr>
              <w:t xml:space="preserve">External assessment of complementary use </w:t>
            </w:r>
            <w:r w:rsidRPr="00D620C9">
              <w:rPr>
                <w:rFonts w:ascii="Arial Narrow" w:hAnsi="Arial Narrow" w:cs="Arial"/>
                <w:sz w:val="20"/>
              </w:rPr>
              <w:lastRenderedPageBreak/>
              <w:t>of instruments;</w:t>
            </w:r>
          </w:p>
        </w:tc>
        <w:tc>
          <w:tcPr>
            <w:tcW w:w="415" w:type="pct"/>
            <w:vAlign w:val="center"/>
          </w:tcPr>
          <w:p w:rsidR="00D14FD6" w:rsidRPr="00D620C9" w:rsidRDefault="00D14FD6" w:rsidP="00D14FD6">
            <w:pPr>
              <w:pStyle w:val="Paragrafoelenco"/>
              <w:spacing w:before="0" w:after="0"/>
              <w:ind w:left="170"/>
              <w:jc w:val="center"/>
              <w:rPr>
                <w:rFonts w:ascii="Arial Narrow" w:hAnsi="Arial Narrow" w:cs="Arial"/>
                <w:sz w:val="20"/>
              </w:rPr>
            </w:pPr>
            <w:r>
              <w:rPr>
                <w:rFonts w:ascii="Arial Narrow" w:hAnsi="Arial Narrow" w:cs="Arial"/>
                <w:sz w:val="20"/>
              </w:rPr>
              <w:lastRenderedPageBreak/>
              <w:t>x</w:t>
            </w:r>
          </w:p>
        </w:tc>
        <w:tc>
          <w:tcPr>
            <w:tcW w:w="3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91" w:type="pct"/>
            <w:vAlign w:val="center"/>
          </w:tcPr>
          <w:p w:rsidR="00D14FD6" w:rsidRPr="00D620C9" w:rsidRDefault="00D14FD6" w:rsidP="00D14FD6">
            <w:pPr>
              <w:spacing w:before="0" w:after="0"/>
              <w:contextualSpacing/>
              <w:jc w:val="center"/>
              <w:rPr>
                <w:rFonts w:ascii="Arial Narrow" w:hAnsi="Arial Narrow" w:cs="Arial"/>
                <w:sz w:val="20"/>
              </w:rPr>
            </w:pPr>
          </w:p>
        </w:tc>
        <w:tc>
          <w:tcPr>
            <w:tcW w:w="293"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147"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44" w:type="pct"/>
            <w:vAlign w:val="center"/>
          </w:tcPr>
          <w:p w:rsidR="00D14FD6" w:rsidRPr="00D620C9" w:rsidRDefault="00D14FD6" w:rsidP="00D14FD6">
            <w:pPr>
              <w:spacing w:before="0" w:after="0"/>
              <w:contextualSpacing/>
              <w:jc w:val="center"/>
              <w:rPr>
                <w:rFonts w:ascii="Arial Narrow" w:hAnsi="Arial Narrow" w:cs="Arial"/>
                <w:sz w:val="20"/>
              </w:rPr>
            </w:pPr>
          </w:p>
        </w:tc>
        <w:tc>
          <w:tcPr>
            <w:tcW w:w="21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76" w:type="pct"/>
            <w:vAlign w:val="center"/>
          </w:tcPr>
          <w:p w:rsidR="00D14FD6" w:rsidRPr="00D620C9" w:rsidRDefault="00D14FD6" w:rsidP="00D14FD6">
            <w:pPr>
              <w:spacing w:before="0" w:after="0"/>
              <w:contextualSpacing/>
              <w:jc w:val="center"/>
              <w:rPr>
                <w:rFonts w:ascii="Arial Narrow" w:hAnsi="Arial Narrow" w:cs="Arial"/>
                <w:sz w:val="20"/>
              </w:rPr>
            </w:pPr>
          </w:p>
        </w:tc>
        <w:tc>
          <w:tcPr>
            <w:tcW w:w="2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2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55" w:type="pct"/>
            <w:vAlign w:val="center"/>
          </w:tcPr>
          <w:p w:rsidR="00D14FD6" w:rsidRPr="00D620C9" w:rsidRDefault="00D14FD6" w:rsidP="00D14FD6">
            <w:pPr>
              <w:pStyle w:val="Paragrafoelenco"/>
              <w:spacing w:before="0" w:after="0"/>
              <w:ind w:left="170"/>
              <w:jc w:val="center"/>
              <w:rPr>
                <w:rFonts w:ascii="Arial Narrow" w:hAnsi="Arial Narrow" w:cs="Arial"/>
                <w:sz w:val="20"/>
              </w:rPr>
            </w:pPr>
          </w:p>
        </w:tc>
      </w:tr>
      <w:tr w:rsidR="00D14FD6" w:rsidRPr="00D620C9" w:rsidTr="00D14FD6">
        <w:tc>
          <w:tcPr>
            <w:tcW w:w="497" w:type="pct"/>
            <w:vMerge/>
            <w:shd w:val="clear" w:color="auto" w:fill="DBE5F1" w:themeFill="accent1" w:themeFillTint="33"/>
            <w:vAlign w:val="center"/>
          </w:tcPr>
          <w:p w:rsidR="00D14FD6" w:rsidRPr="00D620C9" w:rsidRDefault="00D14FD6" w:rsidP="000954E5">
            <w:pPr>
              <w:spacing w:before="0" w:after="0"/>
              <w:jc w:val="left"/>
              <w:rPr>
                <w:rFonts w:ascii="Arial Narrow" w:hAnsi="Arial Narrow" w:cs="Arial"/>
                <w:sz w:val="20"/>
              </w:rPr>
            </w:pPr>
          </w:p>
        </w:tc>
        <w:tc>
          <w:tcPr>
            <w:tcW w:w="738" w:type="pct"/>
            <w:shd w:val="clear" w:color="auto" w:fill="DBE5F1" w:themeFill="accent1" w:themeFillTint="33"/>
            <w:vAlign w:val="center"/>
          </w:tcPr>
          <w:p w:rsidR="00D14FD6" w:rsidRPr="00D620C9" w:rsidRDefault="00D14FD6" w:rsidP="000954E5">
            <w:pPr>
              <w:spacing w:before="0" w:after="0"/>
              <w:jc w:val="left"/>
              <w:rPr>
                <w:rFonts w:ascii="Arial Narrow" w:hAnsi="Arial Narrow" w:cs="Arial"/>
                <w:sz w:val="20"/>
              </w:rPr>
            </w:pPr>
            <w:r w:rsidRPr="00D620C9">
              <w:rPr>
                <w:rFonts w:ascii="Arial Narrow" w:hAnsi="Arial Narrow" w:cs="Arial"/>
                <w:b/>
                <w:sz w:val="20"/>
              </w:rPr>
              <w:t>JC3.</w:t>
            </w:r>
            <w:r w:rsidRPr="00D620C9">
              <w:rPr>
                <w:rFonts w:ascii="Arial Narrow" w:hAnsi="Arial Narrow" w:cs="Arial"/>
                <w:sz w:val="20"/>
              </w:rPr>
              <w:t>Support to refugees through UNRWA is strategically supporting the achievement of EU goals for the Palestinian people</w:t>
            </w:r>
          </w:p>
        </w:tc>
        <w:tc>
          <w:tcPr>
            <w:tcW w:w="646" w:type="pct"/>
            <w:shd w:val="clear" w:color="auto" w:fill="DBE5F1" w:themeFill="accent1" w:themeFillTint="33"/>
            <w:vAlign w:val="center"/>
          </w:tcPr>
          <w:p w:rsidR="00D14FD6" w:rsidRPr="00D620C9" w:rsidRDefault="00D14FD6" w:rsidP="00B54C8F">
            <w:pPr>
              <w:pStyle w:val="Paragrafoelenco"/>
              <w:numPr>
                <w:ilvl w:val="0"/>
                <w:numId w:val="76"/>
              </w:numPr>
              <w:spacing w:before="0" w:after="0"/>
              <w:jc w:val="left"/>
              <w:rPr>
                <w:rFonts w:ascii="Arial Narrow" w:hAnsi="Arial Narrow" w:cs="Arial"/>
                <w:sz w:val="20"/>
              </w:rPr>
            </w:pPr>
            <w:r w:rsidRPr="00D620C9">
              <w:rPr>
                <w:rFonts w:ascii="Arial Narrow" w:hAnsi="Arial Narrow" w:cs="Arial"/>
                <w:sz w:val="20"/>
              </w:rPr>
              <w:t>External assessment of outcomes of UNRWA efforts;</w:t>
            </w:r>
          </w:p>
          <w:p w:rsidR="00D14FD6" w:rsidRPr="00D620C9" w:rsidRDefault="00D14FD6" w:rsidP="00B54C8F">
            <w:pPr>
              <w:pStyle w:val="Paragrafoelenco"/>
              <w:numPr>
                <w:ilvl w:val="0"/>
                <w:numId w:val="76"/>
              </w:numPr>
              <w:spacing w:before="0" w:after="0"/>
              <w:jc w:val="left"/>
              <w:rPr>
                <w:rFonts w:ascii="Arial Narrow" w:hAnsi="Arial Narrow" w:cs="Arial"/>
                <w:sz w:val="20"/>
              </w:rPr>
            </w:pPr>
            <w:r w:rsidRPr="00D620C9">
              <w:rPr>
                <w:rFonts w:ascii="Arial Narrow" w:hAnsi="Arial Narrow" w:cs="Arial"/>
                <w:sz w:val="20"/>
              </w:rPr>
              <w:t>Evidence of contributions to EU goal as a result of UNRWA support;</w:t>
            </w:r>
          </w:p>
        </w:tc>
        <w:tc>
          <w:tcPr>
            <w:tcW w:w="415" w:type="pct"/>
            <w:vAlign w:val="center"/>
          </w:tcPr>
          <w:p w:rsidR="00D14FD6" w:rsidRPr="00D620C9" w:rsidRDefault="00D14FD6" w:rsidP="00D14FD6">
            <w:pPr>
              <w:pStyle w:val="Paragrafoelenco"/>
              <w:spacing w:before="0" w:after="0"/>
              <w:ind w:left="170"/>
              <w:jc w:val="center"/>
              <w:rPr>
                <w:rFonts w:ascii="Arial Narrow" w:hAnsi="Arial Narrow" w:cs="Arial"/>
                <w:sz w:val="20"/>
              </w:rPr>
            </w:pPr>
            <w:r>
              <w:rPr>
                <w:rFonts w:ascii="Arial Narrow" w:hAnsi="Arial Narrow" w:cs="Arial"/>
                <w:sz w:val="20"/>
              </w:rPr>
              <w:t>x</w:t>
            </w:r>
          </w:p>
        </w:tc>
        <w:tc>
          <w:tcPr>
            <w:tcW w:w="3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91" w:type="pct"/>
            <w:vAlign w:val="center"/>
          </w:tcPr>
          <w:p w:rsidR="00D14FD6" w:rsidRPr="00D620C9" w:rsidRDefault="00D14FD6" w:rsidP="00D14FD6">
            <w:pPr>
              <w:spacing w:before="0" w:after="0"/>
              <w:contextualSpacing/>
              <w:jc w:val="center"/>
              <w:rPr>
                <w:rFonts w:ascii="Arial Narrow" w:hAnsi="Arial Narrow" w:cs="Arial"/>
                <w:sz w:val="20"/>
              </w:rPr>
            </w:pPr>
          </w:p>
        </w:tc>
        <w:tc>
          <w:tcPr>
            <w:tcW w:w="293"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147"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44" w:type="pct"/>
            <w:vAlign w:val="center"/>
          </w:tcPr>
          <w:p w:rsidR="00D14FD6" w:rsidRPr="00D620C9" w:rsidRDefault="00D14FD6" w:rsidP="00D14FD6">
            <w:pPr>
              <w:spacing w:before="0" w:after="0"/>
              <w:contextualSpacing/>
              <w:jc w:val="center"/>
              <w:rPr>
                <w:rFonts w:ascii="Arial Narrow" w:hAnsi="Arial Narrow" w:cs="Arial"/>
                <w:sz w:val="20"/>
              </w:rPr>
            </w:pPr>
          </w:p>
        </w:tc>
        <w:tc>
          <w:tcPr>
            <w:tcW w:w="21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76" w:type="pct"/>
            <w:vAlign w:val="center"/>
          </w:tcPr>
          <w:p w:rsidR="00D14FD6" w:rsidRPr="00D620C9" w:rsidRDefault="00D14FD6" w:rsidP="00D14FD6">
            <w:pPr>
              <w:spacing w:before="0" w:after="0"/>
              <w:contextualSpacing/>
              <w:jc w:val="center"/>
              <w:rPr>
                <w:rFonts w:ascii="Arial Narrow" w:hAnsi="Arial Narrow" w:cs="Arial"/>
                <w:sz w:val="20"/>
              </w:rPr>
            </w:pPr>
          </w:p>
        </w:tc>
        <w:tc>
          <w:tcPr>
            <w:tcW w:w="2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2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55" w:type="pct"/>
            <w:vAlign w:val="center"/>
          </w:tcPr>
          <w:p w:rsidR="00D14FD6" w:rsidRPr="00D620C9" w:rsidRDefault="00D14FD6" w:rsidP="00D14FD6">
            <w:pPr>
              <w:pStyle w:val="Paragrafoelenco"/>
              <w:spacing w:before="0" w:after="0"/>
              <w:ind w:left="170"/>
              <w:jc w:val="center"/>
              <w:rPr>
                <w:rFonts w:ascii="Arial Narrow" w:hAnsi="Arial Narrow" w:cs="Arial"/>
                <w:sz w:val="20"/>
              </w:rPr>
            </w:pPr>
          </w:p>
        </w:tc>
      </w:tr>
      <w:tr w:rsidR="00D14FD6" w:rsidRPr="00D620C9" w:rsidTr="00D14FD6">
        <w:tc>
          <w:tcPr>
            <w:tcW w:w="497" w:type="pct"/>
            <w:vMerge w:val="restart"/>
            <w:shd w:val="clear" w:color="auto" w:fill="DBE5F1" w:themeFill="accent1" w:themeFillTint="33"/>
            <w:vAlign w:val="center"/>
          </w:tcPr>
          <w:p w:rsidR="00D14FD6" w:rsidRPr="00D620C9" w:rsidRDefault="00D14FD6" w:rsidP="000954E5">
            <w:pPr>
              <w:spacing w:before="0" w:after="0"/>
              <w:jc w:val="left"/>
              <w:rPr>
                <w:rFonts w:ascii="Arial Narrow" w:hAnsi="Arial Narrow" w:cs="Arial"/>
                <w:sz w:val="20"/>
              </w:rPr>
            </w:pPr>
            <w:r w:rsidRPr="00D620C9">
              <w:rPr>
                <w:rFonts w:ascii="Arial Narrow" w:hAnsi="Arial Narrow" w:cs="Arial"/>
                <w:b/>
                <w:sz w:val="20"/>
              </w:rPr>
              <w:t xml:space="preserve">EQ 5 - STRATEGIC ALLIANCES; </w:t>
            </w:r>
            <w:r w:rsidRPr="00D620C9">
              <w:rPr>
                <w:rFonts w:ascii="Arial Narrow" w:hAnsi="Arial Narrow" w:cs="Arial"/>
                <w:sz w:val="20"/>
              </w:rPr>
              <w:t>To what extent and how has the EU engaged in strategic alliances with key actors in-country with a view to enhancing the relevance, outreach and impact of its own political and cooperation efforts?</w:t>
            </w:r>
          </w:p>
        </w:tc>
        <w:tc>
          <w:tcPr>
            <w:tcW w:w="738" w:type="pct"/>
            <w:shd w:val="clear" w:color="auto" w:fill="DBE5F1" w:themeFill="accent1" w:themeFillTint="33"/>
            <w:vAlign w:val="center"/>
          </w:tcPr>
          <w:p w:rsidR="00D14FD6" w:rsidRPr="00D620C9" w:rsidRDefault="00D14FD6" w:rsidP="000954E5">
            <w:pPr>
              <w:spacing w:before="0" w:after="0"/>
              <w:jc w:val="left"/>
              <w:rPr>
                <w:rFonts w:ascii="Arial Narrow" w:hAnsi="Arial Narrow" w:cs="Arial"/>
                <w:sz w:val="20"/>
              </w:rPr>
            </w:pPr>
            <w:r w:rsidRPr="00D620C9">
              <w:rPr>
                <w:rFonts w:ascii="Arial Narrow" w:hAnsi="Arial Narrow" w:cs="Arial"/>
                <w:b/>
                <w:sz w:val="20"/>
              </w:rPr>
              <w:t>JC1.</w:t>
            </w:r>
            <w:r w:rsidRPr="00D620C9">
              <w:rPr>
                <w:rFonts w:ascii="Arial Narrow" w:hAnsi="Arial Narrow" w:cs="Arial"/>
                <w:sz w:val="20"/>
              </w:rPr>
              <w:t xml:space="preserve"> The EU engages in dialogue with relevant Palestinian civil society organizations and provides support that fosters their empowerment and viability as domestic change agents</w:t>
            </w:r>
          </w:p>
        </w:tc>
        <w:tc>
          <w:tcPr>
            <w:tcW w:w="646" w:type="pct"/>
            <w:shd w:val="clear" w:color="auto" w:fill="DBE5F1" w:themeFill="accent1" w:themeFillTint="33"/>
            <w:vAlign w:val="center"/>
          </w:tcPr>
          <w:p w:rsidR="00D14FD6" w:rsidRPr="00D620C9" w:rsidRDefault="00D14FD6" w:rsidP="00B54C8F">
            <w:pPr>
              <w:pStyle w:val="Paragrafoelenco"/>
              <w:numPr>
                <w:ilvl w:val="0"/>
                <w:numId w:val="77"/>
              </w:numPr>
              <w:spacing w:before="0" w:after="0"/>
              <w:jc w:val="left"/>
              <w:rPr>
                <w:rFonts w:ascii="Arial Narrow" w:hAnsi="Arial Narrow" w:cs="Arial"/>
                <w:sz w:val="20"/>
              </w:rPr>
            </w:pPr>
            <w:r w:rsidRPr="00D620C9">
              <w:rPr>
                <w:rFonts w:ascii="Arial Narrow" w:hAnsi="Arial Narrow" w:cs="Arial"/>
                <w:sz w:val="20"/>
              </w:rPr>
              <w:t>Example of engagement in dialogue;</w:t>
            </w:r>
          </w:p>
          <w:p w:rsidR="00D14FD6" w:rsidRPr="00D620C9" w:rsidRDefault="00D14FD6" w:rsidP="00B54C8F">
            <w:pPr>
              <w:pStyle w:val="Paragrafoelenco"/>
              <w:numPr>
                <w:ilvl w:val="0"/>
                <w:numId w:val="77"/>
              </w:numPr>
              <w:spacing w:before="0" w:after="0"/>
              <w:jc w:val="left"/>
              <w:rPr>
                <w:rFonts w:ascii="Arial Narrow" w:hAnsi="Arial Narrow" w:cs="Arial"/>
                <w:sz w:val="20"/>
              </w:rPr>
            </w:pPr>
            <w:r w:rsidRPr="00D620C9">
              <w:rPr>
                <w:rFonts w:ascii="Arial Narrow" w:hAnsi="Arial Narrow" w:cs="Arial"/>
                <w:sz w:val="20"/>
              </w:rPr>
              <w:t>External assessment of work with civil society;</w:t>
            </w:r>
          </w:p>
          <w:p w:rsidR="00D14FD6" w:rsidRPr="00D620C9" w:rsidRDefault="00D14FD6" w:rsidP="00B54C8F">
            <w:pPr>
              <w:pStyle w:val="Paragrafoelenco"/>
              <w:numPr>
                <w:ilvl w:val="0"/>
                <w:numId w:val="77"/>
              </w:numPr>
              <w:spacing w:before="0" w:after="0"/>
              <w:jc w:val="left"/>
              <w:rPr>
                <w:rFonts w:ascii="Arial Narrow" w:hAnsi="Arial Narrow" w:cs="Arial"/>
                <w:sz w:val="20"/>
              </w:rPr>
            </w:pPr>
            <w:r w:rsidRPr="00D620C9">
              <w:rPr>
                <w:rFonts w:ascii="Arial Narrow" w:hAnsi="Arial Narrow" w:cs="Arial"/>
                <w:sz w:val="20"/>
              </w:rPr>
              <w:t>Civil society perception of support provided by EU (qualitative analysis tools);</w:t>
            </w:r>
          </w:p>
        </w:tc>
        <w:tc>
          <w:tcPr>
            <w:tcW w:w="415" w:type="pct"/>
            <w:vAlign w:val="center"/>
          </w:tcPr>
          <w:p w:rsidR="00D14FD6" w:rsidRPr="00D620C9" w:rsidRDefault="00D14FD6" w:rsidP="00D14FD6">
            <w:pPr>
              <w:pStyle w:val="Paragrafoelenco"/>
              <w:spacing w:before="0" w:after="0"/>
              <w:ind w:left="170"/>
              <w:jc w:val="center"/>
              <w:rPr>
                <w:rFonts w:ascii="Arial Narrow" w:hAnsi="Arial Narrow" w:cs="Arial"/>
                <w:sz w:val="20"/>
              </w:rPr>
            </w:pPr>
            <w:r>
              <w:rPr>
                <w:rFonts w:ascii="Arial Narrow" w:hAnsi="Arial Narrow" w:cs="Arial"/>
                <w:sz w:val="20"/>
              </w:rPr>
              <w:t>x</w:t>
            </w:r>
          </w:p>
        </w:tc>
        <w:tc>
          <w:tcPr>
            <w:tcW w:w="3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91"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93"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147"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44" w:type="pct"/>
            <w:vAlign w:val="center"/>
          </w:tcPr>
          <w:p w:rsidR="00D14FD6" w:rsidRPr="00D620C9" w:rsidRDefault="00D14FD6" w:rsidP="00D14FD6">
            <w:pPr>
              <w:spacing w:before="0" w:after="0"/>
              <w:contextualSpacing/>
              <w:jc w:val="center"/>
              <w:rPr>
                <w:rFonts w:ascii="Arial Narrow" w:hAnsi="Arial Narrow" w:cs="Arial"/>
                <w:sz w:val="20"/>
              </w:rPr>
            </w:pPr>
          </w:p>
        </w:tc>
        <w:tc>
          <w:tcPr>
            <w:tcW w:w="21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76" w:type="pct"/>
            <w:vAlign w:val="center"/>
          </w:tcPr>
          <w:p w:rsidR="00D14FD6" w:rsidRPr="00D620C9" w:rsidRDefault="00D14FD6" w:rsidP="00D14FD6">
            <w:pPr>
              <w:spacing w:before="0" w:after="0"/>
              <w:contextualSpacing/>
              <w:jc w:val="center"/>
              <w:rPr>
                <w:rFonts w:ascii="Arial Narrow" w:hAnsi="Arial Narrow" w:cs="Arial"/>
                <w:sz w:val="20"/>
              </w:rPr>
            </w:pPr>
          </w:p>
        </w:tc>
        <w:tc>
          <w:tcPr>
            <w:tcW w:w="2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2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55" w:type="pct"/>
            <w:vAlign w:val="center"/>
          </w:tcPr>
          <w:p w:rsidR="00D14FD6" w:rsidRPr="00D620C9" w:rsidRDefault="00D14FD6" w:rsidP="00D14FD6">
            <w:pPr>
              <w:pStyle w:val="Paragrafoelenco"/>
              <w:spacing w:before="0" w:after="0"/>
              <w:ind w:left="170"/>
              <w:jc w:val="center"/>
              <w:rPr>
                <w:rFonts w:ascii="Arial Narrow" w:hAnsi="Arial Narrow" w:cs="Arial"/>
                <w:sz w:val="20"/>
              </w:rPr>
            </w:pPr>
          </w:p>
        </w:tc>
      </w:tr>
      <w:tr w:rsidR="00D14FD6" w:rsidRPr="00D620C9" w:rsidTr="00D14FD6">
        <w:tc>
          <w:tcPr>
            <w:tcW w:w="497" w:type="pct"/>
            <w:vMerge/>
            <w:shd w:val="clear" w:color="auto" w:fill="DBE5F1" w:themeFill="accent1" w:themeFillTint="33"/>
            <w:vAlign w:val="center"/>
          </w:tcPr>
          <w:p w:rsidR="00D14FD6" w:rsidRPr="00D620C9" w:rsidRDefault="00D14FD6" w:rsidP="000954E5">
            <w:pPr>
              <w:spacing w:before="0" w:after="0"/>
              <w:jc w:val="left"/>
              <w:rPr>
                <w:rFonts w:ascii="Arial Narrow" w:hAnsi="Arial Narrow" w:cs="Arial"/>
                <w:sz w:val="20"/>
              </w:rPr>
            </w:pPr>
          </w:p>
        </w:tc>
        <w:tc>
          <w:tcPr>
            <w:tcW w:w="738" w:type="pct"/>
            <w:shd w:val="clear" w:color="auto" w:fill="DBE5F1" w:themeFill="accent1" w:themeFillTint="33"/>
            <w:vAlign w:val="center"/>
          </w:tcPr>
          <w:p w:rsidR="00D14FD6" w:rsidRPr="00D620C9" w:rsidRDefault="00D14FD6" w:rsidP="000954E5">
            <w:pPr>
              <w:spacing w:before="0" w:after="0"/>
              <w:jc w:val="left"/>
              <w:rPr>
                <w:rFonts w:ascii="Arial Narrow" w:hAnsi="Arial Narrow" w:cs="Arial"/>
                <w:sz w:val="20"/>
              </w:rPr>
            </w:pPr>
            <w:r w:rsidRPr="00D620C9">
              <w:rPr>
                <w:rFonts w:ascii="Arial Narrow" w:hAnsi="Arial Narrow" w:cs="Arial"/>
                <w:b/>
                <w:sz w:val="20"/>
              </w:rPr>
              <w:t>JC2</w:t>
            </w:r>
            <w:r w:rsidRPr="00D620C9">
              <w:rPr>
                <w:rFonts w:ascii="Arial Narrow" w:hAnsi="Arial Narrow" w:cs="Arial"/>
                <w:sz w:val="20"/>
              </w:rPr>
              <w:t xml:space="preserve">. The EU has developed an effective strategic framework to engage (politically) with UNRWA, including appropriate institutional arrangements </w:t>
            </w:r>
          </w:p>
        </w:tc>
        <w:tc>
          <w:tcPr>
            <w:tcW w:w="646" w:type="pct"/>
            <w:shd w:val="clear" w:color="auto" w:fill="DBE5F1" w:themeFill="accent1" w:themeFillTint="33"/>
            <w:vAlign w:val="center"/>
          </w:tcPr>
          <w:p w:rsidR="00D14FD6" w:rsidRPr="00D620C9" w:rsidRDefault="00D14FD6" w:rsidP="00B54C8F">
            <w:pPr>
              <w:pStyle w:val="Paragrafoelenco"/>
              <w:numPr>
                <w:ilvl w:val="0"/>
                <w:numId w:val="78"/>
              </w:numPr>
              <w:spacing w:before="0" w:after="0"/>
              <w:jc w:val="left"/>
              <w:rPr>
                <w:rFonts w:ascii="Arial Narrow" w:hAnsi="Arial Narrow" w:cs="Arial"/>
                <w:sz w:val="20"/>
              </w:rPr>
            </w:pPr>
            <w:r w:rsidRPr="00D620C9">
              <w:rPr>
                <w:rFonts w:ascii="Arial Narrow" w:hAnsi="Arial Narrow" w:cs="Arial"/>
                <w:sz w:val="20"/>
              </w:rPr>
              <w:t>Evidence of political engagements with UNRWA;</w:t>
            </w:r>
          </w:p>
          <w:p w:rsidR="00D14FD6" w:rsidRPr="00D620C9" w:rsidRDefault="00D14FD6" w:rsidP="00B54C8F">
            <w:pPr>
              <w:pStyle w:val="Paragrafoelenco"/>
              <w:numPr>
                <w:ilvl w:val="0"/>
                <w:numId w:val="78"/>
              </w:numPr>
              <w:spacing w:before="0" w:after="0"/>
              <w:jc w:val="left"/>
              <w:rPr>
                <w:rFonts w:ascii="Arial Narrow" w:hAnsi="Arial Narrow" w:cs="Arial"/>
                <w:sz w:val="20"/>
              </w:rPr>
            </w:pPr>
            <w:r w:rsidRPr="00D620C9">
              <w:rPr>
                <w:rFonts w:ascii="Arial Narrow" w:hAnsi="Arial Narrow" w:cs="Arial"/>
                <w:sz w:val="20"/>
              </w:rPr>
              <w:t>Institutional arrangements in place;</w:t>
            </w:r>
          </w:p>
        </w:tc>
        <w:tc>
          <w:tcPr>
            <w:tcW w:w="415" w:type="pct"/>
            <w:vAlign w:val="center"/>
          </w:tcPr>
          <w:p w:rsidR="00D14FD6" w:rsidRPr="00D620C9" w:rsidRDefault="00D14FD6" w:rsidP="00D14FD6">
            <w:pPr>
              <w:pStyle w:val="Paragrafoelenco"/>
              <w:spacing w:before="0" w:after="0"/>
              <w:ind w:left="170"/>
              <w:jc w:val="center"/>
              <w:rPr>
                <w:rFonts w:ascii="Arial Narrow" w:hAnsi="Arial Narrow" w:cs="Arial"/>
                <w:sz w:val="20"/>
              </w:rPr>
            </w:pPr>
            <w:r>
              <w:rPr>
                <w:rFonts w:ascii="Arial Narrow" w:hAnsi="Arial Narrow" w:cs="Arial"/>
                <w:sz w:val="20"/>
              </w:rPr>
              <w:t>x</w:t>
            </w:r>
          </w:p>
        </w:tc>
        <w:tc>
          <w:tcPr>
            <w:tcW w:w="3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91"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93"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147"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44" w:type="pct"/>
            <w:vAlign w:val="center"/>
          </w:tcPr>
          <w:p w:rsidR="00D14FD6" w:rsidRPr="00D620C9" w:rsidRDefault="00D14FD6" w:rsidP="00D14FD6">
            <w:pPr>
              <w:spacing w:before="0" w:after="0"/>
              <w:contextualSpacing/>
              <w:jc w:val="center"/>
              <w:rPr>
                <w:rFonts w:ascii="Arial Narrow" w:hAnsi="Arial Narrow" w:cs="Arial"/>
                <w:sz w:val="20"/>
              </w:rPr>
            </w:pPr>
          </w:p>
        </w:tc>
        <w:tc>
          <w:tcPr>
            <w:tcW w:w="21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76" w:type="pct"/>
            <w:vAlign w:val="center"/>
          </w:tcPr>
          <w:p w:rsidR="00D14FD6" w:rsidRPr="00D620C9" w:rsidRDefault="00D14FD6" w:rsidP="00D14FD6">
            <w:pPr>
              <w:spacing w:before="0" w:after="0"/>
              <w:contextualSpacing/>
              <w:jc w:val="center"/>
              <w:rPr>
                <w:rFonts w:ascii="Arial Narrow" w:hAnsi="Arial Narrow" w:cs="Arial"/>
                <w:sz w:val="20"/>
              </w:rPr>
            </w:pPr>
          </w:p>
        </w:tc>
        <w:tc>
          <w:tcPr>
            <w:tcW w:w="2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2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55" w:type="pct"/>
            <w:vAlign w:val="center"/>
          </w:tcPr>
          <w:p w:rsidR="00D14FD6" w:rsidRPr="00D620C9" w:rsidRDefault="00D14FD6" w:rsidP="00D14FD6">
            <w:pPr>
              <w:pStyle w:val="Paragrafoelenco"/>
              <w:spacing w:before="0" w:after="0"/>
              <w:ind w:left="170"/>
              <w:jc w:val="center"/>
              <w:rPr>
                <w:rFonts w:ascii="Arial Narrow" w:hAnsi="Arial Narrow" w:cs="Arial"/>
                <w:sz w:val="20"/>
              </w:rPr>
            </w:pPr>
          </w:p>
        </w:tc>
      </w:tr>
      <w:tr w:rsidR="00D14FD6" w:rsidRPr="00D620C9" w:rsidTr="00D14FD6">
        <w:tc>
          <w:tcPr>
            <w:tcW w:w="497" w:type="pct"/>
            <w:vMerge/>
            <w:shd w:val="clear" w:color="auto" w:fill="DBE5F1" w:themeFill="accent1" w:themeFillTint="33"/>
            <w:vAlign w:val="center"/>
          </w:tcPr>
          <w:p w:rsidR="00D14FD6" w:rsidRPr="00D620C9" w:rsidRDefault="00D14FD6" w:rsidP="000954E5">
            <w:pPr>
              <w:spacing w:before="0" w:after="0"/>
              <w:jc w:val="left"/>
              <w:rPr>
                <w:rFonts w:ascii="Arial Narrow" w:hAnsi="Arial Narrow" w:cs="Arial"/>
                <w:sz w:val="20"/>
              </w:rPr>
            </w:pPr>
          </w:p>
        </w:tc>
        <w:tc>
          <w:tcPr>
            <w:tcW w:w="738" w:type="pct"/>
            <w:shd w:val="clear" w:color="auto" w:fill="DBE5F1" w:themeFill="accent1" w:themeFillTint="33"/>
            <w:vAlign w:val="center"/>
          </w:tcPr>
          <w:p w:rsidR="00D14FD6" w:rsidRPr="00D620C9" w:rsidRDefault="00D14FD6" w:rsidP="000954E5">
            <w:pPr>
              <w:spacing w:before="0" w:after="0"/>
              <w:jc w:val="left"/>
              <w:rPr>
                <w:rFonts w:ascii="Arial Narrow" w:hAnsi="Arial Narrow" w:cs="Arial"/>
                <w:b/>
                <w:i/>
                <w:iCs/>
                <w:caps/>
                <w:smallCaps/>
                <w:color w:val="943634"/>
                <w:spacing w:val="10"/>
                <w:sz w:val="20"/>
                <w:u w:val="single"/>
              </w:rPr>
            </w:pPr>
            <w:r w:rsidRPr="00D620C9">
              <w:rPr>
                <w:rFonts w:ascii="Arial Narrow" w:hAnsi="Arial Narrow" w:cs="Arial"/>
                <w:b/>
                <w:sz w:val="20"/>
              </w:rPr>
              <w:t>JC 3</w:t>
            </w:r>
            <w:r w:rsidRPr="00D620C9">
              <w:rPr>
                <w:rFonts w:ascii="Arial Narrow" w:hAnsi="Arial Narrow" w:cs="Arial"/>
                <w:sz w:val="20"/>
              </w:rPr>
              <w:t xml:space="preserve">. The EU has developed and effectively </w:t>
            </w:r>
            <w:r w:rsidRPr="00D620C9">
              <w:rPr>
                <w:rFonts w:ascii="Arial Narrow" w:hAnsi="Arial Narrow" w:cs="Arial"/>
                <w:sz w:val="20"/>
              </w:rPr>
              <w:lastRenderedPageBreak/>
              <w:t xml:space="preserve">implemented a strategic alliance with IFIs, </w:t>
            </w:r>
            <w:r w:rsidRPr="00D620C9">
              <w:rPr>
                <w:rFonts w:ascii="Arial Narrow" w:hAnsi="Arial Narrow" w:cs="Arial"/>
                <w:i/>
                <w:sz w:val="20"/>
              </w:rPr>
              <w:t>inter alia</w:t>
            </w:r>
            <w:r w:rsidRPr="00D620C9">
              <w:rPr>
                <w:rFonts w:ascii="Arial Narrow" w:hAnsi="Arial Narrow" w:cs="Arial"/>
                <w:sz w:val="20"/>
              </w:rPr>
              <w:t xml:space="preserve"> through dialogue, joint action, task division on the basis of comparative advantage and a pooling of expertise and financial resources</w:t>
            </w:r>
          </w:p>
        </w:tc>
        <w:tc>
          <w:tcPr>
            <w:tcW w:w="646" w:type="pct"/>
            <w:shd w:val="clear" w:color="auto" w:fill="DBE5F1" w:themeFill="accent1" w:themeFillTint="33"/>
            <w:vAlign w:val="center"/>
          </w:tcPr>
          <w:p w:rsidR="00D14FD6" w:rsidRPr="00D620C9" w:rsidRDefault="00D14FD6" w:rsidP="00B54C8F">
            <w:pPr>
              <w:pStyle w:val="Paragrafoelenco"/>
              <w:numPr>
                <w:ilvl w:val="0"/>
                <w:numId w:val="79"/>
              </w:numPr>
              <w:spacing w:before="0" w:after="0"/>
              <w:jc w:val="left"/>
              <w:rPr>
                <w:rFonts w:ascii="Arial Narrow" w:hAnsi="Arial Narrow" w:cs="Arial"/>
                <w:sz w:val="20"/>
              </w:rPr>
            </w:pPr>
            <w:r w:rsidRPr="00D620C9">
              <w:rPr>
                <w:rFonts w:ascii="Arial Narrow" w:hAnsi="Arial Narrow" w:cs="Arial"/>
                <w:sz w:val="20"/>
              </w:rPr>
              <w:lastRenderedPageBreak/>
              <w:t>Agreements with IFIs to share tasks;</w:t>
            </w:r>
          </w:p>
          <w:p w:rsidR="00D14FD6" w:rsidRPr="00D620C9" w:rsidRDefault="00D14FD6" w:rsidP="00B54C8F">
            <w:pPr>
              <w:pStyle w:val="Paragrafoelenco"/>
              <w:numPr>
                <w:ilvl w:val="0"/>
                <w:numId w:val="79"/>
              </w:numPr>
              <w:spacing w:before="0" w:after="0"/>
              <w:jc w:val="left"/>
              <w:rPr>
                <w:rFonts w:ascii="Arial Narrow" w:hAnsi="Arial Narrow" w:cs="Arial"/>
                <w:sz w:val="20"/>
              </w:rPr>
            </w:pPr>
            <w:r w:rsidRPr="00D620C9">
              <w:rPr>
                <w:rFonts w:ascii="Arial Narrow" w:hAnsi="Arial Narrow" w:cs="Arial"/>
                <w:sz w:val="20"/>
              </w:rPr>
              <w:lastRenderedPageBreak/>
              <w:t>Evidence of joint actions with IFIs;</w:t>
            </w:r>
          </w:p>
          <w:p w:rsidR="00D14FD6" w:rsidRPr="00D620C9" w:rsidRDefault="00D14FD6" w:rsidP="00B54C8F">
            <w:pPr>
              <w:pStyle w:val="Paragrafoelenco"/>
              <w:numPr>
                <w:ilvl w:val="0"/>
                <w:numId w:val="79"/>
              </w:numPr>
              <w:spacing w:before="0" w:after="0"/>
              <w:jc w:val="left"/>
              <w:rPr>
                <w:rFonts w:ascii="Arial Narrow" w:hAnsi="Arial Narrow" w:cs="Arial"/>
                <w:sz w:val="20"/>
              </w:rPr>
            </w:pPr>
            <w:r w:rsidRPr="00D620C9">
              <w:rPr>
                <w:rFonts w:ascii="Arial Narrow" w:hAnsi="Arial Narrow" w:cs="Arial"/>
                <w:sz w:val="20"/>
              </w:rPr>
              <w:t>Examples of blending mechanisms applied to cooperation with Palestine</w:t>
            </w:r>
          </w:p>
        </w:tc>
        <w:tc>
          <w:tcPr>
            <w:tcW w:w="415" w:type="pct"/>
            <w:vAlign w:val="center"/>
          </w:tcPr>
          <w:p w:rsidR="00D14FD6" w:rsidRPr="00D620C9" w:rsidRDefault="00D14FD6" w:rsidP="00D14FD6">
            <w:pPr>
              <w:pStyle w:val="Paragrafoelenco"/>
              <w:spacing w:before="0" w:after="0"/>
              <w:ind w:left="170"/>
              <w:jc w:val="center"/>
              <w:rPr>
                <w:rFonts w:ascii="Arial Narrow" w:hAnsi="Arial Narrow" w:cs="Arial"/>
                <w:sz w:val="20"/>
              </w:rPr>
            </w:pPr>
            <w:r>
              <w:rPr>
                <w:rFonts w:ascii="Arial Narrow" w:hAnsi="Arial Narrow" w:cs="Arial"/>
                <w:sz w:val="20"/>
              </w:rPr>
              <w:lastRenderedPageBreak/>
              <w:t>x</w:t>
            </w:r>
          </w:p>
        </w:tc>
        <w:tc>
          <w:tcPr>
            <w:tcW w:w="3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91"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93"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147"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44" w:type="pct"/>
            <w:vAlign w:val="center"/>
          </w:tcPr>
          <w:p w:rsidR="00D14FD6" w:rsidRPr="00D620C9" w:rsidRDefault="00D14FD6" w:rsidP="00D14FD6">
            <w:pPr>
              <w:spacing w:before="0" w:after="0"/>
              <w:contextualSpacing/>
              <w:jc w:val="center"/>
              <w:rPr>
                <w:rFonts w:ascii="Arial Narrow" w:hAnsi="Arial Narrow" w:cs="Arial"/>
                <w:sz w:val="20"/>
              </w:rPr>
            </w:pPr>
          </w:p>
        </w:tc>
        <w:tc>
          <w:tcPr>
            <w:tcW w:w="21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76" w:type="pct"/>
            <w:vAlign w:val="center"/>
          </w:tcPr>
          <w:p w:rsidR="00D14FD6" w:rsidRPr="00D620C9" w:rsidRDefault="00D14FD6" w:rsidP="00D14FD6">
            <w:pPr>
              <w:spacing w:before="0" w:after="0"/>
              <w:contextualSpacing/>
              <w:jc w:val="center"/>
              <w:rPr>
                <w:rFonts w:ascii="Arial Narrow" w:hAnsi="Arial Narrow" w:cs="Arial"/>
                <w:sz w:val="20"/>
              </w:rPr>
            </w:pPr>
          </w:p>
        </w:tc>
        <w:tc>
          <w:tcPr>
            <w:tcW w:w="2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2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55" w:type="pct"/>
            <w:vAlign w:val="center"/>
          </w:tcPr>
          <w:p w:rsidR="00D14FD6" w:rsidRPr="00D620C9" w:rsidRDefault="00D14FD6" w:rsidP="00D14FD6">
            <w:pPr>
              <w:pStyle w:val="Paragrafoelenco"/>
              <w:spacing w:before="0" w:after="0"/>
              <w:ind w:left="170"/>
              <w:jc w:val="center"/>
              <w:rPr>
                <w:rFonts w:ascii="Arial Narrow" w:hAnsi="Arial Narrow" w:cs="Arial"/>
                <w:sz w:val="20"/>
              </w:rPr>
            </w:pPr>
          </w:p>
        </w:tc>
      </w:tr>
      <w:tr w:rsidR="00D14FD6" w:rsidRPr="00D620C9" w:rsidTr="00D14FD6">
        <w:tc>
          <w:tcPr>
            <w:tcW w:w="497" w:type="pct"/>
            <w:vMerge w:val="restart"/>
            <w:shd w:val="clear" w:color="auto" w:fill="DBE5F1" w:themeFill="accent1" w:themeFillTint="33"/>
            <w:vAlign w:val="center"/>
          </w:tcPr>
          <w:p w:rsidR="00D14FD6" w:rsidRPr="00D620C9" w:rsidRDefault="00D14FD6" w:rsidP="000954E5">
            <w:pPr>
              <w:spacing w:before="0" w:after="0"/>
              <w:jc w:val="left"/>
              <w:rPr>
                <w:rFonts w:ascii="Arial Narrow" w:hAnsi="Arial Narrow" w:cs="Arial"/>
                <w:b/>
                <w:sz w:val="20"/>
              </w:rPr>
            </w:pPr>
          </w:p>
          <w:p w:rsidR="00D14FD6" w:rsidRPr="00D620C9" w:rsidRDefault="00D14FD6" w:rsidP="000954E5">
            <w:pPr>
              <w:spacing w:before="0" w:after="0"/>
              <w:jc w:val="left"/>
              <w:rPr>
                <w:rFonts w:ascii="Arial Narrow" w:hAnsi="Arial Narrow" w:cs="Arial"/>
                <w:b/>
                <w:sz w:val="20"/>
              </w:rPr>
            </w:pPr>
          </w:p>
          <w:p w:rsidR="00D14FD6" w:rsidRPr="00D620C9" w:rsidRDefault="00D14FD6" w:rsidP="000954E5">
            <w:pPr>
              <w:spacing w:before="0" w:after="0"/>
              <w:jc w:val="left"/>
              <w:rPr>
                <w:rFonts w:ascii="Arial Narrow" w:hAnsi="Arial Narrow" w:cs="Arial"/>
                <w:b/>
                <w:sz w:val="20"/>
              </w:rPr>
            </w:pPr>
          </w:p>
          <w:p w:rsidR="00D14FD6" w:rsidRPr="00D620C9" w:rsidRDefault="00D14FD6" w:rsidP="000954E5">
            <w:pPr>
              <w:spacing w:before="0" w:after="0"/>
              <w:jc w:val="left"/>
              <w:rPr>
                <w:rFonts w:ascii="Arial Narrow" w:hAnsi="Arial Narrow" w:cs="Arial"/>
                <w:b/>
                <w:sz w:val="20"/>
              </w:rPr>
            </w:pPr>
            <w:r w:rsidRPr="00D620C9">
              <w:rPr>
                <w:rFonts w:ascii="Arial Narrow" w:hAnsi="Arial Narrow" w:cs="Arial"/>
                <w:b/>
                <w:sz w:val="20"/>
              </w:rPr>
              <w:t xml:space="preserve">EQ6 GOVERNANCE; </w:t>
            </w:r>
          </w:p>
          <w:p w:rsidR="00D14FD6" w:rsidRPr="00D620C9" w:rsidRDefault="00D14FD6" w:rsidP="000954E5">
            <w:pPr>
              <w:spacing w:before="0" w:after="0"/>
              <w:jc w:val="left"/>
              <w:rPr>
                <w:rFonts w:ascii="Arial Narrow" w:hAnsi="Arial Narrow" w:cs="Arial"/>
                <w:b/>
                <w:sz w:val="20"/>
              </w:rPr>
            </w:pPr>
          </w:p>
          <w:p w:rsidR="00D14FD6" w:rsidRPr="00D620C9" w:rsidRDefault="00D14FD6" w:rsidP="000954E5">
            <w:pPr>
              <w:spacing w:before="0" w:after="0"/>
              <w:jc w:val="left"/>
              <w:rPr>
                <w:rFonts w:ascii="Arial Narrow" w:hAnsi="Arial Narrow" w:cs="Arial"/>
                <w:sz w:val="20"/>
              </w:rPr>
            </w:pPr>
            <w:r w:rsidRPr="00D620C9">
              <w:rPr>
                <w:rFonts w:ascii="Arial Narrow" w:hAnsi="Arial Narrow" w:cs="Arial"/>
                <w:color w:val="000000"/>
                <w:sz w:val="20"/>
              </w:rPr>
              <w:t>How effectively does the EC cooperation contribute to the EU goal of building transparent, democratic and accountable Palestinian institutions, respecting the rights of citizens?</w:t>
            </w:r>
          </w:p>
        </w:tc>
        <w:tc>
          <w:tcPr>
            <w:tcW w:w="738" w:type="pct"/>
            <w:shd w:val="clear" w:color="auto" w:fill="DBE5F1" w:themeFill="accent1" w:themeFillTint="33"/>
            <w:vAlign w:val="center"/>
          </w:tcPr>
          <w:p w:rsidR="00D14FD6" w:rsidRPr="00D620C9" w:rsidRDefault="00D14FD6" w:rsidP="000954E5">
            <w:pPr>
              <w:spacing w:before="0" w:after="0"/>
              <w:jc w:val="left"/>
              <w:rPr>
                <w:rFonts w:ascii="Arial Narrow" w:hAnsi="Arial Narrow" w:cs="Arial"/>
                <w:sz w:val="20"/>
              </w:rPr>
            </w:pPr>
            <w:r w:rsidRPr="00D620C9">
              <w:rPr>
                <w:rFonts w:ascii="Arial Narrow" w:hAnsi="Arial Narrow" w:cs="Arial"/>
                <w:b/>
                <w:sz w:val="20"/>
              </w:rPr>
              <w:t>JC1.</w:t>
            </w:r>
            <w:r w:rsidRPr="00D620C9">
              <w:rPr>
                <w:rFonts w:ascii="Arial Narrow" w:hAnsi="Arial Narrow" w:cs="Arial"/>
                <w:sz w:val="20"/>
              </w:rPr>
              <w:t>Clear goals and strategies are set for democracy, justice, human rights and rule of law</w:t>
            </w:r>
          </w:p>
        </w:tc>
        <w:tc>
          <w:tcPr>
            <w:tcW w:w="646" w:type="pct"/>
            <w:shd w:val="clear" w:color="auto" w:fill="DBE5F1" w:themeFill="accent1" w:themeFillTint="33"/>
            <w:vAlign w:val="center"/>
          </w:tcPr>
          <w:p w:rsidR="00D14FD6" w:rsidRPr="00D620C9" w:rsidRDefault="00D14FD6" w:rsidP="00B54C8F">
            <w:pPr>
              <w:pStyle w:val="Paragrafoelenco"/>
              <w:numPr>
                <w:ilvl w:val="0"/>
                <w:numId w:val="80"/>
              </w:numPr>
              <w:spacing w:before="0" w:after="0"/>
              <w:jc w:val="left"/>
              <w:rPr>
                <w:rFonts w:ascii="Arial Narrow" w:hAnsi="Arial Narrow" w:cs="Arial"/>
                <w:sz w:val="20"/>
              </w:rPr>
            </w:pPr>
            <w:r w:rsidRPr="00D620C9">
              <w:rPr>
                <w:rFonts w:ascii="Arial Narrow" w:hAnsi="Arial Narrow" w:cs="Arial"/>
                <w:sz w:val="20"/>
              </w:rPr>
              <w:t>Strategy statements relevant to goals;</w:t>
            </w:r>
          </w:p>
          <w:p w:rsidR="00D14FD6" w:rsidRPr="00D620C9" w:rsidRDefault="00D14FD6" w:rsidP="00B54C8F">
            <w:pPr>
              <w:pStyle w:val="Paragrafoelenco"/>
              <w:numPr>
                <w:ilvl w:val="0"/>
                <w:numId w:val="80"/>
              </w:numPr>
              <w:spacing w:before="0" w:after="0"/>
              <w:jc w:val="left"/>
              <w:rPr>
                <w:rFonts w:ascii="Arial Narrow" w:hAnsi="Arial Narrow" w:cs="Arial"/>
                <w:sz w:val="20"/>
              </w:rPr>
            </w:pPr>
            <w:r w:rsidRPr="00D620C9">
              <w:rPr>
                <w:rFonts w:ascii="Arial Narrow" w:hAnsi="Arial Narrow" w:cs="Arial"/>
                <w:sz w:val="20"/>
              </w:rPr>
              <w:t>Clear benchmarks set for good governance;</w:t>
            </w:r>
          </w:p>
        </w:tc>
        <w:tc>
          <w:tcPr>
            <w:tcW w:w="415" w:type="pct"/>
            <w:vAlign w:val="center"/>
          </w:tcPr>
          <w:p w:rsidR="00D14FD6" w:rsidRPr="00D620C9" w:rsidRDefault="00D14FD6" w:rsidP="00D14FD6">
            <w:pPr>
              <w:pStyle w:val="Paragrafoelenco"/>
              <w:spacing w:before="0" w:after="0"/>
              <w:ind w:left="170"/>
              <w:jc w:val="center"/>
              <w:rPr>
                <w:rFonts w:ascii="Arial Narrow" w:hAnsi="Arial Narrow" w:cs="Arial"/>
                <w:sz w:val="20"/>
              </w:rPr>
            </w:pPr>
            <w:r>
              <w:rPr>
                <w:rFonts w:ascii="Arial Narrow" w:hAnsi="Arial Narrow" w:cs="Arial"/>
                <w:sz w:val="20"/>
              </w:rPr>
              <w:t>x</w:t>
            </w:r>
          </w:p>
        </w:tc>
        <w:tc>
          <w:tcPr>
            <w:tcW w:w="3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91"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93"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147"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44"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1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76" w:type="pct"/>
            <w:vAlign w:val="center"/>
          </w:tcPr>
          <w:p w:rsidR="00D14FD6" w:rsidRPr="00D620C9" w:rsidRDefault="00D14FD6" w:rsidP="00D14FD6">
            <w:pPr>
              <w:spacing w:before="0" w:after="0"/>
              <w:contextualSpacing/>
              <w:jc w:val="center"/>
              <w:rPr>
                <w:rFonts w:ascii="Arial Narrow" w:hAnsi="Arial Narrow" w:cs="Arial"/>
                <w:sz w:val="20"/>
              </w:rPr>
            </w:pPr>
          </w:p>
        </w:tc>
        <w:tc>
          <w:tcPr>
            <w:tcW w:w="2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2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55" w:type="pct"/>
            <w:vAlign w:val="center"/>
          </w:tcPr>
          <w:p w:rsidR="00D14FD6" w:rsidRPr="00D620C9" w:rsidRDefault="00D14FD6" w:rsidP="00D14FD6">
            <w:pPr>
              <w:pStyle w:val="Paragrafoelenco"/>
              <w:spacing w:before="0" w:after="0"/>
              <w:ind w:left="170"/>
              <w:jc w:val="center"/>
              <w:rPr>
                <w:rFonts w:ascii="Arial Narrow" w:hAnsi="Arial Narrow" w:cs="Arial"/>
                <w:sz w:val="20"/>
              </w:rPr>
            </w:pPr>
          </w:p>
        </w:tc>
      </w:tr>
      <w:tr w:rsidR="00D14FD6" w:rsidRPr="00D620C9" w:rsidTr="00D14FD6">
        <w:tc>
          <w:tcPr>
            <w:tcW w:w="497" w:type="pct"/>
            <w:vMerge/>
            <w:shd w:val="clear" w:color="auto" w:fill="DBE5F1" w:themeFill="accent1" w:themeFillTint="33"/>
            <w:vAlign w:val="center"/>
          </w:tcPr>
          <w:p w:rsidR="00D14FD6" w:rsidRPr="00D620C9" w:rsidRDefault="00D14FD6" w:rsidP="000954E5">
            <w:pPr>
              <w:spacing w:before="0" w:after="0"/>
              <w:jc w:val="left"/>
              <w:rPr>
                <w:rFonts w:ascii="Arial Narrow" w:hAnsi="Arial Narrow" w:cs="Arial"/>
                <w:sz w:val="20"/>
              </w:rPr>
            </w:pPr>
          </w:p>
        </w:tc>
        <w:tc>
          <w:tcPr>
            <w:tcW w:w="738" w:type="pct"/>
            <w:shd w:val="clear" w:color="auto" w:fill="DBE5F1" w:themeFill="accent1" w:themeFillTint="33"/>
            <w:vAlign w:val="center"/>
          </w:tcPr>
          <w:p w:rsidR="00D14FD6" w:rsidRPr="00D620C9" w:rsidRDefault="00D14FD6" w:rsidP="000954E5">
            <w:pPr>
              <w:spacing w:before="0" w:after="0"/>
              <w:jc w:val="left"/>
              <w:rPr>
                <w:rFonts w:ascii="Arial Narrow" w:hAnsi="Arial Narrow" w:cs="Arial"/>
                <w:sz w:val="20"/>
              </w:rPr>
            </w:pPr>
            <w:r w:rsidRPr="00D620C9">
              <w:rPr>
                <w:rFonts w:ascii="Arial Narrow" w:hAnsi="Arial Narrow" w:cs="Arial"/>
                <w:b/>
                <w:sz w:val="20"/>
              </w:rPr>
              <w:t>JC2</w:t>
            </w:r>
            <w:r w:rsidRPr="00D620C9">
              <w:rPr>
                <w:rFonts w:ascii="Arial Narrow" w:hAnsi="Arial Narrow" w:cs="Arial"/>
                <w:sz w:val="20"/>
              </w:rPr>
              <w:t>. Cooperation interventions respond to needs and demands of the Palestinian people</w:t>
            </w:r>
          </w:p>
        </w:tc>
        <w:tc>
          <w:tcPr>
            <w:tcW w:w="646" w:type="pct"/>
            <w:shd w:val="clear" w:color="auto" w:fill="DBE5F1" w:themeFill="accent1" w:themeFillTint="33"/>
            <w:vAlign w:val="center"/>
          </w:tcPr>
          <w:p w:rsidR="00D14FD6" w:rsidRPr="00D620C9" w:rsidRDefault="00D14FD6" w:rsidP="00B54C8F">
            <w:pPr>
              <w:pStyle w:val="Paragrafoelenco"/>
              <w:numPr>
                <w:ilvl w:val="0"/>
                <w:numId w:val="81"/>
              </w:numPr>
              <w:spacing w:before="0" w:after="0"/>
              <w:jc w:val="left"/>
              <w:rPr>
                <w:rFonts w:ascii="Arial Narrow" w:hAnsi="Arial Narrow" w:cs="Arial"/>
                <w:sz w:val="20"/>
              </w:rPr>
            </w:pPr>
            <w:r w:rsidRPr="00D620C9">
              <w:rPr>
                <w:rFonts w:ascii="Arial Narrow" w:hAnsi="Arial Narrow" w:cs="Arial"/>
                <w:sz w:val="20"/>
              </w:rPr>
              <w:t xml:space="preserve">External evaluations assess positively relevance to needs; </w:t>
            </w:r>
          </w:p>
          <w:p w:rsidR="00D14FD6" w:rsidRPr="00D620C9" w:rsidRDefault="00D14FD6" w:rsidP="00B54C8F">
            <w:pPr>
              <w:pStyle w:val="Paragrafoelenco"/>
              <w:numPr>
                <w:ilvl w:val="0"/>
                <w:numId w:val="81"/>
              </w:numPr>
              <w:spacing w:before="0" w:after="0"/>
              <w:jc w:val="left"/>
              <w:rPr>
                <w:rFonts w:ascii="Arial Narrow" w:hAnsi="Arial Narrow" w:cs="Arial"/>
                <w:sz w:val="20"/>
              </w:rPr>
            </w:pPr>
            <w:r w:rsidRPr="00D620C9">
              <w:rPr>
                <w:rFonts w:ascii="Arial Narrow" w:hAnsi="Arial Narrow" w:cs="Arial"/>
                <w:sz w:val="20"/>
              </w:rPr>
              <w:t>Beneficiaries confirm through interviews perception of relevance of EC cooperation to their needs (qualitative analysis);</w:t>
            </w:r>
          </w:p>
        </w:tc>
        <w:tc>
          <w:tcPr>
            <w:tcW w:w="415" w:type="pct"/>
            <w:vAlign w:val="center"/>
          </w:tcPr>
          <w:p w:rsidR="00D14FD6" w:rsidRPr="00D620C9" w:rsidRDefault="00D14FD6" w:rsidP="00D14FD6">
            <w:pPr>
              <w:pStyle w:val="Paragrafoelenco"/>
              <w:spacing w:before="0" w:after="0"/>
              <w:ind w:left="170"/>
              <w:jc w:val="center"/>
              <w:rPr>
                <w:rFonts w:ascii="Arial Narrow" w:hAnsi="Arial Narrow" w:cs="Arial"/>
                <w:sz w:val="20"/>
              </w:rPr>
            </w:pPr>
            <w:r>
              <w:rPr>
                <w:rFonts w:ascii="Arial Narrow" w:hAnsi="Arial Narrow" w:cs="Arial"/>
                <w:sz w:val="20"/>
              </w:rPr>
              <w:t>x</w:t>
            </w:r>
          </w:p>
        </w:tc>
        <w:tc>
          <w:tcPr>
            <w:tcW w:w="3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91"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93"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147"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44"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1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76" w:type="pct"/>
            <w:vAlign w:val="center"/>
          </w:tcPr>
          <w:p w:rsidR="00D14FD6" w:rsidRPr="00D620C9" w:rsidRDefault="00D14FD6" w:rsidP="00D14FD6">
            <w:pPr>
              <w:spacing w:before="0" w:after="0"/>
              <w:contextualSpacing/>
              <w:jc w:val="center"/>
              <w:rPr>
                <w:rFonts w:ascii="Arial Narrow" w:hAnsi="Arial Narrow" w:cs="Arial"/>
                <w:sz w:val="20"/>
              </w:rPr>
            </w:pPr>
          </w:p>
        </w:tc>
        <w:tc>
          <w:tcPr>
            <w:tcW w:w="2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2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55" w:type="pct"/>
            <w:vAlign w:val="center"/>
          </w:tcPr>
          <w:p w:rsidR="00D14FD6" w:rsidRPr="00D620C9" w:rsidRDefault="00D14FD6" w:rsidP="00D14FD6">
            <w:pPr>
              <w:pStyle w:val="Paragrafoelenco"/>
              <w:spacing w:before="0" w:after="0"/>
              <w:ind w:left="170"/>
              <w:jc w:val="center"/>
              <w:rPr>
                <w:rFonts w:ascii="Arial Narrow" w:hAnsi="Arial Narrow" w:cs="Arial"/>
                <w:sz w:val="20"/>
              </w:rPr>
            </w:pPr>
          </w:p>
        </w:tc>
      </w:tr>
      <w:tr w:rsidR="00D14FD6" w:rsidRPr="00D620C9" w:rsidTr="00D14FD6">
        <w:tc>
          <w:tcPr>
            <w:tcW w:w="497" w:type="pct"/>
            <w:vMerge/>
            <w:shd w:val="clear" w:color="auto" w:fill="DBE5F1" w:themeFill="accent1" w:themeFillTint="33"/>
            <w:vAlign w:val="center"/>
          </w:tcPr>
          <w:p w:rsidR="00D14FD6" w:rsidRPr="00D620C9" w:rsidRDefault="00D14FD6" w:rsidP="000954E5">
            <w:pPr>
              <w:spacing w:before="0" w:after="0"/>
              <w:jc w:val="left"/>
              <w:rPr>
                <w:rFonts w:ascii="Arial Narrow" w:hAnsi="Arial Narrow" w:cs="Arial"/>
                <w:sz w:val="20"/>
              </w:rPr>
            </w:pPr>
          </w:p>
        </w:tc>
        <w:tc>
          <w:tcPr>
            <w:tcW w:w="738" w:type="pct"/>
            <w:shd w:val="clear" w:color="auto" w:fill="DBE5F1" w:themeFill="accent1" w:themeFillTint="33"/>
            <w:vAlign w:val="center"/>
          </w:tcPr>
          <w:p w:rsidR="00D14FD6" w:rsidRPr="00D620C9" w:rsidRDefault="00D14FD6" w:rsidP="000954E5">
            <w:pPr>
              <w:spacing w:before="0" w:after="0"/>
              <w:jc w:val="left"/>
              <w:rPr>
                <w:rFonts w:ascii="Arial Narrow" w:hAnsi="Arial Narrow" w:cs="Arial"/>
                <w:sz w:val="20"/>
              </w:rPr>
            </w:pPr>
            <w:r w:rsidRPr="00D620C9">
              <w:rPr>
                <w:rFonts w:ascii="Arial Narrow" w:hAnsi="Arial Narrow" w:cs="Arial"/>
                <w:b/>
                <w:sz w:val="20"/>
              </w:rPr>
              <w:t>JC3.</w:t>
            </w:r>
            <w:r w:rsidRPr="00D620C9">
              <w:rPr>
                <w:rFonts w:ascii="Arial Narrow" w:hAnsi="Arial Narrow" w:cs="Arial"/>
                <w:sz w:val="20"/>
              </w:rPr>
              <w:t xml:space="preserve"> Cooperation efforts contribute to institutional capacity-building for governance, accountability and credibility of key institutions</w:t>
            </w:r>
          </w:p>
        </w:tc>
        <w:tc>
          <w:tcPr>
            <w:tcW w:w="646" w:type="pct"/>
            <w:shd w:val="clear" w:color="auto" w:fill="DBE5F1" w:themeFill="accent1" w:themeFillTint="33"/>
            <w:vAlign w:val="center"/>
          </w:tcPr>
          <w:p w:rsidR="00D14FD6" w:rsidRPr="00D620C9" w:rsidRDefault="00D14FD6" w:rsidP="00B54C8F">
            <w:pPr>
              <w:pStyle w:val="Paragrafoelenco"/>
              <w:numPr>
                <w:ilvl w:val="0"/>
                <w:numId w:val="82"/>
              </w:numPr>
              <w:spacing w:before="0" w:after="0"/>
              <w:jc w:val="left"/>
              <w:rPr>
                <w:rFonts w:ascii="Arial Narrow" w:hAnsi="Arial Narrow" w:cs="Arial"/>
                <w:sz w:val="20"/>
              </w:rPr>
            </w:pPr>
            <w:r w:rsidRPr="00D620C9">
              <w:rPr>
                <w:rFonts w:ascii="Arial Narrow" w:hAnsi="Arial Narrow" w:cs="Arial"/>
                <w:sz w:val="20"/>
              </w:rPr>
              <w:t>Evidence of capacity building across cooperation interventions;</w:t>
            </w:r>
          </w:p>
          <w:p w:rsidR="00D14FD6" w:rsidRPr="00D620C9" w:rsidRDefault="00D14FD6" w:rsidP="00B54C8F">
            <w:pPr>
              <w:pStyle w:val="Paragrafoelenco"/>
              <w:numPr>
                <w:ilvl w:val="0"/>
                <w:numId w:val="82"/>
              </w:numPr>
              <w:spacing w:before="0" w:after="0"/>
              <w:jc w:val="left"/>
              <w:rPr>
                <w:rFonts w:ascii="Arial Narrow" w:hAnsi="Arial Narrow" w:cs="Arial"/>
                <w:sz w:val="20"/>
              </w:rPr>
            </w:pPr>
            <w:r w:rsidRPr="00D620C9">
              <w:rPr>
                <w:rFonts w:ascii="Arial Narrow" w:hAnsi="Arial Narrow" w:cs="Arial"/>
                <w:sz w:val="20"/>
              </w:rPr>
              <w:t>Positive assessment of capacity building components by external evaluations;</w:t>
            </w:r>
          </w:p>
        </w:tc>
        <w:tc>
          <w:tcPr>
            <w:tcW w:w="415" w:type="pct"/>
            <w:vAlign w:val="center"/>
          </w:tcPr>
          <w:p w:rsidR="00D14FD6" w:rsidRPr="00D620C9" w:rsidRDefault="00D14FD6" w:rsidP="00D14FD6">
            <w:pPr>
              <w:pStyle w:val="Paragrafoelenco"/>
              <w:spacing w:before="0" w:after="0"/>
              <w:ind w:left="170"/>
              <w:jc w:val="center"/>
              <w:rPr>
                <w:rFonts w:ascii="Arial Narrow" w:hAnsi="Arial Narrow" w:cs="Arial"/>
                <w:sz w:val="20"/>
              </w:rPr>
            </w:pPr>
            <w:r>
              <w:rPr>
                <w:rFonts w:ascii="Arial Narrow" w:hAnsi="Arial Narrow" w:cs="Arial"/>
                <w:sz w:val="20"/>
              </w:rPr>
              <w:t>x</w:t>
            </w:r>
          </w:p>
        </w:tc>
        <w:tc>
          <w:tcPr>
            <w:tcW w:w="3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91"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93"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147"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44"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1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76" w:type="pct"/>
            <w:vAlign w:val="center"/>
          </w:tcPr>
          <w:p w:rsidR="00D14FD6" w:rsidRPr="00D620C9" w:rsidRDefault="00D14FD6" w:rsidP="00D14FD6">
            <w:pPr>
              <w:spacing w:before="0" w:after="0"/>
              <w:contextualSpacing/>
              <w:jc w:val="center"/>
              <w:rPr>
                <w:rFonts w:ascii="Arial Narrow" w:hAnsi="Arial Narrow" w:cs="Arial"/>
                <w:sz w:val="20"/>
              </w:rPr>
            </w:pPr>
          </w:p>
        </w:tc>
        <w:tc>
          <w:tcPr>
            <w:tcW w:w="2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2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55" w:type="pct"/>
            <w:vAlign w:val="center"/>
          </w:tcPr>
          <w:p w:rsidR="00D14FD6" w:rsidRPr="00D620C9" w:rsidRDefault="00D14FD6" w:rsidP="00D14FD6">
            <w:pPr>
              <w:pStyle w:val="Paragrafoelenco"/>
              <w:spacing w:before="0" w:after="0"/>
              <w:ind w:left="170"/>
              <w:jc w:val="center"/>
              <w:rPr>
                <w:rFonts w:ascii="Arial Narrow" w:hAnsi="Arial Narrow" w:cs="Arial"/>
                <w:sz w:val="20"/>
              </w:rPr>
            </w:pPr>
          </w:p>
        </w:tc>
      </w:tr>
      <w:tr w:rsidR="00D14FD6" w:rsidRPr="00D620C9" w:rsidTr="00D14FD6">
        <w:tc>
          <w:tcPr>
            <w:tcW w:w="497" w:type="pct"/>
            <w:vMerge/>
            <w:shd w:val="clear" w:color="auto" w:fill="DBE5F1" w:themeFill="accent1" w:themeFillTint="33"/>
            <w:vAlign w:val="center"/>
          </w:tcPr>
          <w:p w:rsidR="00D14FD6" w:rsidRPr="00D620C9" w:rsidRDefault="00D14FD6" w:rsidP="000954E5">
            <w:pPr>
              <w:spacing w:before="0" w:after="0"/>
              <w:jc w:val="left"/>
              <w:rPr>
                <w:rFonts w:ascii="Arial Narrow" w:hAnsi="Arial Narrow" w:cs="Arial"/>
                <w:sz w:val="20"/>
              </w:rPr>
            </w:pPr>
          </w:p>
        </w:tc>
        <w:tc>
          <w:tcPr>
            <w:tcW w:w="738" w:type="pct"/>
            <w:shd w:val="clear" w:color="auto" w:fill="DBE5F1" w:themeFill="accent1" w:themeFillTint="33"/>
            <w:vAlign w:val="center"/>
          </w:tcPr>
          <w:p w:rsidR="00D14FD6" w:rsidRPr="00D620C9" w:rsidRDefault="00D14FD6" w:rsidP="000954E5">
            <w:pPr>
              <w:spacing w:before="0" w:after="0"/>
              <w:jc w:val="left"/>
              <w:rPr>
                <w:rFonts w:ascii="Arial Narrow" w:hAnsi="Arial Narrow" w:cs="Arial"/>
                <w:sz w:val="20"/>
              </w:rPr>
            </w:pPr>
            <w:r w:rsidRPr="00D620C9">
              <w:rPr>
                <w:rFonts w:ascii="Arial Narrow" w:hAnsi="Arial Narrow" w:cs="Arial"/>
                <w:b/>
                <w:sz w:val="20"/>
              </w:rPr>
              <w:t>JC4.</w:t>
            </w:r>
            <w:r w:rsidRPr="00D620C9">
              <w:rPr>
                <w:rFonts w:ascii="Arial Narrow" w:hAnsi="Arial Narrow" w:cs="Arial"/>
                <w:sz w:val="20"/>
              </w:rPr>
              <w:t xml:space="preserve"> EU–Palestine </w:t>
            </w:r>
            <w:r w:rsidRPr="00D620C9">
              <w:rPr>
                <w:rFonts w:ascii="Arial Narrow" w:hAnsi="Arial Narrow" w:cs="Arial"/>
                <w:sz w:val="20"/>
              </w:rPr>
              <w:lastRenderedPageBreak/>
              <w:t>Cooperation effectively supports goals of good governance, democracy, respect for human rights and rule of law contributing to a viable and democratic Palestinian State</w:t>
            </w:r>
          </w:p>
        </w:tc>
        <w:tc>
          <w:tcPr>
            <w:tcW w:w="646" w:type="pct"/>
            <w:shd w:val="clear" w:color="auto" w:fill="DBE5F1" w:themeFill="accent1" w:themeFillTint="33"/>
            <w:vAlign w:val="center"/>
          </w:tcPr>
          <w:p w:rsidR="00D14FD6" w:rsidRPr="00D620C9" w:rsidRDefault="00D14FD6" w:rsidP="00B54C8F">
            <w:pPr>
              <w:pStyle w:val="Paragrafoelenco"/>
              <w:numPr>
                <w:ilvl w:val="0"/>
                <w:numId w:val="83"/>
              </w:numPr>
              <w:spacing w:before="0" w:after="0"/>
              <w:jc w:val="left"/>
              <w:rPr>
                <w:rFonts w:ascii="Arial Narrow" w:hAnsi="Arial Narrow" w:cs="Arial"/>
                <w:sz w:val="20"/>
              </w:rPr>
            </w:pPr>
            <w:r w:rsidRPr="00D620C9">
              <w:rPr>
                <w:rFonts w:ascii="Arial Narrow" w:eastAsia="MS Mincho" w:hAnsi="Arial Narrow" w:cs="Arial"/>
                <w:color w:val="000000"/>
                <w:sz w:val="20"/>
                <w:lang w:eastAsia="ja-JP"/>
              </w:rPr>
              <w:lastRenderedPageBreak/>
              <w:t xml:space="preserve">Interventions </w:t>
            </w:r>
            <w:r w:rsidRPr="00D620C9">
              <w:rPr>
                <w:rFonts w:ascii="Arial Narrow" w:eastAsia="MS Mincho" w:hAnsi="Arial Narrow" w:cs="Arial"/>
                <w:color w:val="000000"/>
                <w:sz w:val="20"/>
                <w:lang w:eastAsia="ja-JP"/>
              </w:rPr>
              <w:lastRenderedPageBreak/>
              <w:t>supporting governance are positively assessed (SDG, monitoring reports, external evaluations)</w:t>
            </w:r>
          </w:p>
          <w:p w:rsidR="00D14FD6" w:rsidRPr="00D620C9" w:rsidRDefault="00D14FD6" w:rsidP="00B54C8F">
            <w:pPr>
              <w:pStyle w:val="Paragrafoelenco"/>
              <w:numPr>
                <w:ilvl w:val="0"/>
                <w:numId w:val="83"/>
              </w:numPr>
              <w:spacing w:before="0" w:after="0"/>
              <w:jc w:val="left"/>
              <w:rPr>
                <w:rFonts w:ascii="Arial Narrow" w:hAnsi="Arial Narrow" w:cs="Arial"/>
                <w:sz w:val="20"/>
              </w:rPr>
            </w:pPr>
            <w:r w:rsidRPr="00D620C9">
              <w:rPr>
                <w:rFonts w:ascii="Arial Narrow" w:eastAsia="MS Mincho" w:hAnsi="Arial Narrow" w:cs="Arial"/>
                <w:color w:val="000000"/>
                <w:sz w:val="20"/>
                <w:lang w:eastAsia="ja-JP"/>
              </w:rPr>
              <w:t>Evidence of positive results of cooperation efforts in favor of good governance;</w:t>
            </w:r>
          </w:p>
          <w:p w:rsidR="00D14FD6" w:rsidRPr="00D620C9" w:rsidRDefault="00D14FD6" w:rsidP="00B54C8F">
            <w:pPr>
              <w:pStyle w:val="Paragrafoelenco"/>
              <w:numPr>
                <w:ilvl w:val="0"/>
                <w:numId w:val="83"/>
              </w:numPr>
              <w:spacing w:before="0" w:after="0"/>
              <w:jc w:val="left"/>
              <w:rPr>
                <w:rFonts w:ascii="Arial Narrow" w:hAnsi="Arial Narrow" w:cs="Arial"/>
                <w:sz w:val="20"/>
              </w:rPr>
            </w:pPr>
            <w:r w:rsidRPr="00D620C9">
              <w:rPr>
                <w:rFonts w:ascii="Arial Narrow" w:hAnsi="Arial Narrow" w:cs="Arial"/>
                <w:bCs/>
                <w:sz w:val="20"/>
              </w:rPr>
              <w:t>Support to political dialogue on Good Governance issues,</w:t>
            </w:r>
            <w:r w:rsidRPr="00D620C9">
              <w:rPr>
                <w:rFonts w:ascii="Arial Narrow" w:hAnsi="Arial Narrow" w:cs="Arial"/>
                <w:sz w:val="20"/>
              </w:rPr>
              <w:t xml:space="preserve"> SDSG and thematic working groups or regular exchange of information at regional and national level</w:t>
            </w:r>
          </w:p>
        </w:tc>
        <w:tc>
          <w:tcPr>
            <w:tcW w:w="415" w:type="pct"/>
            <w:vAlign w:val="center"/>
          </w:tcPr>
          <w:p w:rsidR="00D14FD6" w:rsidRPr="00D620C9" w:rsidRDefault="00D14FD6" w:rsidP="00D14FD6">
            <w:pPr>
              <w:pStyle w:val="Paragrafoelenco"/>
              <w:spacing w:before="0" w:after="0"/>
              <w:ind w:left="170"/>
              <w:jc w:val="center"/>
              <w:rPr>
                <w:rFonts w:ascii="Arial Narrow" w:hAnsi="Arial Narrow" w:cs="Arial"/>
                <w:sz w:val="20"/>
              </w:rPr>
            </w:pPr>
            <w:r>
              <w:rPr>
                <w:rFonts w:ascii="Arial Narrow" w:hAnsi="Arial Narrow" w:cs="Arial"/>
                <w:sz w:val="20"/>
              </w:rPr>
              <w:lastRenderedPageBreak/>
              <w:t>x</w:t>
            </w:r>
          </w:p>
        </w:tc>
        <w:tc>
          <w:tcPr>
            <w:tcW w:w="3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91"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93"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147"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44"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1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76" w:type="pct"/>
            <w:vAlign w:val="center"/>
          </w:tcPr>
          <w:p w:rsidR="00D14FD6" w:rsidRPr="00D620C9" w:rsidRDefault="00D14FD6" w:rsidP="00D14FD6">
            <w:pPr>
              <w:spacing w:before="0" w:after="0"/>
              <w:contextualSpacing/>
              <w:jc w:val="center"/>
              <w:rPr>
                <w:rFonts w:ascii="Arial Narrow" w:hAnsi="Arial Narrow" w:cs="Arial"/>
                <w:sz w:val="20"/>
              </w:rPr>
            </w:pPr>
          </w:p>
        </w:tc>
        <w:tc>
          <w:tcPr>
            <w:tcW w:w="2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2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55" w:type="pct"/>
            <w:vAlign w:val="center"/>
          </w:tcPr>
          <w:p w:rsidR="00D14FD6" w:rsidRPr="00D620C9" w:rsidRDefault="00D14FD6" w:rsidP="00D14FD6">
            <w:pPr>
              <w:pStyle w:val="Paragrafoelenco"/>
              <w:spacing w:before="0" w:after="0"/>
              <w:ind w:left="170"/>
              <w:jc w:val="center"/>
              <w:rPr>
                <w:rFonts w:ascii="Arial Narrow" w:eastAsia="MS Mincho" w:hAnsi="Arial Narrow" w:cs="Arial"/>
                <w:color w:val="000000"/>
                <w:sz w:val="20"/>
                <w:lang w:eastAsia="ja-JP"/>
              </w:rPr>
            </w:pPr>
          </w:p>
        </w:tc>
      </w:tr>
      <w:tr w:rsidR="00D14FD6" w:rsidRPr="00D620C9" w:rsidTr="00D14FD6">
        <w:tc>
          <w:tcPr>
            <w:tcW w:w="497" w:type="pct"/>
            <w:vMerge w:val="restart"/>
            <w:shd w:val="clear" w:color="auto" w:fill="DBE5F1" w:themeFill="accent1" w:themeFillTint="33"/>
            <w:vAlign w:val="center"/>
          </w:tcPr>
          <w:p w:rsidR="00D14FD6" w:rsidRPr="00D620C9" w:rsidRDefault="00D14FD6" w:rsidP="000954E5">
            <w:pPr>
              <w:spacing w:before="0" w:after="0"/>
              <w:jc w:val="left"/>
              <w:rPr>
                <w:rFonts w:ascii="Arial Narrow" w:hAnsi="Arial Narrow" w:cs="Arial"/>
                <w:b/>
                <w:sz w:val="20"/>
              </w:rPr>
            </w:pPr>
            <w:r w:rsidRPr="00D620C9">
              <w:rPr>
                <w:rFonts w:ascii="Arial Narrow" w:hAnsi="Arial Narrow" w:cs="Arial"/>
                <w:b/>
                <w:sz w:val="20"/>
              </w:rPr>
              <w:lastRenderedPageBreak/>
              <w:t xml:space="preserve">EQ 7 SOCIAL SUPPORT; </w:t>
            </w:r>
          </w:p>
          <w:p w:rsidR="00D14FD6" w:rsidRPr="00D620C9" w:rsidRDefault="00D14FD6" w:rsidP="000954E5">
            <w:pPr>
              <w:spacing w:before="0" w:after="0"/>
              <w:jc w:val="left"/>
              <w:rPr>
                <w:rFonts w:ascii="Arial Narrow" w:hAnsi="Arial Narrow" w:cs="Arial"/>
                <w:b/>
                <w:sz w:val="20"/>
              </w:rPr>
            </w:pPr>
          </w:p>
          <w:p w:rsidR="00D14FD6" w:rsidRPr="00D620C9" w:rsidRDefault="00D14FD6" w:rsidP="000954E5">
            <w:pPr>
              <w:spacing w:before="0" w:after="0"/>
              <w:jc w:val="left"/>
              <w:rPr>
                <w:rFonts w:ascii="Arial Narrow" w:hAnsi="Arial Narrow" w:cs="Arial"/>
                <w:b/>
                <w:sz w:val="20"/>
              </w:rPr>
            </w:pPr>
            <w:r w:rsidRPr="00D620C9">
              <w:rPr>
                <w:rFonts w:ascii="Arial Narrow" w:hAnsi="Arial Narrow" w:cs="Arial"/>
                <w:color w:val="000000"/>
                <w:sz w:val="20"/>
              </w:rPr>
              <w:t xml:space="preserve">Is EC support to the social sector (education, health, social protection and food security) fostering a socially viable State, while improving the social conditions of the </w:t>
            </w:r>
            <w:r w:rsidRPr="00D620C9">
              <w:rPr>
                <w:rFonts w:ascii="Arial Narrow" w:hAnsi="Arial Narrow" w:cs="Arial"/>
                <w:color w:val="000000"/>
                <w:sz w:val="20"/>
              </w:rPr>
              <w:lastRenderedPageBreak/>
              <w:t>Palestinian people?</w:t>
            </w:r>
          </w:p>
        </w:tc>
        <w:tc>
          <w:tcPr>
            <w:tcW w:w="738" w:type="pct"/>
            <w:shd w:val="clear" w:color="auto" w:fill="DBE5F1" w:themeFill="accent1" w:themeFillTint="33"/>
            <w:vAlign w:val="center"/>
          </w:tcPr>
          <w:p w:rsidR="00D14FD6" w:rsidRPr="00D620C9" w:rsidRDefault="00D14FD6" w:rsidP="000954E5">
            <w:pPr>
              <w:spacing w:before="0" w:after="0"/>
              <w:jc w:val="left"/>
              <w:rPr>
                <w:rFonts w:ascii="Arial Narrow" w:hAnsi="Arial Narrow" w:cs="Arial"/>
                <w:sz w:val="20"/>
              </w:rPr>
            </w:pPr>
            <w:r w:rsidRPr="00D620C9">
              <w:rPr>
                <w:rFonts w:ascii="Arial Narrow" w:hAnsi="Arial Narrow" w:cs="Arial"/>
                <w:b/>
                <w:sz w:val="20"/>
              </w:rPr>
              <w:lastRenderedPageBreak/>
              <w:t>JC1.</w:t>
            </w:r>
            <w:r w:rsidRPr="00D620C9">
              <w:rPr>
                <w:rFonts w:ascii="Arial Narrow" w:hAnsi="Arial Narrow" w:cs="Arial"/>
                <w:sz w:val="20"/>
              </w:rPr>
              <w:t>Cleary goals and strategies set for education, health, social protection and food security</w:t>
            </w:r>
          </w:p>
        </w:tc>
        <w:tc>
          <w:tcPr>
            <w:tcW w:w="646" w:type="pct"/>
            <w:shd w:val="clear" w:color="auto" w:fill="DBE5F1" w:themeFill="accent1" w:themeFillTint="33"/>
            <w:vAlign w:val="center"/>
          </w:tcPr>
          <w:p w:rsidR="00D14FD6" w:rsidRPr="00D620C9" w:rsidRDefault="00D14FD6" w:rsidP="00B54C8F">
            <w:pPr>
              <w:pStyle w:val="Paragrafoelenco"/>
              <w:numPr>
                <w:ilvl w:val="0"/>
                <w:numId w:val="84"/>
              </w:numPr>
              <w:spacing w:before="0" w:after="0"/>
              <w:jc w:val="left"/>
              <w:rPr>
                <w:rFonts w:ascii="Arial Narrow" w:hAnsi="Arial Narrow" w:cs="Arial"/>
                <w:sz w:val="20"/>
              </w:rPr>
            </w:pPr>
            <w:r w:rsidRPr="00D620C9">
              <w:rPr>
                <w:rFonts w:ascii="Arial Narrow" w:hAnsi="Arial Narrow" w:cs="Arial"/>
                <w:sz w:val="20"/>
              </w:rPr>
              <w:t>Social sector strategy is well defined and in line with goals;</w:t>
            </w:r>
          </w:p>
          <w:p w:rsidR="00D14FD6" w:rsidRPr="00D620C9" w:rsidRDefault="00D14FD6" w:rsidP="00B54C8F">
            <w:pPr>
              <w:pStyle w:val="Paragrafoelenco"/>
              <w:numPr>
                <w:ilvl w:val="0"/>
                <w:numId w:val="84"/>
              </w:numPr>
              <w:spacing w:before="0" w:after="0"/>
              <w:jc w:val="left"/>
              <w:rPr>
                <w:rFonts w:ascii="Arial Narrow" w:hAnsi="Arial Narrow" w:cs="Arial"/>
                <w:sz w:val="20"/>
              </w:rPr>
            </w:pPr>
            <w:r w:rsidRPr="00D620C9">
              <w:rPr>
                <w:rFonts w:ascii="Arial Narrow" w:hAnsi="Arial Narrow" w:cs="Arial"/>
                <w:sz w:val="20"/>
              </w:rPr>
              <w:t>Results, targets and benchmarks defined and followed up;</w:t>
            </w:r>
          </w:p>
        </w:tc>
        <w:tc>
          <w:tcPr>
            <w:tcW w:w="415" w:type="pct"/>
            <w:vAlign w:val="center"/>
          </w:tcPr>
          <w:p w:rsidR="00D14FD6" w:rsidRPr="00D620C9" w:rsidRDefault="00D14FD6" w:rsidP="00D14FD6">
            <w:pPr>
              <w:pStyle w:val="Paragrafoelenco"/>
              <w:spacing w:before="0" w:after="0"/>
              <w:ind w:left="170"/>
              <w:jc w:val="center"/>
              <w:rPr>
                <w:rFonts w:ascii="Arial Narrow" w:hAnsi="Arial Narrow" w:cs="Arial"/>
                <w:sz w:val="20"/>
              </w:rPr>
            </w:pPr>
            <w:r>
              <w:rPr>
                <w:rFonts w:ascii="Arial Narrow" w:hAnsi="Arial Narrow" w:cs="Arial"/>
                <w:sz w:val="20"/>
              </w:rPr>
              <w:t>x</w:t>
            </w:r>
          </w:p>
        </w:tc>
        <w:tc>
          <w:tcPr>
            <w:tcW w:w="3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91"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93"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147"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44"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1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76"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2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55" w:type="pct"/>
            <w:vAlign w:val="center"/>
          </w:tcPr>
          <w:p w:rsidR="00D14FD6" w:rsidRPr="00D620C9" w:rsidRDefault="00D14FD6" w:rsidP="00D14FD6">
            <w:pPr>
              <w:pStyle w:val="Paragrafoelenco"/>
              <w:spacing w:before="0" w:after="0"/>
              <w:ind w:left="170"/>
              <w:jc w:val="center"/>
              <w:rPr>
                <w:rFonts w:ascii="Arial Narrow" w:hAnsi="Arial Narrow" w:cs="Arial"/>
                <w:sz w:val="20"/>
              </w:rPr>
            </w:pPr>
          </w:p>
        </w:tc>
      </w:tr>
      <w:tr w:rsidR="00D14FD6" w:rsidRPr="00D620C9" w:rsidTr="00D14FD6">
        <w:tc>
          <w:tcPr>
            <w:tcW w:w="497" w:type="pct"/>
            <w:vMerge/>
            <w:shd w:val="clear" w:color="auto" w:fill="DBE5F1" w:themeFill="accent1" w:themeFillTint="33"/>
            <w:vAlign w:val="center"/>
          </w:tcPr>
          <w:p w:rsidR="00D14FD6" w:rsidRPr="00D620C9" w:rsidRDefault="00D14FD6" w:rsidP="000954E5">
            <w:pPr>
              <w:spacing w:before="0" w:after="0"/>
              <w:jc w:val="left"/>
              <w:rPr>
                <w:rFonts w:ascii="Arial Narrow" w:hAnsi="Arial Narrow" w:cs="Arial"/>
                <w:sz w:val="20"/>
              </w:rPr>
            </w:pPr>
          </w:p>
        </w:tc>
        <w:tc>
          <w:tcPr>
            <w:tcW w:w="738" w:type="pct"/>
            <w:shd w:val="clear" w:color="auto" w:fill="DBE5F1" w:themeFill="accent1" w:themeFillTint="33"/>
            <w:vAlign w:val="center"/>
          </w:tcPr>
          <w:p w:rsidR="00D14FD6" w:rsidRPr="00D620C9" w:rsidRDefault="00D14FD6" w:rsidP="000954E5">
            <w:pPr>
              <w:spacing w:before="0" w:after="0"/>
              <w:jc w:val="left"/>
              <w:rPr>
                <w:rFonts w:ascii="Arial Narrow" w:hAnsi="Arial Narrow" w:cs="Arial"/>
                <w:sz w:val="20"/>
              </w:rPr>
            </w:pPr>
            <w:r w:rsidRPr="00D620C9">
              <w:rPr>
                <w:rFonts w:ascii="Arial Narrow" w:hAnsi="Arial Narrow" w:cs="Arial"/>
                <w:b/>
                <w:sz w:val="20"/>
              </w:rPr>
              <w:t>JC2</w:t>
            </w:r>
            <w:r w:rsidRPr="00D620C9">
              <w:rPr>
                <w:rFonts w:ascii="Arial Narrow" w:hAnsi="Arial Narrow" w:cs="Arial"/>
                <w:sz w:val="20"/>
              </w:rPr>
              <w:t>. Cooperation interventions respond to needs and demands of Palestinian people</w:t>
            </w:r>
          </w:p>
        </w:tc>
        <w:tc>
          <w:tcPr>
            <w:tcW w:w="646" w:type="pct"/>
            <w:shd w:val="clear" w:color="auto" w:fill="DBE5F1" w:themeFill="accent1" w:themeFillTint="33"/>
            <w:vAlign w:val="center"/>
          </w:tcPr>
          <w:p w:rsidR="00D14FD6" w:rsidRPr="00D620C9" w:rsidRDefault="00D14FD6" w:rsidP="00B54C8F">
            <w:pPr>
              <w:pStyle w:val="Paragrafoelenco"/>
              <w:numPr>
                <w:ilvl w:val="0"/>
                <w:numId w:val="85"/>
              </w:numPr>
              <w:spacing w:before="0" w:after="0"/>
              <w:jc w:val="left"/>
              <w:rPr>
                <w:rFonts w:ascii="Arial Narrow" w:hAnsi="Arial Narrow" w:cs="Arial"/>
                <w:sz w:val="20"/>
              </w:rPr>
            </w:pPr>
            <w:r w:rsidRPr="00D620C9">
              <w:rPr>
                <w:rFonts w:ascii="Arial Narrow" w:hAnsi="Arial Narrow" w:cs="Arial"/>
                <w:sz w:val="20"/>
              </w:rPr>
              <w:t xml:space="preserve">External evaluations assess positively relevance to needs; </w:t>
            </w:r>
          </w:p>
          <w:p w:rsidR="00D14FD6" w:rsidRPr="00D620C9" w:rsidRDefault="00D14FD6" w:rsidP="00B54C8F">
            <w:pPr>
              <w:pStyle w:val="Paragrafoelenco"/>
              <w:numPr>
                <w:ilvl w:val="0"/>
                <w:numId w:val="85"/>
              </w:numPr>
              <w:spacing w:before="0" w:after="0"/>
              <w:jc w:val="left"/>
              <w:rPr>
                <w:rFonts w:ascii="Arial Narrow" w:hAnsi="Arial Narrow" w:cs="Arial"/>
                <w:sz w:val="20"/>
              </w:rPr>
            </w:pPr>
            <w:r w:rsidRPr="00D620C9">
              <w:rPr>
                <w:rFonts w:ascii="Arial Narrow" w:hAnsi="Arial Narrow" w:cs="Arial"/>
                <w:sz w:val="20"/>
              </w:rPr>
              <w:t xml:space="preserve">Stakeholders (PA and Civil Society) confirms through interviews perception of </w:t>
            </w:r>
            <w:r w:rsidRPr="00D620C9">
              <w:rPr>
                <w:rFonts w:ascii="Arial Narrow" w:hAnsi="Arial Narrow" w:cs="Arial"/>
                <w:sz w:val="20"/>
              </w:rPr>
              <w:lastRenderedPageBreak/>
              <w:t>relevance of EC cooperation to their needs (qualitative analysis);</w:t>
            </w:r>
          </w:p>
        </w:tc>
        <w:tc>
          <w:tcPr>
            <w:tcW w:w="415" w:type="pct"/>
            <w:vAlign w:val="center"/>
          </w:tcPr>
          <w:p w:rsidR="00D14FD6" w:rsidRPr="00D620C9" w:rsidRDefault="00D14FD6" w:rsidP="00D14FD6">
            <w:pPr>
              <w:pStyle w:val="Paragrafoelenco"/>
              <w:spacing w:before="0" w:after="0"/>
              <w:ind w:left="170"/>
              <w:jc w:val="center"/>
              <w:rPr>
                <w:rFonts w:ascii="Arial Narrow" w:hAnsi="Arial Narrow" w:cs="Arial"/>
                <w:sz w:val="20"/>
              </w:rPr>
            </w:pPr>
            <w:r>
              <w:rPr>
                <w:rFonts w:ascii="Arial Narrow" w:hAnsi="Arial Narrow" w:cs="Arial"/>
                <w:sz w:val="20"/>
              </w:rPr>
              <w:lastRenderedPageBreak/>
              <w:t>x</w:t>
            </w:r>
          </w:p>
        </w:tc>
        <w:tc>
          <w:tcPr>
            <w:tcW w:w="3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91"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93"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147"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44"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1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76"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2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55" w:type="pct"/>
            <w:vAlign w:val="center"/>
          </w:tcPr>
          <w:p w:rsidR="00D14FD6" w:rsidRPr="00D620C9" w:rsidRDefault="00D14FD6" w:rsidP="00D14FD6">
            <w:pPr>
              <w:pStyle w:val="Paragrafoelenco"/>
              <w:spacing w:before="0" w:after="0"/>
              <w:ind w:left="170"/>
              <w:jc w:val="center"/>
              <w:rPr>
                <w:rFonts w:ascii="Arial Narrow" w:hAnsi="Arial Narrow" w:cs="Arial"/>
                <w:sz w:val="20"/>
              </w:rPr>
            </w:pPr>
          </w:p>
        </w:tc>
      </w:tr>
      <w:tr w:rsidR="00D14FD6" w:rsidRPr="00D620C9" w:rsidTr="00D14FD6">
        <w:tc>
          <w:tcPr>
            <w:tcW w:w="497" w:type="pct"/>
            <w:vMerge/>
            <w:shd w:val="clear" w:color="auto" w:fill="DBE5F1" w:themeFill="accent1" w:themeFillTint="33"/>
            <w:vAlign w:val="center"/>
          </w:tcPr>
          <w:p w:rsidR="00D14FD6" w:rsidRPr="00D620C9" w:rsidRDefault="00D14FD6" w:rsidP="000954E5">
            <w:pPr>
              <w:spacing w:before="0" w:after="0"/>
              <w:jc w:val="left"/>
              <w:rPr>
                <w:rFonts w:ascii="Arial Narrow" w:hAnsi="Arial Narrow" w:cs="Arial"/>
                <w:sz w:val="20"/>
              </w:rPr>
            </w:pPr>
          </w:p>
        </w:tc>
        <w:tc>
          <w:tcPr>
            <w:tcW w:w="738" w:type="pct"/>
            <w:shd w:val="clear" w:color="auto" w:fill="DBE5F1" w:themeFill="accent1" w:themeFillTint="33"/>
            <w:vAlign w:val="center"/>
          </w:tcPr>
          <w:p w:rsidR="00D14FD6" w:rsidRPr="00D620C9" w:rsidRDefault="00D14FD6" w:rsidP="000954E5">
            <w:pPr>
              <w:keepNext/>
              <w:keepLines/>
              <w:spacing w:before="0" w:after="0"/>
              <w:jc w:val="left"/>
              <w:rPr>
                <w:rFonts w:ascii="Arial Narrow" w:hAnsi="Arial Narrow" w:cs="Arial"/>
                <w:sz w:val="20"/>
              </w:rPr>
            </w:pPr>
            <w:r w:rsidRPr="00D620C9">
              <w:rPr>
                <w:rFonts w:ascii="Arial Narrow" w:hAnsi="Arial Narrow" w:cs="Arial"/>
                <w:b/>
                <w:sz w:val="20"/>
              </w:rPr>
              <w:t>JC3.</w:t>
            </w:r>
            <w:r w:rsidRPr="00D620C9">
              <w:rPr>
                <w:rFonts w:ascii="Arial Narrow" w:hAnsi="Arial Narrow" w:cs="Arial"/>
                <w:sz w:val="20"/>
              </w:rPr>
              <w:t xml:space="preserve"> Cooperation efforts contribute to institutional capacity-building  and good governance in sector institutions</w:t>
            </w:r>
          </w:p>
        </w:tc>
        <w:tc>
          <w:tcPr>
            <w:tcW w:w="646" w:type="pct"/>
            <w:shd w:val="clear" w:color="auto" w:fill="DBE5F1" w:themeFill="accent1" w:themeFillTint="33"/>
            <w:vAlign w:val="center"/>
          </w:tcPr>
          <w:p w:rsidR="00D14FD6" w:rsidRPr="00D620C9" w:rsidRDefault="00D14FD6" w:rsidP="00B54C8F">
            <w:pPr>
              <w:pStyle w:val="Paragrafoelenco"/>
              <w:keepNext/>
              <w:keepLines/>
              <w:numPr>
                <w:ilvl w:val="0"/>
                <w:numId w:val="86"/>
              </w:numPr>
              <w:spacing w:before="0" w:after="0"/>
              <w:jc w:val="left"/>
              <w:rPr>
                <w:rFonts w:ascii="Arial Narrow" w:hAnsi="Arial Narrow" w:cs="Arial"/>
                <w:sz w:val="20"/>
              </w:rPr>
            </w:pPr>
            <w:r w:rsidRPr="00D620C9">
              <w:rPr>
                <w:rFonts w:ascii="Arial Narrow" w:hAnsi="Arial Narrow" w:cs="Arial"/>
                <w:sz w:val="20"/>
              </w:rPr>
              <w:t>Evidence of Institutional Strengthening result from EU Cooperation;</w:t>
            </w:r>
          </w:p>
        </w:tc>
        <w:tc>
          <w:tcPr>
            <w:tcW w:w="415" w:type="pct"/>
            <w:vAlign w:val="center"/>
          </w:tcPr>
          <w:p w:rsidR="00D14FD6" w:rsidRPr="00D620C9" w:rsidRDefault="00D14FD6" w:rsidP="00D14FD6">
            <w:pPr>
              <w:pStyle w:val="Paragrafoelenco"/>
              <w:spacing w:before="0" w:after="0"/>
              <w:ind w:left="170"/>
              <w:jc w:val="center"/>
              <w:rPr>
                <w:rFonts w:ascii="Arial Narrow" w:hAnsi="Arial Narrow" w:cs="Arial"/>
                <w:sz w:val="20"/>
              </w:rPr>
            </w:pPr>
            <w:r>
              <w:rPr>
                <w:rFonts w:ascii="Arial Narrow" w:hAnsi="Arial Narrow" w:cs="Arial"/>
                <w:sz w:val="20"/>
              </w:rPr>
              <w:t>x</w:t>
            </w:r>
          </w:p>
        </w:tc>
        <w:tc>
          <w:tcPr>
            <w:tcW w:w="3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91"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93"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147"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44"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1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76"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2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55" w:type="pct"/>
            <w:vAlign w:val="center"/>
          </w:tcPr>
          <w:p w:rsidR="00D14FD6" w:rsidRPr="00D620C9" w:rsidRDefault="00D14FD6" w:rsidP="00D14FD6">
            <w:pPr>
              <w:pStyle w:val="Paragrafoelenco"/>
              <w:spacing w:before="0" w:after="0"/>
              <w:ind w:left="170"/>
              <w:jc w:val="center"/>
              <w:rPr>
                <w:rFonts w:ascii="Arial Narrow" w:hAnsi="Arial Narrow" w:cs="Arial"/>
                <w:sz w:val="20"/>
              </w:rPr>
            </w:pPr>
          </w:p>
        </w:tc>
      </w:tr>
      <w:tr w:rsidR="00D14FD6" w:rsidRPr="00D620C9" w:rsidTr="00D14FD6">
        <w:tc>
          <w:tcPr>
            <w:tcW w:w="497" w:type="pct"/>
            <w:vMerge/>
            <w:shd w:val="clear" w:color="auto" w:fill="DBE5F1" w:themeFill="accent1" w:themeFillTint="33"/>
            <w:vAlign w:val="center"/>
          </w:tcPr>
          <w:p w:rsidR="00D14FD6" w:rsidRPr="00D620C9" w:rsidRDefault="00D14FD6" w:rsidP="000954E5">
            <w:pPr>
              <w:spacing w:before="0" w:after="0"/>
              <w:jc w:val="left"/>
              <w:rPr>
                <w:rFonts w:ascii="Arial Narrow" w:hAnsi="Arial Narrow" w:cs="Arial"/>
                <w:sz w:val="20"/>
              </w:rPr>
            </w:pPr>
          </w:p>
        </w:tc>
        <w:tc>
          <w:tcPr>
            <w:tcW w:w="738" w:type="pct"/>
            <w:shd w:val="clear" w:color="auto" w:fill="DBE5F1" w:themeFill="accent1" w:themeFillTint="33"/>
            <w:vAlign w:val="center"/>
          </w:tcPr>
          <w:p w:rsidR="00D14FD6" w:rsidRPr="00D620C9" w:rsidRDefault="00D14FD6" w:rsidP="000954E5">
            <w:pPr>
              <w:spacing w:before="0" w:after="0"/>
              <w:jc w:val="left"/>
              <w:rPr>
                <w:rFonts w:ascii="Arial Narrow" w:hAnsi="Arial Narrow" w:cs="Arial"/>
                <w:sz w:val="20"/>
              </w:rPr>
            </w:pPr>
            <w:r w:rsidRPr="00D620C9">
              <w:rPr>
                <w:rFonts w:ascii="Arial Narrow" w:hAnsi="Arial Narrow" w:cs="Arial"/>
                <w:b/>
                <w:sz w:val="20"/>
              </w:rPr>
              <w:t>JC4.</w:t>
            </w:r>
            <w:r w:rsidRPr="00D620C9">
              <w:rPr>
                <w:rFonts w:ascii="Arial Narrow" w:hAnsi="Arial Narrow" w:cs="Arial"/>
                <w:sz w:val="20"/>
              </w:rPr>
              <w:t xml:space="preserve"> EU – Palestine Cooperation effectively supports goals of a socially viable and sustainable Palestinian State</w:t>
            </w:r>
          </w:p>
          <w:p w:rsidR="00D14FD6" w:rsidRPr="00D620C9" w:rsidRDefault="00D14FD6" w:rsidP="000954E5">
            <w:pPr>
              <w:spacing w:before="0" w:after="0"/>
              <w:jc w:val="left"/>
              <w:rPr>
                <w:rFonts w:ascii="Arial Narrow" w:hAnsi="Arial Narrow" w:cs="Arial"/>
                <w:sz w:val="20"/>
              </w:rPr>
            </w:pPr>
          </w:p>
          <w:p w:rsidR="00D14FD6" w:rsidRPr="00D620C9" w:rsidRDefault="00D14FD6" w:rsidP="000954E5">
            <w:pPr>
              <w:spacing w:before="0" w:after="0"/>
              <w:jc w:val="left"/>
              <w:rPr>
                <w:rFonts w:ascii="Arial Narrow" w:hAnsi="Arial Narrow" w:cs="Arial"/>
                <w:i/>
                <w:sz w:val="20"/>
              </w:rPr>
            </w:pPr>
            <w:r w:rsidRPr="00D620C9">
              <w:rPr>
                <w:rFonts w:ascii="Arial Narrow" w:hAnsi="Arial Narrow" w:cs="Arial"/>
                <w:i/>
                <w:sz w:val="20"/>
              </w:rPr>
              <w:t>Inception Report: EU – Palestine Cooperation effectively supports goals of a socially viable Palestinian State;</w:t>
            </w:r>
          </w:p>
          <w:p w:rsidR="00D14FD6" w:rsidRPr="00D620C9" w:rsidRDefault="00D14FD6" w:rsidP="000954E5">
            <w:pPr>
              <w:spacing w:before="0" w:after="0"/>
              <w:jc w:val="left"/>
              <w:rPr>
                <w:rFonts w:ascii="Arial Narrow" w:hAnsi="Arial Narrow" w:cs="Arial"/>
                <w:i/>
                <w:sz w:val="20"/>
              </w:rPr>
            </w:pPr>
            <w:r w:rsidRPr="00D620C9">
              <w:rPr>
                <w:rFonts w:ascii="Arial Narrow" w:hAnsi="Arial Narrow" w:cs="Arial"/>
                <w:sz w:val="20"/>
                <w:u w:val="single"/>
              </w:rPr>
              <w:t>Justification of change</w:t>
            </w:r>
            <w:r w:rsidRPr="00D620C9">
              <w:rPr>
                <w:rFonts w:ascii="Arial Narrow" w:hAnsi="Arial Narrow" w:cs="Arial"/>
                <w:sz w:val="20"/>
              </w:rPr>
              <w:t>: The analysis of sustainability of social sector support and its contributions to the goal of a “sustainable” State strengthen the definition of the JC and allow for a better focus of the assessment;</w:t>
            </w:r>
          </w:p>
        </w:tc>
        <w:tc>
          <w:tcPr>
            <w:tcW w:w="646" w:type="pct"/>
            <w:shd w:val="clear" w:color="auto" w:fill="DBE5F1" w:themeFill="accent1" w:themeFillTint="33"/>
            <w:vAlign w:val="center"/>
          </w:tcPr>
          <w:p w:rsidR="00D14FD6" w:rsidRPr="00D620C9" w:rsidRDefault="00D14FD6" w:rsidP="00B54C8F">
            <w:pPr>
              <w:pStyle w:val="Paragrafoelenco"/>
              <w:numPr>
                <w:ilvl w:val="0"/>
                <w:numId w:val="87"/>
              </w:numPr>
              <w:spacing w:before="0" w:after="0"/>
              <w:jc w:val="left"/>
              <w:rPr>
                <w:rFonts w:ascii="Arial Narrow" w:hAnsi="Arial Narrow" w:cs="Arial"/>
                <w:sz w:val="20"/>
              </w:rPr>
            </w:pPr>
            <w:r w:rsidRPr="00D620C9">
              <w:rPr>
                <w:rFonts w:ascii="Arial Narrow" w:eastAsia="MS Mincho" w:hAnsi="Arial Narrow" w:cs="Arial"/>
                <w:color w:val="000000"/>
                <w:sz w:val="20"/>
                <w:lang w:eastAsia="ja-JP"/>
              </w:rPr>
              <w:t>Interventions supporting social sector are positively assessed (subcommittee, monitoring reports, external evaluations)</w:t>
            </w:r>
          </w:p>
          <w:p w:rsidR="00D14FD6" w:rsidRPr="00D620C9" w:rsidRDefault="00D14FD6" w:rsidP="00B54C8F">
            <w:pPr>
              <w:pStyle w:val="Paragrafoelenco"/>
              <w:numPr>
                <w:ilvl w:val="0"/>
                <w:numId w:val="87"/>
              </w:numPr>
              <w:spacing w:before="0" w:after="0"/>
              <w:jc w:val="left"/>
              <w:rPr>
                <w:rFonts w:ascii="Arial Narrow" w:hAnsi="Arial Narrow" w:cs="Arial"/>
                <w:sz w:val="20"/>
              </w:rPr>
            </w:pPr>
            <w:r w:rsidRPr="00D620C9">
              <w:rPr>
                <w:rFonts w:ascii="Arial Narrow" w:eastAsia="MS Mincho" w:hAnsi="Arial Narrow" w:cs="Arial"/>
                <w:color w:val="000000"/>
                <w:sz w:val="20"/>
                <w:lang w:eastAsia="ja-JP"/>
              </w:rPr>
              <w:t xml:space="preserve"> Evidence of positive results of cooperation efforts in favor of social sector;</w:t>
            </w:r>
          </w:p>
          <w:p w:rsidR="00D14FD6" w:rsidRPr="00D620C9" w:rsidRDefault="00D14FD6" w:rsidP="00B54C8F">
            <w:pPr>
              <w:pStyle w:val="Paragrafoelenco"/>
              <w:numPr>
                <w:ilvl w:val="0"/>
                <w:numId w:val="87"/>
              </w:numPr>
              <w:spacing w:before="0" w:after="0"/>
              <w:jc w:val="left"/>
              <w:rPr>
                <w:rFonts w:ascii="Arial Narrow" w:hAnsi="Arial Narrow" w:cs="Arial"/>
                <w:sz w:val="20"/>
              </w:rPr>
            </w:pPr>
            <w:r w:rsidRPr="00D620C9">
              <w:rPr>
                <w:rFonts w:ascii="Arial Narrow" w:hAnsi="Arial Narrow" w:cs="Arial"/>
                <w:bCs/>
                <w:sz w:val="20"/>
              </w:rPr>
              <w:t>Support to political dialogue on social sector issues,</w:t>
            </w:r>
            <w:r w:rsidRPr="00D620C9">
              <w:rPr>
                <w:rFonts w:ascii="Arial Narrow" w:hAnsi="Arial Narrow" w:cs="Arial"/>
                <w:sz w:val="20"/>
              </w:rPr>
              <w:t xml:space="preserve"> thematic working groups or regular exchange of information at regional and national level</w:t>
            </w:r>
          </w:p>
        </w:tc>
        <w:tc>
          <w:tcPr>
            <w:tcW w:w="415" w:type="pct"/>
            <w:vAlign w:val="center"/>
          </w:tcPr>
          <w:p w:rsidR="00D14FD6" w:rsidRPr="00D620C9" w:rsidRDefault="00D14FD6" w:rsidP="00D14FD6">
            <w:pPr>
              <w:pStyle w:val="Paragrafoelenco"/>
              <w:spacing w:before="0" w:after="0"/>
              <w:ind w:left="170"/>
              <w:jc w:val="center"/>
              <w:rPr>
                <w:rFonts w:ascii="Arial Narrow" w:hAnsi="Arial Narrow" w:cs="Arial"/>
                <w:sz w:val="20"/>
              </w:rPr>
            </w:pPr>
            <w:r>
              <w:rPr>
                <w:rFonts w:ascii="Arial Narrow" w:hAnsi="Arial Narrow" w:cs="Arial"/>
                <w:sz w:val="20"/>
              </w:rPr>
              <w:t>x</w:t>
            </w:r>
          </w:p>
        </w:tc>
        <w:tc>
          <w:tcPr>
            <w:tcW w:w="3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91"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93"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147"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44"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1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76"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2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55" w:type="pct"/>
            <w:vAlign w:val="center"/>
          </w:tcPr>
          <w:p w:rsidR="00D14FD6" w:rsidRPr="00D620C9" w:rsidRDefault="00D14FD6" w:rsidP="00D14FD6">
            <w:pPr>
              <w:pStyle w:val="Paragrafoelenco"/>
              <w:spacing w:before="0" w:after="0"/>
              <w:ind w:left="170"/>
              <w:jc w:val="center"/>
              <w:rPr>
                <w:rFonts w:ascii="Arial Narrow" w:hAnsi="Arial Narrow" w:cs="Arial"/>
                <w:sz w:val="20"/>
              </w:rPr>
            </w:pPr>
          </w:p>
        </w:tc>
      </w:tr>
      <w:tr w:rsidR="00D14FD6" w:rsidRPr="00D620C9" w:rsidTr="00D14FD6">
        <w:tc>
          <w:tcPr>
            <w:tcW w:w="497" w:type="pct"/>
            <w:vMerge w:val="restart"/>
            <w:shd w:val="clear" w:color="auto" w:fill="DBE5F1" w:themeFill="accent1" w:themeFillTint="33"/>
            <w:vAlign w:val="center"/>
          </w:tcPr>
          <w:p w:rsidR="00D14FD6" w:rsidRPr="00D620C9" w:rsidRDefault="00D14FD6" w:rsidP="000954E5">
            <w:pPr>
              <w:spacing w:before="0" w:after="0"/>
              <w:jc w:val="left"/>
              <w:rPr>
                <w:rFonts w:ascii="Arial Narrow" w:hAnsi="Arial Narrow" w:cs="Arial"/>
                <w:b/>
                <w:sz w:val="20"/>
              </w:rPr>
            </w:pPr>
            <w:r w:rsidRPr="00D620C9">
              <w:rPr>
                <w:rFonts w:ascii="Arial Narrow" w:hAnsi="Arial Narrow" w:cs="Arial"/>
                <w:b/>
                <w:sz w:val="20"/>
              </w:rPr>
              <w:t xml:space="preserve">EQ 8 PRIVATE SECTOR AND TRADE; </w:t>
            </w:r>
          </w:p>
          <w:p w:rsidR="00D14FD6" w:rsidRPr="00D620C9" w:rsidRDefault="00D14FD6" w:rsidP="000954E5">
            <w:pPr>
              <w:spacing w:before="0" w:after="0"/>
              <w:jc w:val="left"/>
              <w:rPr>
                <w:rFonts w:ascii="Arial Narrow" w:hAnsi="Arial Narrow" w:cs="Arial"/>
                <w:b/>
                <w:sz w:val="20"/>
              </w:rPr>
            </w:pPr>
          </w:p>
          <w:p w:rsidR="00D14FD6" w:rsidRPr="00D620C9" w:rsidRDefault="00D14FD6" w:rsidP="000954E5">
            <w:pPr>
              <w:spacing w:before="0" w:after="0"/>
              <w:jc w:val="left"/>
              <w:rPr>
                <w:rFonts w:ascii="Arial Narrow" w:hAnsi="Arial Narrow" w:cs="Arial"/>
                <w:sz w:val="20"/>
              </w:rPr>
            </w:pPr>
            <w:r w:rsidRPr="00D620C9">
              <w:rPr>
                <w:rFonts w:ascii="Arial Narrow" w:hAnsi="Arial Narrow" w:cs="Arial"/>
                <w:color w:val="000000"/>
                <w:sz w:val="20"/>
              </w:rPr>
              <w:lastRenderedPageBreak/>
              <w:t>Are the EC’s interventions for private sector development and trade effectively promoting the goal of an economically viable Palestinian State?</w:t>
            </w:r>
          </w:p>
        </w:tc>
        <w:tc>
          <w:tcPr>
            <w:tcW w:w="738" w:type="pct"/>
            <w:shd w:val="clear" w:color="auto" w:fill="DBE5F1" w:themeFill="accent1" w:themeFillTint="33"/>
            <w:vAlign w:val="center"/>
          </w:tcPr>
          <w:p w:rsidR="00D14FD6" w:rsidRPr="00D620C9" w:rsidRDefault="00D14FD6" w:rsidP="000954E5">
            <w:pPr>
              <w:spacing w:before="0" w:after="0"/>
              <w:jc w:val="left"/>
              <w:rPr>
                <w:rFonts w:ascii="Arial Narrow" w:hAnsi="Arial Narrow" w:cs="Arial"/>
                <w:sz w:val="20"/>
              </w:rPr>
            </w:pPr>
            <w:r w:rsidRPr="00D620C9">
              <w:rPr>
                <w:rFonts w:ascii="Arial Narrow" w:hAnsi="Arial Narrow" w:cs="Arial"/>
                <w:b/>
                <w:sz w:val="20"/>
              </w:rPr>
              <w:lastRenderedPageBreak/>
              <w:t xml:space="preserve">JC1. </w:t>
            </w:r>
            <w:r w:rsidRPr="00D620C9">
              <w:rPr>
                <w:rFonts w:ascii="Arial Narrow" w:hAnsi="Arial Narrow" w:cs="Arial"/>
                <w:sz w:val="20"/>
              </w:rPr>
              <w:t>Clear goals and strategies set for private sector development and trade</w:t>
            </w:r>
          </w:p>
        </w:tc>
        <w:tc>
          <w:tcPr>
            <w:tcW w:w="646" w:type="pct"/>
            <w:shd w:val="clear" w:color="auto" w:fill="DBE5F1" w:themeFill="accent1" w:themeFillTint="33"/>
            <w:vAlign w:val="center"/>
          </w:tcPr>
          <w:p w:rsidR="00D14FD6" w:rsidRPr="00D620C9" w:rsidRDefault="00D14FD6" w:rsidP="00B54C8F">
            <w:pPr>
              <w:pStyle w:val="Paragrafoelenco"/>
              <w:numPr>
                <w:ilvl w:val="0"/>
                <w:numId w:val="88"/>
              </w:numPr>
              <w:spacing w:before="0" w:after="0"/>
              <w:jc w:val="left"/>
              <w:rPr>
                <w:rFonts w:ascii="Arial Narrow" w:hAnsi="Arial Narrow" w:cs="Arial"/>
                <w:sz w:val="20"/>
              </w:rPr>
            </w:pPr>
            <w:r w:rsidRPr="00D620C9">
              <w:rPr>
                <w:rFonts w:ascii="Arial Narrow" w:hAnsi="Arial Narrow" w:cs="Arial"/>
                <w:sz w:val="20"/>
              </w:rPr>
              <w:t>PSD strategy is well defined and in line with goals;</w:t>
            </w:r>
          </w:p>
          <w:p w:rsidR="00D14FD6" w:rsidRPr="00D620C9" w:rsidRDefault="00D14FD6" w:rsidP="00B54C8F">
            <w:pPr>
              <w:pStyle w:val="Paragrafoelenco"/>
              <w:numPr>
                <w:ilvl w:val="0"/>
                <w:numId w:val="88"/>
              </w:numPr>
              <w:spacing w:before="0" w:after="0"/>
              <w:jc w:val="left"/>
              <w:rPr>
                <w:rFonts w:ascii="Arial Narrow" w:hAnsi="Arial Narrow" w:cs="Arial"/>
                <w:sz w:val="20"/>
              </w:rPr>
            </w:pPr>
            <w:r w:rsidRPr="00D620C9">
              <w:rPr>
                <w:rFonts w:ascii="Arial Narrow" w:hAnsi="Arial Narrow" w:cs="Arial"/>
                <w:sz w:val="20"/>
              </w:rPr>
              <w:t xml:space="preserve">Results, targets and </w:t>
            </w:r>
            <w:r w:rsidRPr="00D620C9">
              <w:rPr>
                <w:rFonts w:ascii="Arial Narrow" w:hAnsi="Arial Narrow" w:cs="Arial"/>
                <w:sz w:val="20"/>
              </w:rPr>
              <w:lastRenderedPageBreak/>
              <w:t>benchmarks defined and followed up;</w:t>
            </w:r>
          </w:p>
        </w:tc>
        <w:tc>
          <w:tcPr>
            <w:tcW w:w="415" w:type="pct"/>
            <w:vAlign w:val="center"/>
          </w:tcPr>
          <w:p w:rsidR="00D14FD6" w:rsidRPr="00D620C9" w:rsidRDefault="00D14FD6" w:rsidP="00D14FD6">
            <w:pPr>
              <w:pStyle w:val="Paragrafoelenco"/>
              <w:spacing w:before="0" w:after="0"/>
              <w:ind w:left="170"/>
              <w:jc w:val="center"/>
              <w:rPr>
                <w:rFonts w:ascii="Arial Narrow" w:hAnsi="Arial Narrow" w:cs="Arial"/>
                <w:sz w:val="20"/>
              </w:rPr>
            </w:pPr>
            <w:r>
              <w:rPr>
                <w:rFonts w:ascii="Arial Narrow" w:hAnsi="Arial Narrow" w:cs="Arial"/>
                <w:sz w:val="20"/>
              </w:rPr>
              <w:lastRenderedPageBreak/>
              <w:t>x</w:t>
            </w:r>
          </w:p>
        </w:tc>
        <w:tc>
          <w:tcPr>
            <w:tcW w:w="3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91" w:type="pct"/>
            <w:vAlign w:val="center"/>
          </w:tcPr>
          <w:p w:rsidR="00D14FD6" w:rsidRPr="00D620C9" w:rsidRDefault="00D14FD6" w:rsidP="00D14FD6">
            <w:pPr>
              <w:spacing w:before="0" w:after="0"/>
              <w:contextualSpacing/>
              <w:jc w:val="center"/>
              <w:rPr>
                <w:rFonts w:ascii="Arial Narrow" w:hAnsi="Arial Narrow" w:cs="Arial"/>
                <w:sz w:val="20"/>
              </w:rPr>
            </w:pPr>
          </w:p>
        </w:tc>
        <w:tc>
          <w:tcPr>
            <w:tcW w:w="293"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147"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44"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1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76" w:type="pct"/>
            <w:vAlign w:val="center"/>
          </w:tcPr>
          <w:p w:rsidR="00D14FD6" w:rsidRPr="00D620C9" w:rsidRDefault="00D14FD6" w:rsidP="00D14FD6">
            <w:pPr>
              <w:spacing w:before="0" w:after="0"/>
              <w:contextualSpacing/>
              <w:jc w:val="center"/>
              <w:rPr>
                <w:rFonts w:ascii="Arial Narrow" w:hAnsi="Arial Narrow" w:cs="Arial"/>
                <w:sz w:val="20"/>
              </w:rPr>
            </w:pPr>
          </w:p>
        </w:tc>
        <w:tc>
          <w:tcPr>
            <w:tcW w:w="2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2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55" w:type="pct"/>
            <w:vAlign w:val="center"/>
          </w:tcPr>
          <w:p w:rsidR="00D14FD6" w:rsidRPr="00D620C9" w:rsidRDefault="00D14FD6" w:rsidP="00D14FD6">
            <w:pPr>
              <w:pStyle w:val="Paragrafoelenco"/>
              <w:spacing w:before="0" w:after="0"/>
              <w:ind w:left="170"/>
              <w:jc w:val="center"/>
              <w:rPr>
                <w:rFonts w:ascii="Arial Narrow" w:hAnsi="Arial Narrow" w:cs="Arial"/>
                <w:sz w:val="20"/>
              </w:rPr>
            </w:pPr>
          </w:p>
        </w:tc>
      </w:tr>
      <w:tr w:rsidR="00D14FD6" w:rsidRPr="00D620C9" w:rsidTr="00D14FD6">
        <w:tc>
          <w:tcPr>
            <w:tcW w:w="497" w:type="pct"/>
            <w:vMerge/>
            <w:shd w:val="clear" w:color="auto" w:fill="DBE5F1" w:themeFill="accent1" w:themeFillTint="33"/>
            <w:vAlign w:val="center"/>
          </w:tcPr>
          <w:p w:rsidR="00D14FD6" w:rsidRPr="00D620C9" w:rsidRDefault="00D14FD6" w:rsidP="000954E5">
            <w:pPr>
              <w:spacing w:before="0" w:after="0"/>
              <w:jc w:val="left"/>
              <w:rPr>
                <w:rFonts w:ascii="Arial Narrow" w:hAnsi="Arial Narrow" w:cs="Arial"/>
                <w:sz w:val="20"/>
              </w:rPr>
            </w:pPr>
          </w:p>
        </w:tc>
        <w:tc>
          <w:tcPr>
            <w:tcW w:w="738" w:type="pct"/>
            <w:shd w:val="clear" w:color="auto" w:fill="DBE5F1" w:themeFill="accent1" w:themeFillTint="33"/>
            <w:vAlign w:val="center"/>
          </w:tcPr>
          <w:p w:rsidR="00D14FD6" w:rsidRPr="00D620C9" w:rsidRDefault="00D14FD6" w:rsidP="000954E5">
            <w:pPr>
              <w:spacing w:before="0" w:after="0"/>
              <w:jc w:val="left"/>
              <w:rPr>
                <w:rFonts w:ascii="Arial Narrow" w:hAnsi="Arial Narrow" w:cs="Arial"/>
                <w:sz w:val="20"/>
              </w:rPr>
            </w:pPr>
            <w:r w:rsidRPr="00D620C9">
              <w:rPr>
                <w:rFonts w:ascii="Arial Narrow" w:hAnsi="Arial Narrow" w:cs="Arial"/>
                <w:b/>
                <w:sz w:val="20"/>
              </w:rPr>
              <w:t>JC2.</w:t>
            </w:r>
            <w:r w:rsidRPr="00D620C9">
              <w:rPr>
                <w:rFonts w:ascii="Arial Narrow" w:hAnsi="Arial Narrow" w:cs="Arial"/>
                <w:sz w:val="20"/>
              </w:rPr>
              <w:t xml:space="preserve"> Cooperation interventions respond to needs and demands of project partners and targeted beneficiaries </w:t>
            </w:r>
          </w:p>
          <w:p w:rsidR="00D14FD6" w:rsidRPr="00D620C9" w:rsidRDefault="00D14FD6" w:rsidP="000954E5">
            <w:pPr>
              <w:spacing w:before="0" w:after="0"/>
              <w:jc w:val="left"/>
              <w:rPr>
                <w:rFonts w:ascii="Arial Narrow" w:hAnsi="Arial Narrow" w:cs="Arial"/>
                <w:i/>
                <w:sz w:val="20"/>
              </w:rPr>
            </w:pPr>
          </w:p>
          <w:p w:rsidR="00D14FD6" w:rsidRPr="00D620C9" w:rsidRDefault="00D14FD6" w:rsidP="000954E5">
            <w:pPr>
              <w:spacing w:before="0" w:after="0"/>
              <w:jc w:val="left"/>
              <w:rPr>
                <w:rFonts w:ascii="Arial Narrow" w:hAnsi="Arial Narrow" w:cs="Arial"/>
                <w:i/>
                <w:sz w:val="20"/>
              </w:rPr>
            </w:pPr>
            <w:r w:rsidRPr="00D620C9">
              <w:rPr>
                <w:rFonts w:ascii="Arial Narrow" w:hAnsi="Arial Narrow" w:cs="Arial"/>
                <w:i/>
                <w:sz w:val="20"/>
              </w:rPr>
              <w:t>Inception Report: “Cooperation interventions respond to needs and demands of Palestinian People;”</w:t>
            </w:r>
          </w:p>
          <w:p w:rsidR="00D14FD6" w:rsidRPr="00D620C9" w:rsidRDefault="00D14FD6" w:rsidP="000954E5">
            <w:pPr>
              <w:spacing w:before="0" w:after="0"/>
              <w:jc w:val="left"/>
              <w:rPr>
                <w:rFonts w:ascii="Arial Narrow" w:hAnsi="Arial Narrow" w:cs="Arial"/>
                <w:i/>
                <w:sz w:val="20"/>
              </w:rPr>
            </w:pPr>
            <w:r w:rsidRPr="00D620C9">
              <w:rPr>
                <w:rFonts w:ascii="Arial Narrow" w:hAnsi="Arial Narrow" w:cs="Arial"/>
                <w:sz w:val="20"/>
                <w:u w:val="single"/>
              </w:rPr>
              <w:t>Justification of change</w:t>
            </w:r>
            <w:r w:rsidRPr="00D620C9">
              <w:rPr>
                <w:rFonts w:ascii="Arial Narrow" w:hAnsi="Arial Narrow" w:cs="Arial"/>
                <w:sz w:val="20"/>
              </w:rPr>
              <w:t>: Rewording, with specification of partners and beneficiaries, allows for a more precise focus of the analysis of relevance;</w:t>
            </w:r>
          </w:p>
        </w:tc>
        <w:tc>
          <w:tcPr>
            <w:tcW w:w="646" w:type="pct"/>
            <w:shd w:val="clear" w:color="auto" w:fill="DBE5F1" w:themeFill="accent1" w:themeFillTint="33"/>
            <w:vAlign w:val="center"/>
          </w:tcPr>
          <w:p w:rsidR="00D14FD6" w:rsidRPr="00D620C9" w:rsidRDefault="00D14FD6" w:rsidP="00B54C8F">
            <w:pPr>
              <w:pStyle w:val="Paragrafoelenco"/>
              <w:numPr>
                <w:ilvl w:val="0"/>
                <w:numId w:val="89"/>
              </w:numPr>
              <w:spacing w:before="0" w:after="0"/>
              <w:jc w:val="left"/>
              <w:rPr>
                <w:rFonts w:ascii="Arial Narrow" w:hAnsi="Arial Narrow" w:cs="Arial"/>
                <w:sz w:val="20"/>
              </w:rPr>
            </w:pPr>
            <w:r w:rsidRPr="00D620C9">
              <w:rPr>
                <w:rFonts w:ascii="Arial Narrow" w:hAnsi="Arial Narrow" w:cs="Arial"/>
                <w:sz w:val="20"/>
              </w:rPr>
              <w:t xml:space="preserve">External evaluations assess positively relevance to needs; </w:t>
            </w:r>
          </w:p>
          <w:p w:rsidR="00D14FD6" w:rsidRPr="00D620C9" w:rsidRDefault="00D14FD6" w:rsidP="00B54C8F">
            <w:pPr>
              <w:pStyle w:val="Paragrafoelenco"/>
              <w:numPr>
                <w:ilvl w:val="0"/>
                <w:numId w:val="89"/>
              </w:numPr>
              <w:spacing w:before="0" w:after="0"/>
              <w:jc w:val="left"/>
              <w:rPr>
                <w:rFonts w:ascii="Arial Narrow" w:hAnsi="Arial Narrow" w:cs="Arial"/>
                <w:sz w:val="20"/>
              </w:rPr>
            </w:pPr>
            <w:r w:rsidRPr="00D620C9">
              <w:rPr>
                <w:rFonts w:ascii="Arial Narrow" w:hAnsi="Arial Narrow" w:cs="Arial"/>
                <w:sz w:val="20"/>
              </w:rPr>
              <w:t>Stakeholders (Private Sector) confirms through interviews perception of relevance of EC cooperation to their needs (qualitative analysis);</w:t>
            </w:r>
          </w:p>
        </w:tc>
        <w:tc>
          <w:tcPr>
            <w:tcW w:w="415" w:type="pct"/>
            <w:vAlign w:val="center"/>
          </w:tcPr>
          <w:p w:rsidR="00D14FD6" w:rsidRPr="00D620C9" w:rsidRDefault="00D14FD6" w:rsidP="00D14FD6">
            <w:pPr>
              <w:pStyle w:val="Paragrafoelenco"/>
              <w:spacing w:before="0" w:after="0"/>
              <w:ind w:left="170"/>
              <w:jc w:val="center"/>
              <w:rPr>
                <w:rFonts w:ascii="Arial Narrow" w:hAnsi="Arial Narrow" w:cs="Arial"/>
                <w:sz w:val="20"/>
              </w:rPr>
            </w:pPr>
            <w:r>
              <w:rPr>
                <w:rFonts w:ascii="Arial Narrow" w:hAnsi="Arial Narrow" w:cs="Arial"/>
                <w:sz w:val="20"/>
              </w:rPr>
              <w:t>x</w:t>
            </w:r>
          </w:p>
        </w:tc>
        <w:tc>
          <w:tcPr>
            <w:tcW w:w="3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91" w:type="pct"/>
            <w:vAlign w:val="center"/>
          </w:tcPr>
          <w:p w:rsidR="00D14FD6" w:rsidRPr="00D620C9" w:rsidRDefault="00D14FD6" w:rsidP="00D14FD6">
            <w:pPr>
              <w:spacing w:before="0" w:after="0"/>
              <w:contextualSpacing/>
              <w:jc w:val="center"/>
              <w:rPr>
                <w:rFonts w:ascii="Arial Narrow" w:hAnsi="Arial Narrow" w:cs="Arial"/>
                <w:sz w:val="20"/>
              </w:rPr>
            </w:pPr>
          </w:p>
        </w:tc>
        <w:tc>
          <w:tcPr>
            <w:tcW w:w="293"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147"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44"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1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76" w:type="pct"/>
            <w:vAlign w:val="center"/>
          </w:tcPr>
          <w:p w:rsidR="00D14FD6" w:rsidRPr="00D620C9" w:rsidRDefault="00D14FD6" w:rsidP="00D14FD6">
            <w:pPr>
              <w:spacing w:before="0" w:after="0"/>
              <w:contextualSpacing/>
              <w:jc w:val="center"/>
              <w:rPr>
                <w:rFonts w:ascii="Arial Narrow" w:hAnsi="Arial Narrow" w:cs="Arial"/>
                <w:sz w:val="20"/>
              </w:rPr>
            </w:pPr>
          </w:p>
        </w:tc>
        <w:tc>
          <w:tcPr>
            <w:tcW w:w="2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2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55" w:type="pct"/>
            <w:vAlign w:val="center"/>
          </w:tcPr>
          <w:p w:rsidR="00D14FD6" w:rsidRPr="00D620C9" w:rsidRDefault="00D14FD6" w:rsidP="00D14FD6">
            <w:pPr>
              <w:pStyle w:val="Paragrafoelenco"/>
              <w:spacing w:before="0" w:after="0"/>
              <w:ind w:left="170"/>
              <w:jc w:val="center"/>
              <w:rPr>
                <w:rFonts w:ascii="Arial Narrow" w:hAnsi="Arial Narrow" w:cs="Arial"/>
                <w:sz w:val="20"/>
              </w:rPr>
            </w:pPr>
          </w:p>
        </w:tc>
      </w:tr>
      <w:tr w:rsidR="00D14FD6" w:rsidRPr="00D620C9" w:rsidTr="00D14FD6">
        <w:tc>
          <w:tcPr>
            <w:tcW w:w="497" w:type="pct"/>
            <w:vMerge/>
            <w:shd w:val="clear" w:color="auto" w:fill="DBE5F1" w:themeFill="accent1" w:themeFillTint="33"/>
            <w:vAlign w:val="center"/>
          </w:tcPr>
          <w:p w:rsidR="00D14FD6" w:rsidRPr="00D620C9" w:rsidRDefault="00D14FD6" w:rsidP="000954E5">
            <w:pPr>
              <w:spacing w:before="0" w:after="0"/>
              <w:jc w:val="left"/>
              <w:rPr>
                <w:rFonts w:ascii="Arial Narrow" w:hAnsi="Arial Narrow" w:cs="Arial"/>
                <w:sz w:val="20"/>
              </w:rPr>
            </w:pPr>
          </w:p>
        </w:tc>
        <w:tc>
          <w:tcPr>
            <w:tcW w:w="738" w:type="pct"/>
            <w:shd w:val="clear" w:color="auto" w:fill="DBE5F1" w:themeFill="accent1" w:themeFillTint="33"/>
            <w:vAlign w:val="center"/>
          </w:tcPr>
          <w:p w:rsidR="00D14FD6" w:rsidRPr="00D620C9" w:rsidRDefault="00D14FD6" w:rsidP="000954E5">
            <w:pPr>
              <w:spacing w:before="0" w:after="0"/>
              <w:jc w:val="left"/>
              <w:rPr>
                <w:rFonts w:ascii="Arial Narrow" w:hAnsi="Arial Narrow" w:cs="Arial"/>
                <w:sz w:val="20"/>
              </w:rPr>
            </w:pPr>
            <w:r w:rsidRPr="00D620C9">
              <w:rPr>
                <w:rFonts w:ascii="Arial Narrow" w:hAnsi="Arial Narrow" w:cs="Arial"/>
                <w:b/>
                <w:sz w:val="20"/>
              </w:rPr>
              <w:t>JC3.</w:t>
            </w:r>
            <w:r w:rsidRPr="00D620C9">
              <w:rPr>
                <w:rFonts w:ascii="Arial Narrow" w:hAnsi="Arial Narrow" w:cs="Arial"/>
                <w:sz w:val="20"/>
              </w:rPr>
              <w:t xml:space="preserve"> Cooperation efforts contribute to institutional capacity building and good governance</w:t>
            </w:r>
          </w:p>
        </w:tc>
        <w:tc>
          <w:tcPr>
            <w:tcW w:w="646" w:type="pct"/>
            <w:shd w:val="clear" w:color="auto" w:fill="DBE5F1" w:themeFill="accent1" w:themeFillTint="33"/>
            <w:vAlign w:val="center"/>
          </w:tcPr>
          <w:p w:rsidR="00D14FD6" w:rsidRPr="00D620C9" w:rsidRDefault="00D14FD6" w:rsidP="00B54C8F">
            <w:pPr>
              <w:pStyle w:val="Paragrafoelenco"/>
              <w:keepNext/>
              <w:keepLines/>
              <w:numPr>
                <w:ilvl w:val="0"/>
                <w:numId w:val="61"/>
              </w:numPr>
              <w:spacing w:before="0" w:after="0"/>
              <w:jc w:val="left"/>
              <w:rPr>
                <w:rFonts w:ascii="Arial Narrow" w:hAnsi="Arial Narrow" w:cs="Arial"/>
                <w:sz w:val="20"/>
              </w:rPr>
            </w:pPr>
            <w:r w:rsidRPr="00D620C9">
              <w:rPr>
                <w:rFonts w:ascii="Arial Narrow" w:hAnsi="Arial Narrow" w:cs="Arial"/>
                <w:sz w:val="20"/>
              </w:rPr>
              <w:t>Evidence of Institutional Strengthening result from EU Cooperation;</w:t>
            </w:r>
          </w:p>
        </w:tc>
        <w:tc>
          <w:tcPr>
            <w:tcW w:w="415" w:type="pct"/>
            <w:vAlign w:val="center"/>
          </w:tcPr>
          <w:p w:rsidR="00D14FD6" w:rsidRPr="00D620C9" w:rsidRDefault="00D14FD6" w:rsidP="00D14FD6">
            <w:pPr>
              <w:pStyle w:val="Paragrafoelenco"/>
              <w:spacing w:before="0" w:after="0"/>
              <w:ind w:left="170"/>
              <w:jc w:val="center"/>
              <w:rPr>
                <w:rFonts w:ascii="Arial Narrow" w:hAnsi="Arial Narrow" w:cs="Arial"/>
                <w:sz w:val="20"/>
              </w:rPr>
            </w:pPr>
            <w:r>
              <w:rPr>
                <w:rFonts w:ascii="Arial Narrow" w:hAnsi="Arial Narrow" w:cs="Arial"/>
                <w:sz w:val="20"/>
              </w:rPr>
              <w:t>x</w:t>
            </w:r>
          </w:p>
        </w:tc>
        <w:tc>
          <w:tcPr>
            <w:tcW w:w="3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91" w:type="pct"/>
            <w:vAlign w:val="center"/>
          </w:tcPr>
          <w:p w:rsidR="00D14FD6" w:rsidRPr="00D620C9" w:rsidRDefault="00D14FD6" w:rsidP="00D14FD6">
            <w:pPr>
              <w:spacing w:before="0" w:after="0"/>
              <w:contextualSpacing/>
              <w:jc w:val="center"/>
              <w:rPr>
                <w:rFonts w:ascii="Arial Narrow" w:hAnsi="Arial Narrow" w:cs="Arial"/>
                <w:sz w:val="20"/>
              </w:rPr>
            </w:pPr>
          </w:p>
        </w:tc>
        <w:tc>
          <w:tcPr>
            <w:tcW w:w="293"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147"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44"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1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76" w:type="pct"/>
            <w:vAlign w:val="center"/>
          </w:tcPr>
          <w:p w:rsidR="00D14FD6" w:rsidRPr="00D620C9" w:rsidRDefault="00D14FD6" w:rsidP="00D14FD6">
            <w:pPr>
              <w:spacing w:before="0" w:after="0"/>
              <w:contextualSpacing/>
              <w:jc w:val="center"/>
              <w:rPr>
                <w:rFonts w:ascii="Arial Narrow" w:hAnsi="Arial Narrow" w:cs="Arial"/>
                <w:sz w:val="20"/>
              </w:rPr>
            </w:pPr>
          </w:p>
        </w:tc>
        <w:tc>
          <w:tcPr>
            <w:tcW w:w="2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2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55" w:type="pct"/>
            <w:vAlign w:val="center"/>
          </w:tcPr>
          <w:p w:rsidR="00D14FD6" w:rsidRPr="00D620C9" w:rsidRDefault="00D14FD6" w:rsidP="00D14FD6">
            <w:pPr>
              <w:pStyle w:val="Paragrafoelenco"/>
              <w:keepNext/>
              <w:keepLines/>
              <w:spacing w:before="0" w:after="0"/>
              <w:ind w:left="113"/>
              <w:jc w:val="center"/>
              <w:rPr>
                <w:rFonts w:ascii="Arial Narrow" w:hAnsi="Arial Narrow" w:cs="Arial"/>
                <w:sz w:val="20"/>
              </w:rPr>
            </w:pPr>
          </w:p>
        </w:tc>
      </w:tr>
      <w:tr w:rsidR="00D14FD6" w:rsidRPr="00D620C9" w:rsidTr="00D14FD6">
        <w:tc>
          <w:tcPr>
            <w:tcW w:w="497" w:type="pct"/>
            <w:vMerge/>
            <w:shd w:val="clear" w:color="auto" w:fill="DBE5F1" w:themeFill="accent1" w:themeFillTint="33"/>
            <w:vAlign w:val="center"/>
          </w:tcPr>
          <w:p w:rsidR="00D14FD6" w:rsidRPr="00D620C9" w:rsidRDefault="00D14FD6" w:rsidP="000954E5">
            <w:pPr>
              <w:spacing w:before="0" w:after="0"/>
              <w:jc w:val="left"/>
              <w:rPr>
                <w:rFonts w:ascii="Arial Narrow" w:hAnsi="Arial Narrow" w:cs="Arial"/>
                <w:sz w:val="20"/>
              </w:rPr>
            </w:pPr>
          </w:p>
        </w:tc>
        <w:tc>
          <w:tcPr>
            <w:tcW w:w="738" w:type="pct"/>
            <w:shd w:val="clear" w:color="auto" w:fill="DBE5F1" w:themeFill="accent1" w:themeFillTint="33"/>
            <w:vAlign w:val="center"/>
          </w:tcPr>
          <w:p w:rsidR="00D14FD6" w:rsidRPr="00D620C9" w:rsidRDefault="00D14FD6" w:rsidP="000954E5">
            <w:pPr>
              <w:keepNext/>
              <w:keepLines/>
              <w:spacing w:before="0" w:after="0"/>
              <w:jc w:val="left"/>
              <w:rPr>
                <w:rFonts w:ascii="Arial Narrow" w:hAnsi="Arial Narrow" w:cs="Arial"/>
                <w:sz w:val="20"/>
              </w:rPr>
            </w:pPr>
            <w:r w:rsidRPr="00D620C9">
              <w:rPr>
                <w:rFonts w:ascii="Arial Narrow" w:hAnsi="Arial Narrow" w:cs="Arial"/>
                <w:b/>
                <w:sz w:val="20"/>
              </w:rPr>
              <w:t>JC4.</w:t>
            </w:r>
            <w:r w:rsidRPr="00D620C9">
              <w:rPr>
                <w:rFonts w:ascii="Arial Narrow" w:hAnsi="Arial Narrow" w:cs="Arial"/>
                <w:sz w:val="20"/>
              </w:rPr>
              <w:t xml:space="preserve"> EU – Palestine Cooperation effectively supports private sector development, contributing to an economically viable Palestinian State</w:t>
            </w:r>
          </w:p>
        </w:tc>
        <w:tc>
          <w:tcPr>
            <w:tcW w:w="646" w:type="pct"/>
            <w:shd w:val="clear" w:color="auto" w:fill="DBE5F1" w:themeFill="accent1" w:themeFillTint="33"/>
            <w:vAlign w:val="center"/>
          </w:tcPr>
          <w:p w:rsidR="00D14FD6" w:rsidRPr="00D620C9" w:rsidRDefault="00D14FD6" w:rsidP="00B54C8F">
            <w:pPr>
              <w:pStyle w:val="Paragrafoelenco"/>
              <w:numPr>
                <w:ilvl w:val="0"/>
                <w:numId w:val="90"/>
              </w:numPr>
              <w:spacing w:before="0" w:after="0"/>
              <w:jc w:val="left"/>
              <w:rPr>
                <w:rFonts w:ascii="Arial Narrow" w:hAnsi="Arial Narrow" w:cs="Arial"/>
                <w:sz w:val="20"/>
              </w:rPr>
            </w:pPr>
            <w:r w:rsidRPr="00D620C9">
              <w:rPr>
                <w:rFonts w:ascii="Arial Narrow" w:eastAsia="MS Mincho" w:hAnsi="Arial Narrow" w:cs="Arial"/>
                <w:color w:val="000000"/>
                <w:sz w:val="20"/>
                <w:lang w:eastAsia="ja-JP"/>
              </w:rPr>
              <w:t>Interventions supporting PSD are positively assessed (subcommittee, monitoring reports, external evaluations)</w:t>
            </w:r>
          </w:p>
          <w:p w:rsidR="00D14FD6" w:rsidRPr="00D620C9" w:rsidRDefault="00D14FD6" w:rsidP="00B54C8F">
            <w:pPr>
              <w:pStyle w:val="Paragrafoelenco"/>
              <w:numPr>
                <w:ilvl w:val="0"/>
                <w:numId w:val="90"/>
              </w:numPr>
              <w:spacing w:before="0" w:after="0"/>
              <w:jc w:val="left"/>
              <w:rPr>
                <w:rFonts w:ascii="Arial Narrow" w:hAnsi="Arial Narrow" w:cs="Arial"/>
                <w:sz w:val="20"/>
              </w:rPr>
            </w:pPr>
            <w:r w:rsidRPr="00D620C9">
              <w:rPr>
                <w:rFonts w:ascii="Arial Narrow" w:eastAsia="MS Mincho" w:hAnsi="Arial Narrow" w:cs="Arial"/>
                <w:color w:val="000000"/>
                <w:sz w:val="20"/>
                <w:lang w:eastAsia="ja-JP"/>
              </w:rPr>
              <w:t xml:space="preserve"> Evidence of positive results of cooperation efforts </w:t>
            </w:r>
            <w:r w:rsidRPr="00D620C9">
              <w:rPr>
                <w:rFonts w:ascii="Arial Narrow" w:eastAsia="MS Mincho" w:hAnsi="Arial Narrow" w:cs="Arial"/>
                <w:color w:val="000000"/>
                <w:sz w:val="20"/>
                <w:lang w:eastAsia="ja-JP"/>
              </w:rPr>
              <w:lastRenderedPageBreak/>
              <w:t>in favor of PSD;</w:t>
            </w:r>
          </w:p>
          <w:p w:rsidR="00D14FD6" w:rsidRPr="00D620C9" w:rsidRDefault="00D14FD6" w:rsidP="00B54C8F">
            <w:pPr>
              <w:pStyle w:val="Paragrafoelenco"/>
              <w:numPr>
                <w:ilvl w:val="0"/>
                <w:numId w:val="90"/>
              </w:numPr>
              <w:spacing w:before="0" w:after="0"/>
              <w:jc w:val="left"/>
              <w:rPr>
                <w:rFonts w:ascii="Arial Narrow" w:hAnsi="Arial Narrow" w:cs="Arial"/>
                <w:sz w:val="20"/>
              </w:rPr>
            </w:pPr>
            <w:r w:rsidRPr="00D620C9">
              <w:rPr>
                <w:rFonts w:ascii="Arial Narrow" w:hAnsi="Arial Narrow" w:cs="Arial"/>
                <w:bCs/>
                <w:sz w:val="20"/>
              </w:rPr>
              <w:t>Support to political dialogue on PSD issues,</w:t>
            </w:r>
            <w:r w:rsidRPr="00D620C9">
              <w:rPr>
                <w:rFonts w:ascii="Arial Narrow" w:hAnsi="Arial Narrow" w:cs="Arial"/>
                <w:sz w:val="20"/>
              </w:rPr>
              <w:t xml:space="preserve"> thematic working groups or regular exchange of information at regional and national level</w:t>
            </w:r>
          </w:p>
        </w:tc>
        <w:tc>
          <w:tcPr>
            <w:tcW w:w="415" w:type="pct"/>
            <w:vAlign w:val="center"/>
          </w:tcPr>
          <w:p w:rsidR="00D14FD6" w:rsidRPr="00D620C9" w:rsidRDefault="00D14FD6" w:rsidP="00D14FD6">
            <w:pPr>
              <w:pStyle w:val="Paragrafoelenco"/>
              <w:spacing w:before="0" w:after="0"/>
              <w:ind w:left="170"/>
              <w:jc w:val="center"/>
              <w:rPr>
                <w:rFonts w:ascii="Arial Narrow" w:hAnsi="Arial Narrow" w:cs="Arial"/>
                <w:sz w:val="20"/>
              </w:rPr>
            </w:pPr>
            <w:r>
              <w:rPr>
                <w:rFonts w:ascii="Arial Narrow" w:hAnsi="Arial Narrow" w:cs="Arial"/>
                <w:sz w:val="20"/>
              </w:rPr>
              <w:lastRenderedPageBreak/>
              <w:t>x</w:t>
            </w:r>
          </w:p>
        </w:tc>
        <w:tc>
          <w:tcPr>
            <w:tcW w:w="3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91" w:type="pct"/>
            <w:vAlign w:val="center"/>
          </w:tcPr>
          <w:p w:rsidR="00D14FD6" w:rsidRPr="00D620C9" w:rsidRDefault="00D14FD6" w:rsidP="00D14FD6">
            <w:pPr>
              <w:spacing w:before="0" w:after="0"/>
              <w:contextualSpacing/>
              <w:jc w:val="center"/>
              <w:rPr>
                <w:rFonts w:ascii="Arial Narrow" w:hAnsi="Arial Narrow" w:cs="Arial"/>
                <w:sz w:val="20"/>
              </w:rPr>
            </w:pPr>
          </w:p>
        </w:tc>
        <w:tc>
          <w:tcPr>
            <w:tcW w:w="293"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147"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44"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1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76" w:type="pct"/>
            <w:vAlign w:val="center"/>
          </w:tcPr>
          <w:p w:rsidR="00D14FD6" w:rsidRPr="00D620C9" w:rsidRDefault="00D14FD6" w:rsidP="00D14FD6">
            <w:pPr>
              <w:spacing w:before="0" w:after="0"/>
              <w:contextualSpacing/>
              <w:jc w:val="center"/>
              <w:rPr>
                <w:rFonts w:ascii="Arial Narrow" w:hAnsi="Arial Narrow" w:cs="Arial"/>
                <w:sz w:val="20"/>
              </w:rPr>
            </w:pPr>
          </w:p>
        </w:tc>
        <w:tc>
          <w:tcPr>
            <w:tcW w:w="2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2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55" w:type="pct"/>
            <w:vAlign w:val="center"/>
          </w:tcPr>
          <w:p w:rsidR="00D14FD6" w:rsidRPr="00D620C9" w:rsidRDefault="00D14FD6" w:rsidP="00D14FD6">
            <w:pPr>
              <w:spacing w:before="0" w:after="0"/>
              <w:contextualSpacing/>
              <w:jc w:val="center"/>
              <w:rPr>
                <w:rFonts w:ascii="Arial Narrow" w:eastAsia="MS Mincho" w:hAnsi="Arial Narrow" w:cs="Arial"/>
                <w:color w:val="000000"/>
                <w:sz w:val="20"/>
                <w:lang w:eastAsia="ja-JP"/>
              </w:rPr>
            </w:pPr>
          </w:p>
        </w:tc>
      </w:tr>
      <w:tr w:rsidR="00D14FD6" w:rsidRPr="00D620C9" w:rsidTr="00D14FD6">
        <w:tc>
          <w:tcPr>
            <w:tcW w:w="497" w:type="pct"/>
            <w:vMerge w:val="restart"/>
            <w:shd w:val="clear" w:color="auto" w:fill="DBE5F1" w:themeFill="accent1" w:themeFillTint="33"/>
            <w:vAlign w:val="center"/>
          </w:tcPr>
          <w:p w:rsidR="00D14FD6" w:rsidRPr="00D620C9" w:rsidRDefault="00D14FD6" w:rsidP="000954E5">
            <w:pPr>
              <w:spacing w:before="0" w:after="0"/>
              <w:jc w:val="left"/>
              <w:rPr>
                <w:rFonts w:ascii="Arial Narrow" w:hAnsi="Arial Narrow" w:cs="Arial"/>
                <w:b/>
                <w:sz w:val="20"/>
              </w:rPr>
            </w:pPr>
          </w:p>
          <w:p w:rsidR="00D14FD6" w:rsidRPr="00D620C9" w:rsidRDefault="00D14FD6" w:rsidP="000954E5">
            <w:pPr>
              <w:spacing w:before="0" w:after="0"/>
              <w:jc w:val="left"/>
              <w:rPr>
                <w:rFonts w:ascii="Arial Narrow" w:hAnsi="Arial Narrow" w:cs="Arial"/>
                <w:b/>
                <w:sz w:val="20"/>
              </w:rPr>
            </w:pPr>
            <w:r w:rsidRPr="00D620C9">
              <w:rPr>
                <w:rFonts w:ascii="Arial Narrow" w:hAnsi="Arial Narrow" w:cs="Arial"/>
                <w:b/>
                <w:sz w:val="20"/>
              </w:rPr>
              <w:t>EQ 9. WATER, SANITATION AND LAND</w:t>
            </w:r>
          </w:p>
          <w:p w:rsidR="00D14FD6" w:rsidRPr="00D620C9" w:rsidRDefault="00D14FD6" w:rsidP="000954E5">
            <w:pPr>
              <w:spacing w:before="0" w:after="0"/>
              <w:jc w:val="left"/>
              <w:rPr>
                <w:rFonts w:ascii="Arial Narrow" w:hAnsi="Arial Narrow" w:cs="Arial"/>
                <w:b/>
                <w:sz w:val="20"/>
              </w:rPr>
            </w:pPr>
          </w:p>
          <w:p w:rsidR="00D14FD6" w:rsidRPr="00D620C9" w:rsidRDefault="00D14FD6" w:rsidP="000954E5">
            <w:pPr>
              <w:spacing w:before="0" w:after="0"/>
              <w:jc w:val="left"/>
              <w:rPr>
                <w:rFonts w:ascii="Arial Narrow" w:hAnsi="Arial Narrow" w:cs="Arial"/>
                <w:sz w:val="20"/>
              </w:rPr>
            </w:pPr>
            <w:r w:rsidRPr="00D620C9">
              <w:rPr>
                <w:rFonts w:ascii="Arial Narrow" w:hAnsi="Arial Narrow" w:cs="Arial"/>
                <w:color w:val="000000"/>
                <w:sz w:val="20"/>
              </w:rPr>
              <w:t xml:space="preserve">To what extent have the EC’s interventions on water and sanitation delivered social and economic benefits (contributing to poverty reduction), supported national institutional capacity (contributing to state-building) and cross border cooperation (contributing to </w:t>
            </w:r>
            <w:r w:rsidRPr="00D620C9">
              <w:rPr>
                <w:rFonts w:ascii="Arial Narrow" w:hAnsi="Arial Narrow" w:cs="Arial"/>
                <w:color w:val="000000"/>
                <w:sz w:val="20"/>
              </w:rPr>
              <w:lastRenderedPageBreak/>
              <w:t>governance challenges)?</w:t>
            </w:r>
          </w:p>
        </w:tc>
        <w:tc>
          <w:tcPr>
            <w:tcW w:w="738" w:type="pct"/>
            <w:shd w:val="clear" w:color="auto" w:fill="DBE5F1" w:themeFill="accent1" w:themeFillTint="33"/>
            <w:vAlign w:val="center"/>
          </w:tcPr>
          <w:p w:rsidR="00D14FD6" w:rsidRPr="00D620C9" w:rsidRDefault="00D14FD6" w:rsidP="000954E5">
            <w:pPr>
              <w:spacing w:before="0" w:after="0"/>
              <w:jc w:val="left"/>
              <w:rPr>
                <w:rFonts w:ascii="Arial Narrow" w:hAnsi="Arial Narrow" w:cs="Arial"/>
                <w:sz w:val="20"/>
              </w:rPr>
            </w:pPr>
            <w:r w:rsidRPr="00D620C9">
              <w:rPr>
                <w:rFonts w:ascii="Arial Narrow" w:hAnsi="Arial Narrow" w:cs="Arial"/>
                <w:b/>
                <w:sz w:val="20"/>
              </w:rPr>
              <w:lastRenderedPageBreak/>
              <w:t>JC1.</w:t>
            </w:r>
            <w:r w:rsidRPr="00D620C9">
              <w:rPr>
                <w:rFonts w:ascii="Arial Narrow" w:hAnsi="Arial Narrow" w:cs="Arial"/>
                <w:sz w:val="20"/>
              </w:rPr>
              <w:t xml:space="preserve">Clear goals and strategies set for the water and sanitation sector </w:t>
            </w:r>
          </w:p>
        </w:tc>
        <w:tc>
          <w:tcPr>
            <w:tcW w:w="646" w:type="pct"/>
            <w:shd w:val="clear" w:color="auto" w:fill="DBE5F1" w:themeFill="accent1" w:themeFillTint="33"/>
            <w:vAlign w:val="center"/>
          </w:tcPr>
          <w:p w:rsidR="00D14FD6" w:rsidRPr="00D620C9" w:rsidRDefault="00D14FD6" w:rsidP="00B54C8F">
            <w:pPr>
              <w:pStyle w:val="Paragrafoelenco"/>
              <w:numPr>
                <w:ilvl w:val="0"/>
                <w:numId w:val="91"/>
              </w:numPr>
              <w:spacing w:before="0" w:after="0"/>
              <w:jc w:val="left"/>
              <w:rPr>
                <w:rFonts w:ascii="Arial Narrow" w:hAnsi="Arial Narrow" w:cs="Arial"/>
                <w:sz w:val="20"/>
              </w:rPr>
            </w:pPr>
            <w:r w:rsidRPr="00D620C9">
              <w:rPr>
                <w:rFonts w:ascii="Arial Narrow" w:hAnsi="Arial Narrow" w:cs="Arial"/>
                <w:sz w:val="20"/>
                <w:lang w:eastAsia="ja-JP"/>
              </w:rPr>
              <w:t>Key constraints for access to water and sanitation identified</w:t>
            </w:r>
            <w:r w:rsidRPr="00D620C9">
              <w:rPr>
                <w:rFonts w:ascii="Arial Narrow" w:hAnsi="Arial Narrow" w:cs="Arial"/>
                <w:sz w:val="20"/>
              </w:rPr>
              <w:t>;</w:t>
            </w:r>
          </w:p>
          <w:p w:rsidR="00D14FD6" w:rsidRPr="00D620C9" w:rsidRDefault="00D14FD6" w:rsidP="00B54C8F">
            <w:pPr>
              <w:pStyle w:val="Paragrafoelenco"/>
              <w:numPr>
                <w:ilvl w:val="0"/>
                <w:numId w:val="91"/>
              </w:numPr>
              <w:spacing w:before="0" w:after="0"/>
              <w:jc w:val="left"/>
              <w:rPr>
                <w:rFonts w:ascii="Arial Narrow" w:hAnsi="Arial Narrow" w:cs="Arial"/>
                <w:sz w:val="20"/>
              </w:rPr>
            </w:pPr>
            <w:r w:rsidRPr="00D620C9">
              <w:rPr>
                <w:rFonts w:ascii="Arial Narrow" w:hAnsi="Arial Narrow" w:cs="Arial"/>
                <w:sz w:val="20"/>
              </w:rPr>
              <w:t>Strategy, goals and plan of action defined and coherent to sector priorities</w:t>
            </w:r>
          </w:p>
        </w:tc>
        <w:tc>
          <w:tcPr>
            <w:tcW w:w="415" w:type="pct"/>
            <w:vAlign w:val="center"/>
          </w:tcPr>
          <w:p w:rsidR="00D14FD6" w:rsidRPr="00D620C9" w:rsidRDefault="00D14FD6" w:rsidP="00D14FD6">
            <w:pPr>
              <w:pStyle w:val="Paragrafoelenco"/>
              <w:spacing w:before="0" w:after="0"/>
              <w:ind w:left="170"/>
              <w:jc w:val="center"/>
              <w:rPr>
                <w:rFonts w:ascii="Arial Narrow" w:hAnsi="Arial Narrow" w:cs="Arial"/>
                <w:sz w:val="20"/>
              </w:rPr>
            </w:pPr>
            <w:r>
              <w:rPr>
                <w:rFonts w:ascii="Arial Narrow" w:hAnsi="Arial Narrow" w:cs="Arial"/>
                <w:sz w:val="20"/>
              </w:rPr>
              <w:t>x</w:t>
            </w:r>
          </w:p>
        </w:tc>
        <w:tc>
          <w:tcPr>
            <w:tcW w:w="332" w:type="pct"/>
            <w:vAlign w:val="center"/>
          </w:tcPr>
          <w:p w:rsidR="00D14FD6" w:rsidRPr="00D620C9" w:rsidRDefault="00D14FD6" w:rsidP="00D14FD6">
            <w:pPr>
              <w:spacing w:before="0" w:after="0"/>
              <w:contextualSpacing/>
              <w:jc w:val="center"/>
              <w:rPr>
                <w:rFonts w:ascii="Arial Narrow" w:hAnsi="Arial Narrow" w:cs="Arial"/>
                <w:sz w:val="20"/>
              </w:rPr>
            </w:pPr>
          </w:p>
        </w:tc>
        <w:tc>
          <w:tcPr>
            <w:tcW w:w="391" w:type="pct"/>
            <w:vAlign w:val="center"/>
          </w:tcPr>
          <w:p w:rsidR="00D14FD6" w:rsidRPr="00D620C9" w:rsidRDefault="00D14FD6" w:rsidP="00D14FD6">
            <w:pPr>
              <w:spacing w:before="0" w:after="0"/>
              <w:contextualSpacing/>
              <w:jc w:val="center"/>
              <w:rPr>
                <w:rFonts w:ascii="Arial Narrow" w:hAnsi="Arial Narrow" w:cs="Arial"/>
                <w:sz w:val="20"/>
              </w:rPr>
            </w:pPr>
          </w:p>
        </w:tc>
        <w:tc>
          <w:tcPr>
            <w:tcW w:w="293"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147"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44" w:type="pct"/>
            <w:vAlign w:val="center"/>
          </w:tcPr>
          <w:p w:rsidR="00D14FD6" w:rsidRPr="00D620C9" w:rsidRDefault="00D14FD6" w:rsidP="00D14FD6">
            <w:pPr>
              <w:spacing w:before="0" w:after="0"/>
              <w:contextualSpacing/>
              <w:jc w:val="center"/>
              <w:rPr>
                <w:rFonts w:ascii="Arial Narrow" w:hAnsi="Arial Narrow" w:cs="Arial"/>
                <w:sz w:val="20"/>
              </w:rPr>
            </w:pPr>
          </w:p>
        </w:tc>
        <w:tc>
          <w:tcPr>
            <w:tcW w:w="21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76" w:type="pct"/>
            <w:vAlign w:val="center"/>
          </w:tcPr>
          <w:p w:rsidR="00D14FD6" w:rsidRPr="00D620C9" w:rsidRDefault="00D14FD6" w:rsidP="00D14FD6">
            <w:pPr>
              <w:spacing w:before="0" w:after="0"/>
              <w:contextualSpacing/>
              <w:jc w:val="center"/>
              <w:rPr>
                <w:rFonts w:ascii="Arial Narrow" w:hAnsi="Arial Narrow" w:cs="Arial"/>
                <w:sz w:val="20"/>
              </w:rPr>
            </w:pPr>
          </w:p>
        </w:tc>
        <w:tc>
          <w:tcPr>
            <w:tcW w:w="2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2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55" w:type="pct"/>
            <w:vAlign w:val="center"/>
          </w:tcPr>
          <w:p w:rsidR="00D14FD6" w:rsidRPr="00D620C9" w:rsidRDefault="00D14FD6" w:rsidP="00D14FD6">
            <w:pPr>
              <w:spacing w:before="0" w:after="0"/>
              <w:contextualSpacing/>
              <w:jc w:val="center"/>
              <w:rPr>
                <w:rFonts w:ascii="Arial Narrow" w:hAnsi="Arial Narrow" w:cs="Arial"/>
                <w:sz w:val="20"/>
                <w:lang w:eastAsia="ja-JP"/>
              </w:rPr>
            </w:pPr>
            <w:r>
              <w:rPr>
                <w:rFonts w:ascii="Arial Narrow" w:hAnsi="Arial Narrow" w:cs="Arial"/>
                <w:sz w:val="20"/>
                <w:lang w:eastAsia="ja-JP"/>
              </w:rPr>
              <w:t>x</w:t>
            </w:r>
          </w:p>
        </w:tc>
      </w:tr>
      <w:tr w:rsidR="00D14FD6" w:rsidRPr="00D620C9" w:rsidTr="00D14FD6">
        <w:tc>
          <w:tcPr>
            <w:tcW w:w="497" w:type="pct"/>
            <w:vMerge/>
            <w:shd w:val="clear" w:color="auto" w:fill="DBE5F1" w:themeFill="accent1" w:themeFillTint="33"/>
            <w:vAlign w:val="center"/>
          </w:tcPr>
          <w:p w:rsidR="00D14FD6" w:rsidRPr="00D620C9" w:rsidRDefault="00D14FD6" w:rsidP="000954E5">
            <w:pPr>
              <w:spacing w:before="0" w:after="0"/>
              <w:jc w:val="left"/>
              <w:rPr>
                <w:rFonts w:ascii="Arial Narrow" w:hAnsi="Arial Narrow" w:cs="Arial"/>
                <w:sz w:val="20"/>
              </w:rPr>
            </w:pPr>
          </w:p>
        </w:tc>
        <w:tc>
          <w:tcPr>
            <w:tcW w:w="738" w:type="pct"/>
            <w:shd w:val="clear" w:color="auto" w:fill="DBE5F1" w:themeFill="accent1" w:themeFillTint="33"/>
            <w:vAlign w:val="center"/>
          </w:tcPr>
          <w:p w:rsidR="00D14FD6" w:rsidRPr="00D620C9" w:rsidRDefault="00D14FD6" w:rsidP="000954E5">
            <w:pPr>
              <w:spacing w:before="0" w:after="0"/>
              <w:jc w:val="left"/>
              <w:rPr>
                <w:rFonts w:ascii="Arial Narrow" w:hAnsi="Arial Narrow" w:cs="Arial"/>
                <w:sz w:val="20"/>
              </w:rPr>
            </w:pPr>
            <w:r w:rsidRPr="00D620C9">
              <w:rPr>
                <w:rFonts w:ascii="Arial Narrow" w:hAnsi="Arial Narrow" w:cs="Arial"/>
                <w:b/>
                <w:sz w:val="20"/>
              </w:rPr>
              <w:t>JC2.</w:t>
            </w:r>
            <w:r w:rsidRPr="00D620C9">
              <w:rPr>
                <w:rFonts w:ascii="Arial Narrow" w:hAnsi="Arial Narrow" w:cs="Arial"/>
                <w:sz w:val="20"/>
              </w:rPr>
              <w:t xml:space="preserve"> Cooperation interventions respond to needs and demands of the Palestinian people</w:t>
            </w:r>
          </w:p>
        </w:tc>
        <w:tc>
          <w:tcPr>
            <w:tcW w:w="646" w:type="pct"/>
            <w:shd w:val="clear" w:color="auto" w:fill="DBE5F1" w:themeFill="accent1" w:themeFillTint="33"/>
            <w:vAlign w:val="center"/>
          </w:tcPr>
          <w:p w:rsidR="00D14FD6" w:rsidRPr="00D620C9" w:rsidRDefault="00D14FD6" w:rsidP="00B54C8F">
            <w:pPr>
              <w:pStyle w:val="Paragrafoelenco"/>
              <w:numPr>
                <w:ilvl w:val="0"/>
                <w:numId w:val="92"/>
              </w:numPr>
              <w:spacing w:before="0" w:after="0"/>
              <w:jc w:val="left"/>
              <w:rPr>
                <w:rFonts w:ascii="Arial Narrow" w:hAnsi="Arial Narrow" w:cs="Arial"/>
                <w:sz w:val="20"/>
              </w:rPr>
            </w:pPr>
            <w:r w:rsidRPr="00D620C9">
              <w:rPr>
                <w:rFonts w:ascii="Arial Narrow" w:hAnsi="Arial Narrow" w:cs="Arial"/>
                <w:sz w:val="20"/>
              </w:rPr>
              <w:t>Budget allocated</w:t>
            </w:r>
            <w:r w:rsidRPr="00D620C9">
              <w:rPr>
                <w:rFonts w:ascii="Arial Narrow" w:hAnsi="Arial Narrow" w:cs="Arial"/>
                <w:iCs/>
                <w:noProof/>
                <w:sz w:val="20"/>
              </w:rPr>
              <w:t xml:space="preserve"> to develop access to safe drinking water and increase the wastewater treatment</w:t>
            </w:r>
            <w:r w:rsidRPr="00D620C9">
              <w:rPr>
                <w:rFonts w:ascii="Arial Narrow" w:hAnsi="Arial Narrow" w:cs="Arial"/>
                <w:sz w:val="20"/>
              </w:rPr>
              <w:t xml:space="preserve">; </w:t>
            </w:r>
          </w:p>
          <w:p w:rsidR="00D14FD6" w:rsidRPr="00D620C9" w:rsidRDefault="00D14FD6" w:rsidP="00B54C8F">
            <w:pPr>
              <w:pStyle w:val="Paragrafoelenco"/>
              <w:numPr>
                <w:ilvl w:val="0"/>
                <w:numId w:val="92"/>
              </w:numPr>
              <w:spacing w:before="0" w:after="0"/>
              <w:jc w:val="left"/>
              <w:rPr>
                <w:rFonts w:ascii="Arial Narrow" w:hAnsi="Arial Narrow" w:cs="Arial"/>
                <w:sz w:val="20"/>
              </w:rPr>
            </w:pPr>
            <w:r w:rsidRPr="00D620C9">
              <w:rPr>
                <w:rFonts w:ascii="Arial Narrow" w:hAnsi="Arial Narrow" w:cs="Arial"/>
                <w:sz w:val="20"/>
              </w:rPr>
              <w:t>Beneficiaries confirms through interviews perception of relevance of EC cooperation to their needs (qualitative analysis);</w:t>
            </w:r>
          </w:p>
          <w:p w:rsidR="00D14FD6" w:rsidRPr="00D620C9" w:rsidRDefault="00D14FD6" w:rsidP="000954E5">
            <w:pPr>
              <w:pStyle w:val="Paragrafoelenco"/>
              <w:spacing w:before="0" w:after="0"/>
              <w:ind w:left="170"/>
              <w:jc w:val="left"/>
              <w:rPr>
                <w:rFonts w:ascii="Arial Narrow" w:hAnsi="Arial Narrow" w:cs="Arial"/>
                <w:sz w:val="20"/>
              </w:rPr>
            </w:pPr>
          </w:p>
        </w:tc>
        <w:tc>
          <w:tcPr>
            <w:tcW w:w="415" w:type="pct"/>
            <w:vAlign w:val="center"/>
          </w:tcPr>
          <w:p w:rsidR="00D14FD6" w:rsidRPr="00D620C9" w:rsidRDefault="00D14FD6" w:rsidP="00D14FD6">
            <w:pPr>
              <w:pStyle w:val="Paragrafoelenco"/>
              <w:spacing w:before="0" w:after="0"/>
              <w:ind w:left="170"/>
              <w:jc w:val="center"/>
              <w:rPr>
                <w:rFonts w:ascii="Arial Narrow" w:hAnsi="Arial Narrow" w:cs="Arial"/>
                <w:sz w:val="20"/>
              </w:rPr>
            </w:pPr>
            <w:r>
              <w:rPr>
                <w:rFonts w:ascii="Arial Narrow" w:hAnsi="Arial Narrow" w:cs="Arial"/>
                <w:sz w:val="20"/>
              </w:rPr>
              <w:t>x</w:t>
            </w:r>
          </w:p>
        </w:tc>
        <w:tc>
          <w:tcPr>
            <w:tcW w:w="332" w:type="pct"/>
            <w:vAlign w:val="center"/>
          </w:tcPr>
          <w:p w:rsidR="00D14FD6" w:rsidRPr="00D620C9" w:rsidRDefault="00D14FD6" w:rsidP="00D14FD6">
            <w:pPr>
              <w:spacing w:before="0" w:after="0"/>
              <w:contextualSpacing/>
              <w:jc w:val="center"/>
              <w:rPr>
                <w:rFonts w:ascii="Arial Narrow" w:hAnsi="Arial Narrow" w:cs="Arial"/>
                <w:sz w:val="20"/>
              </w:rPr>
            </w:pPr>
          </w:p>
        </w:tc>
        <w:tc>
          <w:tcPr>
            <w:tcW w:w="391" w:type="pct"/>
            <w:vAlign w:val="center"/>
          </w:tcPr>
          <w:p w:rsidR="00D14FD6" w:rsidRPr="00D620C9" w:rsidRDefault="00D14FD6" w:rsidP="00D14FD6">
            <w:pPr>
              <w:spacing w:before="0" w:after="0"/>
              <w:contextualSpacing/>
              <w:jc w:val="center"/>
              <w:rPr>
                <w:rFonts w:ascii="Arial Narrow" w:hAnsi="Arial Narrow" w:cs="Arial"/>
                <w:sz w:val="20"/>
              </w:rPr>
            </w:pPr>
          </w:p>
        </w:tc>
        <w:tc>
          <w:tcPr>
            <w:tcW w:w="293"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147"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44" w:type="pct"/>
            <w:vAlign w:val="center"/>
          </w:tcPr>
          <w:p w:rsidR="00D14FD6" w:rsidRPr="00D620C9" w:rsidRDefault="00D14FD6" w:rsidP="00D14FD6">
            <w:pPr>
              <w:spacing w:before="0" w:after="0"/>
              <w:contextualSpacing/>
              <w:jc w:val="center"/>
              <w:rPr>
                <w:rFonts w:ascii="Arial Narrow" w:hAnsi="Arial Narrow" w:cs="Arial"/>
                <w:sz w:val="20"/>
              </w:rPr>
            </w:pPr>
          </w:p>
        </w:tc>
        <w:tc>
          <w:tcPr>
            <w:tcW w:w="21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76" w:type="pct"/>
            <w:vAlign w:val="center"/>
          </w:tcPr>
          <w:p w:rsidR="00D14FD6" w:rsidRPr="00D620C9" w:rsidRDefault="00D14FD6" w:rsidP="00D14FD6">
            <w:pPr>
              <w:spacing w:before="0" w:after="0"/>
              <w:contextualSpacing/>
              <w:jc w:val="center"/>
              <w:rPr>
                <w:rFonts w:ascii="Arial Narrow" w:hAnsi="Arial Narrow" w:cs="Arial"/>
                <w:sz w:val="20"/>
              </w:rPr>
            </w:pPr>
          </w:p>
        </w:tc>
        <w:tc>
          <w:tcPr>
            <w:tcW w:w="2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2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55" w:type="pct"/>
            <w:vAlign w:val="center"/>
          </w:tcPr>
          <w:p w:rsidR="00D14FD6" w:rsidRPr="00D620C9" w:rsidRDefault="00D14FD6" w:rsidP="00D14FD6">
            <w:pPr>
              <w:spacing w:before="0" w:after="0"/>
              <w:contextualSpacing/>
              <w:jc w:val="center"/>
              <w:rPr>
                <w:rFonts w:ascii="Arial Narrow" w:hAnsi="Arial Narrow" w:cs="Arial"/>
                <w:sz w:val="20"/>
                <w:lang w:eastAsia="ja-JP"/>
              </w:rPr>
            </w:pPr>
            <w:r>
              <w:rPr>
                <w:rFonts w:ascii="Arial Narrow" w:hAnsi="Arial Narrow" w:cs="Arial"/>
                <w:sz w:val="20"/>
                <w:lang w:eastAsia="ja-JP"/>
              </w:rPr>
              <w:t>x</w:t>
            </w:r>
          </w:p>
        </w:tc>
      </w:tr>
      <w:tr w:rsidR="00D14FD6" w:rsidRPr="00D620C9" w:rsidTr="00D14FD6">
        <w:tc>
          <w:tcPr>
            <w:tcW w:w="497" w:type="pct"/>
            <w:vMerge/>
            <w:shd w:val="clear" w:color="auto" w:fill="DBE5F1" w:themeFill="accent1" w:themeFillTint="33"/>
            <w:vAlign w:val="center"/>
          </w:tcPr>
          <w:p w:rsidR="00D14FD6" w:rsidRPr="00D620C9" w:rsidRDefault="00D14FD6" w:rsidP="000954E5">
            <w:pPr>
              <w:spacing w:before="0" w:after="0"/>
              <w:jc w:val="left"/>
              <w:rPr>
                <w:rFonts w:ascii="Arial Narrow" w:hAnsi="Arial Narrow" w:cs="Arial"/>
                <w:sz w:val="20"/>
              </w:rPr>
            </w:pPr>
          </w:p>
        </w:tc>
        <w:tc>
          <w:tcPr>
            <w:tcW w:w="738" w:type="pct"/>
            <w:shd w:val="clear" w:color="auto" w:fill="DBE5F1" w:themeFill="accent1" w:themeFillTint="33"/>
            <w:vAlign w:val="center"/>
          </w:tcPr>
          <w:p w:rsidR="00D14FD6" w:rsidRPr="00D620C9" w:rsidRDefault="00D14FD6" w:rsidP="000954E5">
            <w:pPr>
              <w:spacing w:before="0" w:after="0"/>
              <w:jc w:val="left"/>
              <w:rPr>
                <w:rFonts w:ascii="Arial Narrow" w:hAnsi="Arial Narrow" w:cs="Arial"/>
                <w:sz w:val="20"/>
              </w:rPr>
            </w:pPr>
            <w:r w:rsidRPr="00D620C9">
              <w:rPr>
                <w:rFonts w:ascii="Arial Narrow" w:hAnsi="Arial Narrow" w:cs="Arial"/>
                <w:b/>
                <w:sz w:val="20"/>
              </w:rPr>
              <w:t>JC3.</w:t>
            </w:r>
            <w:r w:rsidRPr="00D620C9">
              <w:rPr>
                <w:rFonts w:ascii="Arial Narrow" w:hAnsi="Arial Narrow" w:cs="Arial"/>
                <w:sz w:val="20"/>
              </w:rPr>
              <w:t xml:space="preserve"> Cooperation efforts contribute to institutional capacity-building and </w:t>
            </w:r>
            <w:r w:rsidRPr="00D620C9">
              <w:rPr>
                <w:rFonts w:ascii="Arial Narrow" w:hAnsi="Arial Narrow" w:cs="Arial"/>
                <w:sz w:val="20"/>
              </w:rPr>
              <w:lastRenderedPageBreak/>
              <w:t>good governance</w:t>
            </w:r>
          </w:p>
        </w:tc>
        <w:tc>
          <w:tcPr>
            <w:tcW w:w="646" w:type="pct"/>
            <w:shd w:val="clear" w:color="auto" w:fill="DBE5F1" w:themeFill="accent1" w:themeFillTint="33"/>
            <w:vAlign w:val="center"/>
          </w:tcPr>
          <w:p w:rsidR="00D14FD6" w:rsidRPr="00D620C9" w:rsidRDefault="00D14FD6" w:rsidP="00B54C8F">
            <w:pPr>
              <w:pStyle w:val="Paragrafoelenco"/>
              <w:keepNext/>
              <w:keepLines/>
              <w:numPr>
                <w:ilvl w:val="0"/>
                <w:numId w:val="93"/>
              </w:numPr>
              <w:spacing w:before="0" w:after="0"/>
              <w:jc w:val="left"/>
              <w:rPr>
                <w:rFonts w:ascii="Arial Narrow" w:hAnsi="Arial Narrow" w:cs="Arial"/>
                <w:sz w:val="20"/>
              </w:rPr>
            </w:pPr>
            <w:r w:rsidRPr="00D620C9">
              <w:rPr>
                <w:rFonts w:ascii="Arial Narrow" w:hAnsi="Arial Narrow" w:cs="Arial"/>
                <w:bCs/>
                <w:sz w:val="20"/>
              </w:rPr>
              <w:lastRenderedPageBreak/>
              <w:t>Enhancement of sector Authorities (</w:t>
            </w:r>
            <w:r w:rsidRPr="00D620C9">
              <w:rPr>
                <w:rFonts w:ascii="Arial Narrow" w:hAnsi="Arial Narrow" w:cs="Arial"/>
                <w:sz w:val="20"/>
              </w:rPr>
              <w:t xml:space="preserve">PWA) capacity to </w:t>
            </w:r>
            <w:r w:rsidRPr="00D620C9">
              <w:rPr>
                <w:rFonts w:ascii="Arial Narrow" w:hAnsi="Arial Narrow" w:cs="Arial"/>
                <w:sz w:val="20"/>
              </w:rPr>
              <w:lastRenderedPageBreak/>
              <w:t>manage and mitigate the effects of water shortage and environmental issues;</w:t>
            </w:r>
          </w:p>
          <w:p w:rsidR="00D14FD6" w:rsidRPr="00D620C9" w:rsidRDefault="00D14FD6" w:rsidP="00B54C8F">
            <w:pPr>
              <w:pStyle w:val="Paragrafoelenco"/>
              <w:keepNext/>
              <w:keepLines/>
              <w:numPr>
                <w:ilvl w:val="0"/>
                <w:numId w:val="93"/>
              </w:numPr>
              <w:spacing w:before="0" w:after="0"/>
              <w:jc w:val="left"/>
              <w:rPr>
                <w:rFonts w:ascii="Arial Narrow" w:hAnsi="Arial Narrow" w:cs="Arial"/>
                <w:sz w:val="20"/>
              </w:rPr>
            </w:pPr>
            <w:r w:rsidRPr="00D620C9">
              <w:rPr>
                <w:rFonts w:ascii="Arial Narrow" w:hAnsi="Arial Narrow" w:cs="Arial"/>
                <w:sz w:val="20"/>
              </w:rPr>
              <w:t>Support and enforcement of the regulatory framework and national capacities;</w:t>
            </w:r>
          </w:p>
          <w:p w:rsidR="00D14FD6" w:rsidRPr="00D620C9" w:rsidRDefault="00D14FD6" w:rsidP="00B54C8F">
            <w:pPr>
              <w:pStyle w:val="Paragrafoelenco"/>
              <w:keepNext/>
              <w:keepLines/>
              <w:numPr>
                <w:ilvl w:val="0"/>
                <w:numId w:val="93"/>
              </w:numPr>
              <w:spacing w:before="0" w:after="0"/>
              <w:jc w:val="left"/>
              <w:rPr>
                <w:rFonts w:ascii="Arial Narrow" w:hAnsi="Arial Narrow" w:cs="Arial"/>
                <w:sz w:val="20"/>
              </w:rPr>
            </w:pPr>
            <w:r w:rsidRPr="00D620C9">
              <w:rPr>
                <w:rFonts w:ascii="Arial Narrow" w:hAnsi="Arial Narrow" w:cs="Arial"/>
                <w:sz w:val="20"/>
              </w:rPr>
              <w:t>Budget allocated to support and develop sector capacities;</w:t>
            </w:r>
          </w:p>
        </w:tc>
        <w:tc>
          <w:tcPr>
            <w:tcW w:w="415" w:type="pct"/>
            <w:vAlign w:val="center"/>
          </w:tcPr>
          <w:p w:rsidR="00D14FD6" w:rsidRPr="00D620C9" w:rsidRDefault="00D14FD6" w:rsidP="00D14FD6">
            <w:pPr>
              <w:pStyle w:val="Paragrafoelenco"/>
              <w:spacing w:before="0" w:after="0"/>
              <w:ind w:left="170"/>
              <w:jc w:val="center"/>
              <w:rPr>
                <w:rFonts w:ascii="Arial Narrow" w:hAnsi="Arial Narrow" w:cs="Arial"/>
                <w:sz w:val="20"/>
              </w:rPr>
            </w:pPr>
            <w:r>
              <w:rPr>
                <w:rFonts w:ascii="Arial Narrow" w:hAnsi="Arial Narrow" w:cs="Arial"/>
                <w:sz w:val="20"/>
              </w:rPr>
              <w:lastRenderedPageBreak/>
              <w:t>x</w:t>
            </w:r>
          </w:p>
        </w:tc>
        <w:tc>
          <w:tcPr>
            <w:tcW w:w="332" w:type="pct"/>
            <w:vAlign w:val="center"/>
          </w:tcPr>
          <w:p w:rsidR="00D14FD6" w:rsidRPr="00D620C9" w:rsidRDefault="00D14FD6" w:rsidP="00D14FD6">
            <w:pPr>
              <w:spacing w:before="0" w:after="0"/>
              <w:contextualSpacing/>
              <w:jc w:val="center"/>
              <w:rPr>
                <w:rFonts w:ascii="Arial Narrow" w:hAnsi="Arial Narrow" w:cs="Arial"/>
                <w:sz w:val="20"/>
              </w:rPr>
            </w:pPr>
          </w:p>
        </w:tc>
        <w:tc>
          <w:tcPr>
            <w:tcW w:w="391" w:type="pct"/>
            <w:vAlign w:val="center"/>
          </w:tcPr>
          <w:p w:rsidR="00D14FD6" w:rsidRPr="00D620C9" w:rsidRDefault="00D14FD6" w:rsidP="00D14FD6">
            <w:pPr>
              <w:spacing w:before="0" w:after="0"/>
              <w:contextualSpacing/>
              <w:jc w:val="center"/>
              <w:rPr>
                <w:rFonts w:ascii="Arial Narrow" w:hAnsi="Arial Narrow" w:cs="Arial"/>
                <w:sz w:val="20"/>
              </w:rPr>
            </w:pPr>
          </w:p>
        </w:tc>
        <w:tc>
          <w:tcPr>
            <w:tcW w:w="293"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147"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44" w:type="pct"/>
            <w:vAlign w:val="center"/>
          </w:tcPr>
          <w:p w:rsidR="00D14FD6" w:rsidRPr="00D620C9" w:rsidRDefault="00D14FD6" w:rsidP="00D14FD6">
            <w:pPr>
              <w:spacing w:before="0" w:after="0"/>
              <w:contextualSpacing/>
              <w:jc w:val="center"/>
              <w:rPr>
                <w:rFonts w:ascii="Arial Narrow" w:hAnsi="Arial Narrow" w:cs="Arial"/>
                <w:sz w:val="20"/>
              </w:rPr>
            </w:pPr>
          </w:p>
        </w:tc>
        <w:tc>
          <w:tcPr>
            <w:tcW w:w="21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76" w:type="pct"/>
            <w:vAlign w:val="center"/>
          </w:tcPr>
          <w:p w:rsidR="00D14FD6" w:rsidRPr="00D620C9" w:rsidRDefault="00D14FD6" w:rsidP="00D14FD6">
            <w:pPr>
              <w:spacing w:before="0" w:after="0"/>
              <w:contextualSpacing/>
              <w:jc w:val="center"/>
              <w:rPr>
                <w:rFonts w:ascii="Arial Narrow" w:hAnsi="Arial Narrow" w:cs="Arial"/>
                <w:sz w:val="20"/>
              </w:rPr>
            </w:pPr>
          </w:p>
        </w:tc>
        <w:tc>
          <w:tcPr>
            <w:tcW w:w="2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2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55" w:type="pct"/>
            <w:vAlign w:val="center"/>
          </w:tcPr>
          <w:p w:rsidR="00D14FD6" w:rsidRPr="00D620C9" w:rsidRDefault="00D14FD6" w:rsidP="00D14FD6">
            <w:pPr>
              <w:spacing w:before="0" w:after="0"/>
              <w:contextualSpacing/>
              <w:jc w:val="center"/>
              <w:rPr>
                <w:rFonts w:ascii="Arial Narrow" w:hAnsi="Arial Narrow" w:cs="Arial"/>
                <w:sz w:val="20"/>
                <w:lang w:eastAsia="ja-JP"/>
              </w:rPr>
            </w:pPr>
            <w:r>
              <w:rPr>
                <w:rFonts w:ascii="Arial Narrow" w:hAnsi="Arial Narrow" w:cs="Arial"/>
                <w:sz w:val="20"/>
                <w:lang w:eastAsia="ja-JP"/>
              </w:rPr>
              <w:t>x</w:t>
            </w:r>
          </w:p>
        </w:tc>
      </w:tr>
      <w:tr w:rsidR="00D14FD6" w:rsidRPr="00D620C9" w:rsidTr="00D14FD6">
        <w:tc>
          <w:tcPr>
            <w:tcW w:w="497" w:type="pct"/>
            <w:vMerge/>
            <w:shd w:val="clear" w:color="auto" w:fill="DBE5F1" w:themeFill="accent1" w:themeFillTint="33"/>
            <w:vAlign w:val="center"/>
          </w:tcPr>
          <w:p w:rsidR="00D14FD6" w:rsidRPr="00D620C9" w:rsidRDefault="00D14FD6" w:rsidP="000954E5">
            <w:pPr>
              <w:spacing w:before="0" w:after="0"/>
              <w:jc w:val="left"/>
              <w:rPr>
                <w:rFonts w:ascii="Arial Narrow" w:hAnsi="Arial Narrow" w:cs="Arial"/>
                <w:sz w:val="20"/>
              </w:rPr>
            </w:pPr>
          </w:p>
        </w:tc>
        <w:tc>
          <w:tcPr>
            <w:tcW w:w="738" w:type="pct"/>
            <w:shd w:val="clear" w:color="auto" w:fill="DBE5F1" w:themeFill="accent1" w:themeFillTint="33"/>
            <w:vAlign w:val="center"/>
          </w:tcPr>
          <w:p w:rsidR="00D14FD6" w:rsidRPr="00D620C9" w:rsidRDefault="00D14FD6" w:rsidP="000954E5">
            <w:pPr>
              <w:spacing w:before="0" w:after="0"/>
              <w:jc w:val="left"/>
              <w:rPr>
                <w:rFonts w:ascii="Arial Narrow" w:hAnsi="Arial Narrow" w:cs="Arial"/>
                <w:sz w:val="20"/>
              </w:rPr>
            </w:pPr>
            <w:r w:rsidRPr="00D620C9">
              <w:rPr>
                <w:rFonts w:ascii="Arial Narrow" w:hAnsi="Arial Narrow" w:cs="Arial"/>
                <w:b/>
                <w:sz w:val="20"/>
              </w:rPr>
              <w:t>JC4.</w:t>
            </w:r>
            <w:r w:rsidRPr="00D620C9">
              <w:rPr>
                <w:rFonts w:ascii="Arial Narrow" w:hAnsi="Arial Narrow" w:cs="Arial"/>
                <w:sz w:val="20"/>
              </w:rPr>
              <w:t xml:space="preserve"> Support to water and sanitation contributes to improved socio-economic conditions and sustainable use of water resources, supporting the goal of an economically viable and sustainable Palestinian State</w:t>
            </w:r>
          </w:p>
        </w:tc>
        <w:tc>
          <w:tcPr>
            <w:tcW w:w="646" w:type="pct"/>
            <w:shd w:val="clear" w:color="auto" w:fill="DBE5F1" w:themeFill="accent1" w:themeFillTint="33"/>
            <w:vAlign w:val="center"/>
          </w:tcPr>
          <w:p w:rsidR="00D14FD6" w:rsidRPr="00D620C9" w:rsidRDefault="00D14FD6" w:rsidP="00B54C8F">
            <w:pPr>
              <w:pStyle w:val="Paragrafoelenco"/>
              <w:numPr>
                <w:ilvl w:val="0"/>
                <w:numId w:val="94"/>
              </w:numPr>
              <w:spacing w:before="0" w:after="0"/>
              <w:jc w:val="left"/>
              <w:rPr>
                <w:rFonts w:ascii="Arial Narrow" w:hAnsi="Arial Narrow" w:cs="Arial"/>
                <w:sz w:val="20"/>
              </w:rPr>
            </w:pPr>
            <w:r w:rsidRPr="00D620C9">
              <w:rPr>
                <w:rFonts w:ascii="Arial Narrow" w:hAnsi="Arial Narrow" w:cs="Arial"/>
                <w:bCs/>
                <w:sz w:val="20"/>
              </w:rPr>
              <w:t xml:space="preserve">Number and quality of regional coordination </w:t>
            </w:r>
            <w:proofErr w:type="spellStart"/>
            <w:r w:rsidRPr="00D620C9">
              <w:rPr>
                <w:rFonts w:ascii="Arial Narrow" w:hAnsi="Arial Narrow" w:cs="Arial"/>
                <w:bCs/>
                <w:sz w:val="20"/>
              </w:rPr>
              <w:t>programmes</w:t>
            </w:r>
            <w:proofErr w:type="spellEnd"/>
            <w:r w:rsidRPr="00D620C9">
              <w:rPr>
                <w:rFonts w:ascii="Arial Narrow" w:hAnsi="Arial Narrow" w:cs="Arial"/>
                <w:bCs/>
                <w:sz w:val="20"/>
              </w:rPr>
              <w:t xml:space="preserve"> on water;</w:t>
            </w:r>
          </w:p>
          <w:p w:rsidR="00D14FD6" w:rsidRPr="00D620C9" w:rsidRDefault="00D14FD6" w:rsidP="00B54C8F">
            <w:pPr>
              <w:pStyle w:val="Paragrafoelenco"/>
              <w:numPr>
                <w:ilvl w:val="0"/>
                <w:numId w:val="94"/>
              </w:numPr>
              <w:spacing w:before="0" w:after="0"/>
              <w:jc w:val="left"/>
              <w:rPr>
                <w:rFonts w:ascii="Arial Narrow" w:hAnsi="Arial Narrow" w:cs="Arial"/>
                <w:sz w:val="20"/>
              </w:rPr>
            </w:pPr>
            <w:r w:rsidRPr="00D620C9">
              <w:rPr>
                <w:rFonts w:ascii="Arial Narrow" w:hAnsi="Arial Narrow" w:cs="Arial"/>
                <w:bCs/>
                <w:sz w:val="20"/>
              </w:rPr>
              <w:t>Support to political dialogue on W&amp;S issues,</w:t>
            </w:r>
            <w:r w:rsidRPr="00D620C9">
              <w:rPr>
                <w:rFonts w:ascii="Arial Narrow" w:hAnsi="Arial Narrow" w:cs="Arial"/>
                <w:sz w:val="20"/>
              </w:rPr>
              <w:t xml:space="preserve"> thematic working groups or regular exchange of information at regional and national level;</w:t>
            </w:r>
          </w:p>
          <w:p w:rsidR="00D14FD6" w:rsidRPr="00D620C9" w:rsidRDefault="00D14FD6" w:rsidP="00B54C8F">
            <w:pPr>
              <w:pStyle w:val="Paragrafoelenco"/>
              <w:numPr>
                <w:ilvl w:val="0"/>
                <w:numId w:val="94"/>
              </w:numPr>
              <w:spacing w:before="0" w:after="0"/>
              <w:jc w:val="left"/>
              <w:rPr>
                <w:rFonts w:ascii="Arial Narrow" w:hAnsi="Arial Narrow" w:cs="Arial"/>
                <w:sz w:val="20"/>
              </w:rPr>
            </w:pPr>
            <w:r w:rsidRPr="00D620C9">
              <w:rPr>
                <w:rFonts w:ascii="Arial Narrow" w:hAnsi="Arial Narrow" w:cs="Arial"/>
                <w:bCs/>
                <w:sz w:val="20"/>
              </w:rPr>
              <w:t>Resources involved in developing complementarities and synergies</w:t>
            </w:r>
          </w:p>
        </w:tc>
        <w:tc>
          <w:tcPr>
            <w:tcW w:w="415" w:type="pct"/>
            <w:vAlign w:val="center"/>
          </w:tcPr>
          <w:p w:rsidR="00D14FD6" w:rsidRPr="00D620C9" w:rsidRDefault="00D14FD6" w:rsidP="00D14FD6">
            <w:pPr>
              <w:pStyle w:val="Paragrafoelenco"/>
              <w:spacing w:before="0" w:after="0"/>
              <w:ind w:left="170"/>
              <w:jc w:val="center"/>
              <w:rPr>
                <w:rFonts w:ascii="Arial Narrow" w:hAnsi="Arial Narrow" w:cs="Arial"/>
                <w:sz w:val="20"/>
              </w:rPr>
            </w:pPr>
            <w:r>
              <w:rPr>
                <w:rFonts w:ascii="Arial Narrow" w:hAnsi="Arial Narrow" w:cs="Arial"/>
                <w:sz w:val="20"/>
              </w:rPr>
              <w:t>x</w:t>
            </w:r>
          </w:p>
        </w:tc>
        <w:tc>
          <w:tcPr>
            <w:tcW w:w="332" w:type="pct"/>
            <w:vAlign w:val="center"/>
          </w:tcPr>
          <w:p w:rsidR="00D14FD6" w:rsidRPr="00D620C9" w:rsidRDefault="00D14FD6" w:rsidP="00D14FD6">
            <w:pPr>
              <w:spacing w:before="0" w:after="0"/>
              <w:contextualSpacing/>
              <w:jc w:val="center"/>
              <w:rPr>
                <w:rFonts w:ascii="Arial Narrow" w:hAnsi="Arial Narrow" w:cs="Arial"/>
                <w:sz w:val="20"/>
              </w:rPr>
            </w:pPr>
          </w:p>
        </w:tc>
        <w:tc>
          <w:tcPr>
            <w:tcW w:w="391" w:type="pct"/>
            <w:vAlign w:val="center"/>
          </w:tcPr>
          <w:p w:rsidR="00D14FD6" w:rsidRPr="00D620C9" w:rsidRDefault="00D14FD6" w:rsidP="00D14FD6">
            <w:pPr>
              <w:spacing w:before="0" w:after="0"/>
              <w:contextualSpacing/>
              <w:jc w:val="center"/>
              <w:rPr>
                <w:rFonts w:ascii="Arial Narrow" w:hAnsi="Arial Narrow" w:cs="Arial"/>
                <w:sz w:val="20"/>
              </w:rPr>
            </w:pPr>
          </w:p>
        </w:tc>
        <w:tc>
          <w:tcPr>
            <w:tcW w:w="293"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147"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44" w:type="pct"/>
            <w:vAlign w:val="center"/>
          </w:tcPr>
          <w:p w:rsidR="00D14FD6" w:rsidRPr="00D620C9" w:rsidRDefault="00D14FD6" w:rsidP="00D14FD6">
            <w:pPr>
              <w:spacing w:before="0" w:after="0"/>
              <w:contextualSpacing/>
              <w:jc w:val="center"/>
              <w:rPr>
                <w:rFonts w:ascii="Arial Narrow" w:hAnsi="Arial Narrow" w:cs="Arial"/>
                <w:sz w:val="20"/>
              </w:rPr>
            </w:pPr>
          </w:p>
        </w:tc>
        <w:tc>
          <w:tcPr>
            <w:tcW w:w="21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76" w:type="pct"/>
            <w:vAlign w:val="center"/>
          </w:tcPr>
          <w:p w:rsidR="00D14FD6" w:rsidRPr="00D620C9" w:rsidRDefault="00D14FD6" w:rsidP="00D14FD6">
            <w:pPr>
              <w:spacing w:before="0" w:after="0"/>
              <w:contextualSpacing/>
              <w:jc w:val="center"/>
              <w:rPr>
                <w:rFonts w:ascii="Arial Narrow" w:hAnsi="Arial Narrow" w:cs="Arial"/>
                <w:sz w:val="20"/>
              </w:rPr>
            </w:pPr>
          </w:p>
        </w:tc>
        <w:tc>
          <w:tcPr>
            <w:tcW w:w="23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322" w:type="pct"/>
            <w:vAlign w:val="center"/>
          </w:tcPr>
          <w:p w:rsidR="00D14FD6" w:rsidRPr="00D620C9" w:rsidRDefault="00D14FD6" w:rsidP="00D14FD6">
            <w:pPr>
              <w:spacing w:before="0" w:after="0"/>
              <w:contextualSpacing/>
              <w:jc w:val="center"/>
              <w:rPr>
                <w:rFonts w:ascii="Arial Narrow" w:hAnsi="Arial Narrow" w:cs="Arial"/>
                <w:sz w:val="20"/>
              </w:rPr>
            </w:pPr>
            <w:r>
              <w:rPr>
                <w:rFonts w:ascii="Arial Narrow" w:hAnsi="Arial Narrow" w:cs="Arial"/>
                <w:sz w:val="20"/>
              </w:rPr>
              <w:t>x</w:t>
            </w:r>
          </w:p>
        </w:tc>
        <w:tc>
          <w:tcPr>
            <w:tcW w:w="255" w:type="pct"/>
            <w:vAlign w:val="center"/>
          </w:tcPr>
          <w:p w:rsidR="00D14FD6" w:rsidRPr="00D620C9" w:rsidRDefault="00D14FD6" w:rsidP="00D14FD6">
            <w:pPr>
              <w:spacing w:before="0" w:after="0"/>
              <w:contextualSpacing/>
              <w:jc w:val="center"/>
              <w:rPr>
                <w:rFonts w:ascii="Arial Narrow" w:hAnsi="Arial Narrow" w:cs="Arial"/>
                <w:sz w:val="20"/>
                <w:lang w:eastAsia="ja-JP"/>
              </w:rPr>
            </w:pPr>
            <w:r>
              <w:rPr>
                <w:rFonts w:ascii="Arial Narrow" w:hAnsi="Arial Narrow" w:cs="Arial"/>
                <w:sz w:val="20"/>
                <w:lang w:eastAsia="ja-JP"/>
              </w:rPr>
              <w:t>x</w:t>
            </w:r>
          </w:p>
        </w:tc>
      </w:tr>
    </w:tbl>
    <w:p w:rsidR="002342FA" w:rsidRPr="00F60372" w:rsidRDefault="002342FA" w:rsidP="00364492">
      <w:pPr>
        <w:spacing w:before="0" w:after="0"/>
        <w:jc w:val="center"/>
        <w:rPr>
          <w:b/>
        </w:rPr>
      </w:pPr>
    </w:p>
    <w:p w:rsidR="002342FA" w:rsidRDefault="002342FA" w:rsidP="002342FA">
      <w:pPr>
        <w:spacing w:before="0" w:after="0"/>
        <w:rPr>
          <w:rFonts w:asciiTheme="minorHAnsi" w:hAnsiTheme="minorHAnsi"/>
          <w:b/>
          <w:smallCaps/>
          <w:sz w:val="20"/>
          <w:szCs w:val="18"/>
          <w:lang w:val="en-GB"/>
        </w:rPr>
      </w:pPr>
    </w:p>
    <w:p w:rsidR="002342FA" w:rsidRDefault="002342FA" w:rsidP="002342FA">
      <w:pPr>
        <w:spacing w:before="0" w:after="0"/>
        <w:rPr>
          <w:rFonts w:asciiTheme="minorHAnsi" w:hAnsiTheme="minorHAnsi"/>
          <w:b/>
          <w:smallCaps/>
          <w:sz w:val="20"/>
          <w:szCs w:val="18"/>
          <w:lang w:val="en-GB"/>
        </w:rPr>
      </w:pPr>
    </w:p>
    <w:p w:rsidR="002342FA" w:rsidRDefault="002342FA" w:rsidP="002342FA">
      <w:pPr>
        <w:spacing w:before="0" w:after="0"/>
        <w:rPr>
          <w:rFonts w:asciiTheme="minorHAnsi" w:hAnsiTheme="minorHAnsi"/>
          <w:b/>
          <w:smallCaps/>
          <w:sz w:val="20"/>
          <w:szCs w:val="18"/>
          <w:lang w:val="en-GB"/>
        </w:rPr>
      </w:pPr>
    </w:p>
    <w:p w:rsidR="00A23C41" w:rsidRDefault="00A23C41" w:rsidP="002342FA">
      <w:pPr>
        <w:spacing w:before="0" w:after="0"/>
        <w:rPr>
          <w:rFonts w:asciiTheme="minorHAnsi" w:hAnsiTheme="minorHAnsi"/>
          <w:b/>
          <w:smallCaps/>
          <w:sz w:val="20"/>
          <w:szCs w:val="18"/>
          <w:lang w:val="en-GB"/>
        </w:rPr>
        <w:sectPr w:rsidR="00A23C41" w:rsidSect="00F60372">
          <w:footerReference w:type="default" r:id="rId112"/>
          <w:pgSz w:w="16838" w:h="11906" w:orient="landscape"/>
          <w:pgMar w:top="1134" w:right="1417" w:bottom="1134" w:left="1134" w:header="708" w:footer="708" w:gutter="0"/>
          <w:cols w:space="708"/>
          <w:docGrid w:linePitch="360"/>
        </w:sectPr>
      </w:pPr>
    </w:p>
    <w:p w:rsidR="002342FA" w:rsidRPr="00A23C41" w:rsidRDefault="00A23C41" w:rsidP="005E7468">
      <w:pPr>
        <w:pStyle w:val="Titolo1"/>
      </w:pPr>
      <w:bookmarkStart w:id="41" w:name="_Toc382998025"/>
      <w:r w:rsidRPr="00A23C41">
        <w:lastRenderedPageBreak/>
        <w:t xml:space="preserve">ANNEX </w:t>
      </w:r>
      <w:r w:rsidR="00043271">
        <w:t>6</w:t>
      </w:r>
      <w:r w:rsidRPr="00A23C41">
        <w:t>: NATIONAL CONTEXT</w:t>
      </w:r>
      <w:bookmarkEnd w:id="41"/>
    </w:p>
    <w:p w:rsidR="00792401" w:rsidRDefault="00792401" w:rsidP="00792401">
      <w:pPr>
        <w:spacing w:before="0" w:after="0"/>
      </w:pPr>
      <w:bookmarkStart w:id="42" w:name="_Toc359508307"/>
    </w:p>
    <w:p w:rsidR="00792401" w:rsidRPr="00792401" w:rsidRDefault="00792401" w:rsidP="00792401">
      <w:pPr>
        <w:spacing w:before="0" w:after="0"/>
        <w:rPr>
          <w:rFonts w:ascii="Arial" w:hAnsi="Arial" w:cs="Arial"/>
          <w:b/>
          <w:caps/>
          <w:color w:val="1F497D" w:themeColor="text2"/>
          <w:sz w:val="22"/>
          <w:szCs w:val="22"/>
          <w:u w:val="single"/>
          <w:lang w:val="en-GB"/>
        </w:rPr>
      </w:pPr>
      <w:r w:rsidRPr="00792401">
        <w:rPr>
          <w:rFonts w:ascii="Arial" w:hAnsi="Arial" w:cs="Arial"/>
          <w:b/>
          <w:caps/>
          <w:color w:val="1F497D" w:themeColor="text2"/>
          <w:sz w:val="22"/>
          <w:szCs w:val="22"/>
          <w:u w:val="single"/>
          <w:lang w:val="en-GB"/>
        </w:rPr>
        <w:t>Political and historical overview</w:t>
      </w:r>
      <w:bookmarkEnd w:id="42"/>
    </w:p>
    <w:p w:rsidR="00792401" w:rsidRPr="00631297" w:rsidRDefault="00792401" w:rsidP="00792401">
      <w:pPr>
        <w:spacing w:before="0" w:after="0"/>
        <w:rPr>
          <w:lang w:val="en-GB"/>
        </w:rPr>
      </w:pPr>
    </w:p>
    <w:tbl>
      <w:tblPr>
        <w:tblStyle w:val="Grigliatabella"/>
        <w:tblpPr w:leftFromText="141" w:rightFromText="141" w:vertAnchor="text" w:horzAnchor="margin" w:tblpXSpec="right" w:tblpY="69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816"/>
      </w:tblGrid>
      <w:tr w:rsidR="00792401" w:rsidTr="00792401">
        <w:trPr>
          <w:trHeight w:val="3895"/>
        </w:trPr>
        <w:tc>
          <w:tcPr>
            <w:tcW w:w="3816" w:type="dxa"/>
            <w:hideMark/>
          </w:tcPr>
          <w:p w:rsidR="00792401" w:rsidRDefault="00792401" w:rsidP="00792401">
            <w:pPr>
              <w:pStyle w:val="Didascalia"/>
              <w:framePr w:hSpace="0" w:wrap="auto" w:vAnchor="margin" w:hAnchor="text" w:xAlign="left" w:yAlign="inline"/>
              <w:rPr>
                <w:bCs/>
              </w:rPr>
            </w:pPr>
            <w:bookmarkStart w:id="43" w:name="_Ref359932917"/>
            <w:bookmarkStart w:id="44" w:name="_Toc359508344"/>
            <w:r>
              <w:t>Figure</w:t>
            </w:r>
            <w:bookmarkEnd w:id="43"/>
            <w:r w:rsidR="00A375EE">
              <w:t xml:space="preserve"> 1</w:t>
            </w:r>
            <w:r>
              <w:t>: Map of Palestine</w:t>
            </w:r>
            <w:r>
              <w:rPr>
                <w:rStyle w:val="Rimandonotaapidipagina"/>
                <w:sz w:val="24"/>
              </w:rPr>
              <w:footnoteReference w:id="2"/>
            </w:r>
            <w:bookmarkEnd w:id="44"/>
          </w:p>
          <w:p w:rsidR="00792401" w:rsidRDefault="00792401" w:rsidP="00792401">
            <w:pPr>
              <w:spacing w:before="0" w:after="0"/>
              <w:rPr>
                <w:rFonts w:ascii="Times New Roman" w:hAnsi="Times New Roman"/>
                <w:sz w:val="24"/>
                <w:szCs w:val="24"/>
              </w:rPr>
            </w:pPr>
            <w:r>
              <w:rPr>
                <w:noProof/>
                <w:lang w:val="it-IT" w:eastAsia="it-IT"/>
              </w:rPr>
              <w:drawing>
                <wp:anchor distT="0" distB="0" distL="114300" distR="114300" simplePos="0" relativeHeight="251732992" behindDoc="0" locked="0" layoutInCell="1" allowOverlap="1">
                  <wp:simplePos x="0" y="0"/>
                  <wp:positionH relativeFrom="column">
                    <wp:posOffset>27305</wp:posOffset>
                  </wp:positionH>
                  <wp:positionV relativeFrom="paragraph">
                    <wp:posOffset>6350</wp:posOffset>
                  </wp:positionV>
                  <wp:extent cx="2265045" cy="2286000"/>
                  <wp:effectExtent l="0" t="0" r="1905" b="0"/>
                  <wp:wrapSquare wrapText="bothSides"/>
                  <wp:docPr id="84" name="Picture 4" descr="Palestine map 14062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7" descr="Palestine map 14062013.jpg"/>
                          <pic:cNvPicPr>
                            <a:picLocks noChangeAspect="1" noChangeArrowheads="1"/>
                          </pic:cNvPicPr>
                        </pic:nvPicPr>
                        <pic:blipFill>
                          <a:blip r:embed="rId1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65045" cy="2286000"/>
                          </a:xfrm>
                          <a:prstGeom prst="rect">
                            <a:avLst/>
                          </a:prstGeom>
                          <a:noFill/>
                        </pic:spPr>
                      </pic:pic>
                    </a:graphicData>
                  </a:graphic>
                </wp:anchor>
              </w:drawing>
            </w:r>
          </w:p>
        </w:tc>
      </w:tr>
    </w:tbl>
    <w:p w:rsidR="00792401" w:rsidRPr="00460E50" w:rsidRDefault="00792401" w:rsidP="00792401">
      <w:pPr>
        <w:spacing w:before="0" w:after="0"/>
        <w:rPr>
          <w:rFonts w:ascii="Arial" w:hAnsi="Arial" w:cs="Arial"/>
          <w:sz w:val="22"/>
          <w:szCs w:val="22"/>
          <w:lang w:val="en-GB"/>
        </w:rPr>
      </w:pPr>
      <w:r w:rsidRPr="00460E50">
        <w:rPr>
          <w:rFonts w:ascii="Arial" w:hAnsi="Arial" w:cs="Arial"/>
          <w:b/>
          <w:color w:val="1F497D" w:themeColor="text2"/>
          <w:sz w:val="22"/>
          <w:szCs w:val="22"/>
          <w:lang w:val="en-GB"/>
        </w:rPr>
        <w:t>Historical overview</w:t>
      </w:r>
      <w:r w:rsidRPr="00460E50">
        <w:rPr>
          <w:rFonts w:ascii="Arial" w:hAnsi="Arial" w:cs="Arial"/>
          <w:sz w:val="22"/>
          <w:szCs w:val="22"/>
          <w:lang w:val="en-GB"/>
        </w:rPr>
        <w:t>. In accordance with the Gaza-Jericho Agreement of 1994</w:t>
      </w:r>
      <w:r w:rsidRPr="00460E50">
        <w:rPr>
          <w:rFonts w:ascii="Arial" w:hAnsi="Arial" w:cs="Arial"/>
          <w:smallCaps/>
          <w:sz w:val="22"/>
          <w:szCs w:val="22"/>
          <w:vertAlign w:val="superscript"/>
        </w:rPr>
        <w:footnoteReference w:id="3"/>
      </w:r>
      <w:r w:rsidRPr="00460E50">
        <w:rPr>
          <w:rFonts w:ascii="Arial" w:hAnsi="Arial" w:cs="Arial"/>
          <w:sz w:val="22"/>
          <w:szCs w:val="22"/>
          <w:lang w:val="en-GB"/>
        </w:rPr>
        <w:t xml:space="preserve"> which followed the 1993 Oslo Accords between Israel and the Palestinian Liberation Organisation (PLO)the Palestinian Authority (PA) was established as an interim administrative body to prepare for final status agreement and an end of the Israeli-Palestinian conflict.. The agreements defined the PA mandate and authority in terms of internal Palestinian security and certain civil affairs. At the end of the initial five year interim period, further negotiations were to have led to Palestinian elections and final status agreements. In essence, the </w:t>
      </w:r>
      <w:proofErr w:type="spellStart"/>
      <w:r w:rsidRPr="00460E50">
        <w:rPr>
          <w:rFonts w:ascii="Arial" w:hAnsi="Arial" w:cs="Arial"/>
          <w:sz w:val="22"/>
          <w:szCs w:val="22"/>
          <w:lang w:val="en-GB"/>
        </w:rPr>
        <w:t>PA’s</w:t>
      </w:r>
      <w:proofErr w:type="spellEnd"/>
      <w:r w:rsidRPr="00460E50">
        <w:rPr>
          <w:rFonts w:ascii="Arial" w:hAnsi="Arial" w:cs="Arial"/>
          <w:sz w:val="22"/>
          <w:szCs w:val="22"/>
          <w:lang w:val="en-GB"/>
        </w:rPr>
        <w:t xml:space="preserve"> task was to guarantee Israel’s security and foster development in defined areas of the occupied Palestinian territories. In return, Israel would permit a gradual expansion of PA governance. In the event, elections were not held in 1998, settlements expanded and security diminished. Following the outbreak of the second </w:t>
      </w:r>
      <w:r w:rsidRPr="00460E50">
        <w:rPr>
          <w:rFonts w:ascii="Arial" w:hAnsi="Arial" w:cs="Arial"/>
          <w:i/>
          <w:iCs/>
          <w:sz w:val="22"/>
          <w:szCs w:val="22"/>
          <w:lang w:val="en-GB"/>
        </w:rPr>
        <w:t xml:space="preserve">Intifada </w:t>
      </w:r>
      <w:r w:rsidRPr="00460E50">
        <w:rPr>
          <w:rFonts w:ascii="Arial" w:hAnsi="Arial" w:cs="Arial"/>
          <w:sz w:val="22"/>
          <w:szCs w:val="22"/>
          <w:lang w:val="en-GB"/>
        </w:rPr>
        <w:t xml:space="preserve">in </w:t>
      </w:r>
      <w:r w:rsidRPr="00460E50">
        <w:rPr>
          <w:rFonts w:ascii="Arial" w:hAnsi="Arial" w:cs="Arial"/>
          <w:b/>
          <w:sz w:val="22"/>
          <w:szCs w:val="22"/>
          <w:lang w:val="en-GB"/>
        </w:rPr>
        <w:t>2000</w:t>
      </w:r>
      <w:r w:rsidRPr="00460E50">
        <w:rPr>
          <w:rFonts w:ascii="Arial" w:hAnsi="Arial" w:cs="Arial"/>
          <w:sz w:val="22"/>
          <w:szCs w:val="22"/>
          <w:lang w:val="en-GB"/>
        </w:rPr>
        <w:t xml:space="preserve"> and Israeli military action in 2002, joint patrols between Israeli and Palestinian Security Forces (a fundamental pillar of the Oslo framework) ended. Israel extended and reasserted its military presence in the West Bank (WB), assuming overall security control and establishing military checkpoints in Area A, see </w:t>
      </w:r>
      <w:fldSimple w:instr=" REF _Ref359932917 \h  \* MERGEFORMAT ">
        <w:r w:rsidRPr="00460E50">
          <w:rPr>
            <w:rFonts w:ascii="Arial" w:hAnsi="Arial" w:cs="Arial"/>
            <w:sz w:val="22"/>
            <w:szCs w:val="22"/>
            <w:lang w:val="en-GB"/>
          </w:rPr>
          <w:t>Figure 1</w:t>
        </w:r>
      </w:fldSimple>
      <w:r w:rsidRPr="00460E50">
        <w:rPr>
          <w:rFonts w:ascii="Arial" w:hAnsi="Arial" w:cs="Arial"/>
          <w:sz w:val="22"/>
          <w:szCs w:val="22"/>
          <w:lang w:val="en-GB"/>
        </w:rPr>
        <w:t xml:space="preserve">. </w:t>
      </w:r>
    </w:p>
    <w:p w:rsidR="00792401" w:rsidRPr="00460E50" w:rsidRDefault="00792401" w:rsidP="00792401">
      <w:pPr>
        <w:spacing w:before="0" w:after="0"/>
        <w:rPr>
          <w:rFonts w:ascii="Arial" w:hAnsi="Arial" w:cs="Arial"/>
          <w:sz w:val="22"/>
          <w:szCs w:val="22"/>
          <w:lang w:val="en-GB"/>
        </w:rPr>
      </w:pPr>
    </w:p>
    <w:p w:rsidR="00792401" w:rsidRPr="00460E50" w:rsidRDefault="00792401" w:rsidP="00792401">
      <w:pPr>
        <w:spacing w:before="0" w:after="0"/>
        <w:rPr>
          <w:rFonts w:ascii="Arial" w:hAnsi="Arial" w:cs="Arial"/>
          <w:sz w:val="22"/>
          <w:szCs w:val="22"/>
          <w:lang w:val="en-GB"/>
        </w:rPr>
      </w:pPr>
      <w:r w:rsidRPr="00460E50">
        <w:rPr>
          <w:rFonts w:ascii="Arial" w:hAnsi="Arial" w:cs="Arial"/>
          <w:sz w:val="22"/>
          <w:szCs w:val="22"/>
          <w:lang w:val="en-GB"/>
        </w:rPr>
        <w:t xml:space="preserve">In </w:t>
      </w:r>
      <w:r w:rsidRPr="00460E50">
        <w:rPr>
          <w:rFonts w:ascii="Arial" w:hAnsi="Arial" w:cs="Arial"/>
          <w:b/>
          <w:sz w:val="22"/>
          <w:szCs w:val="22"/>
          <w:lang w:val="en-GB"/>
        </w:rPr>
        <w:t>2005</w:t>
      </w:r>
      <w:r w:rsidRPr="00460E50">
        <w:rPr>
          <w:rFonts w:ascii="Arial" w:hAnsi="Arial" w:cs="Arial"/>
          <w:sz w:val="22"/>
          <w:szCs w:val="22"/>
          <w:lang w:val="en-GB"/>
        </w:rPr>
        <w:t xml:space="preserve">, Israel withdrew its military and Israeli settlers from the Gaza Strip (GS). In January </w:t>
      </w:r>
      <w:r w:rsidRPr="00460E50">
        <w:rPr>
          <w:rFonts w:ascii="Arial" w:hAnsi="Arial" w:cs="Arial"/>
          <w:b/>
          <w:sz w:val="22"/>
          <w:szCs w:val="22"/>
          <w:lang w:val="en-GB"/>
        </w:rPr>
        <w:t>2006</w:t>
      </w:r>
      <w:r w:rsidRPr="00460E50">
        <w:rPr>
          <w:rFonts w:ascii="Arial" w:hAnsi="Arial" w:cs="Arial"/>
          <w:sz w:val="22"/>
          <w:szCs w:val="22"/>
          <w:lang w:val="en-GB"/>
        </w:rPr>
        <w:t xml:space="preserve">, Palestinian elections resulted in Hamas naming Ismail </w:t>
      </w:r>
      <w:proofErr w:type="spellStart"/>
      <w:r w:rsidRPr="00460E50">
        <w:rPr>
          <w:rFonts w:ascii="Arial" w:hAnsi="Arial" w:cs="Arial"/>
          <w:sz w:val="22"/>
          <w:szCs w:val="22"/>
          <w:lang w:val="en-GB"/>
        </w:rPr>
        <w:t>Hamiyeh</w:t>
      </w:r>
      <w:proofErr w:type="spellEnd"/>
      <w:r w:rsidRPr="00460E50">
        <w:rPr>
          <w:rFonts w:ascii="Arial" w:hAnsi="Arial" w:cs="Arial"/>
          <w:sz w:val="22"/>
          <w:szCs w:val="22"/>
          <w:lang w:val="en-GB"/>
        </w:rPr>
        <w:t xml:space="preserve"> PA Prime Minister. In reaction, Israel, the United States, Canada and the EU then froze diplomatic relations and funding to the PA, conditioning resumption on Hamas agreement to three conditions: recognition of Israel, renunciation of violence; and, abiding by all existing agreements between the PLO and Israel. Pending satisfaction of these demands, Israel withheld the customs clearance revenues it collected for the PA, which was heavily reliant on this income to meet recurrent expenditures. Direct international aid to Palestine dropped significantly. In addition, Palestine’s main bankers, fearing actions under US law sanctioning Hamas as a terrorist organization, ceased operating PA accounts and began to call in their loans to the PA. The boycott of the PA aggravated the already severe economic crisis in Palestine. </w:t>
      </w:r>
    </w:p>
    <w:p w:rsidR="00792401" w:rsidRPr="00460E50" w:rsidRDefault="00792401" w:rsidP="00792401">
      <w:pPr>
        <w:pStyle w:val="Default"/>
        <w:spacing w:before="0" w:after="0"/>
        <w:rPr>
          <w:rFonts w:ascii="Arial" w:hAnsi="Arial" w:cs="Arial"/>
          <w:color w:val="auto"/>
          <w:sz w:val="22"/>
          <w:szCs w:val="22"/>
          <w:lang w:val="en-GB"/>
        </w:rPr>
      </w:pPr>
    </w:p>
    <w:p w:rsidR="00792401" w:rsidRPr="00460E50" w:rsidRDefault="00792401" w:rsidP="00792401">
      <w:pPr>
        <w:spacing w:before="0" w:after="0"/>
        <w:rPr>
          <w:rFonts w:ascii="Arial" w:hAnsi="Arial" w:cs="Arial"/>
          <w:sz w:val="22"/>
          <w:szCs w:val="22"/>
          <w:lang w:val="en-GB"/>
        </w:rPr>
      </w:pPr>
      <w:r w:rsidRPr="00460E50">
        <w:rPr>
          <w:rFonts w:ascii="Arial" w:hAnsi="Arial" w:cs="Arial"/>
          <w:sz w:val="22"/>
          <w:szCs w:val="22"/>
          <w:lang w:val="en-GB"/>
        </w:rPr>
        <w:t xml:space="preserve">A unity government was formed between Fatah and Hamas in early </w:t>
      </w:r>
      <w:r w:rsidRPr="00460E50">
        <w:rPr>
          <w:rFonts w:ascii="Arial" w:hAnsi="Arial" w:cs="Arial"/>
          <w:b/>
          <w:sz w:val="22"/>
          <w:szCs w:val="22"/>
          <w:lang w:val="en-GB"/>
        </w:rPr>
        <w:t>2007</w:t>
      </w:r>
      <w:r w:rsidRPr="00460E50">
        <w:rPr>
          <w:rFonts w:ascii="Arial" w:hAnsi="Arial" w:cs="Arial"/>
          <w:sz w:val="22"/>
          <w:szCs w:val="22"/>
          <w:lang w:val="en-GB"/>
        </w:rPr>
        <w:t xml:space="preserve">, but conflict continued in the GS and on June 14, 2007, Hamas took control of the GS, ousting Fatah. One day later PA President and Fatah Chairman Mahmoud </w:t>
      </w:r>
      <w:proofErr w:type="spellStart"/>
      <w:r w:rsidRPr="00460E50">
        <w:rPr>
          <w:rFonts w:ascii="Arial" w:hAnsi="Arial" w:cs="Arial"/>
          <w:sz w:val="22"/>
          <w:szCs w:val="22"/>
          <w:lang w:val="en-GB"/>
        </w:rPr>
        <w:t>Abbas</w:t>
      </w:r>
      <w:proofErr w:type="spellEnd"/>
      <w:r w:rsidRPr="00460E50">
        <w:rPr>
          <w:rFonts w:ascii="Arial" w:hAnsi="Arial" w:cs="Arial"/>
          <w:sz w:val="22"/>
          <w:szCs w:val="22"/>
          <w:lang w:val="en-GB"/>
        </w:rPr>
        <w:t xml:space="preserve"> named a Caretaker Government</w:t>
      </w:r>
      <w:r>
        <w:rPr>
          <w:rFonts w:ascii="Times New Roman" w:hAnsi="Times New Roman"/>
          <w:sz w:val="24"/>
          <w:szCs w:val="24"/>
          <w:lang w:val="en-GB"/>
        </w:rPr>
        <w:t xml:space="preserve"> </w:t>
      </w:r>
      <w:r w:rsidRPr="00460E50">
        <w:rPr>
          <w:rFonts w:ascii="Arial" w:hAnsi="Arial" w:cs="Arial"/>
          <w:sz w:val="22"/>
          <w:szCs w:val="22"/>
          <w:lang w:val="en-GB"/>
        </w:rPr>
        <w:t>for the PA led by Prime Minister Salam Fayyad. The international community embraced the new PA cabinet and pledged more than US$7.5 billion in aid.</w:t>
      </w:r>
      <w:r w:rsidRPr="00460E50">
        <w:rPr>
          <w:rStyle w:val="Rimandonotaapidipagina"/>
          <w:rFonts w:ascii="Arial" w:hAnsi="Arial" w:cs="Arial"/>
          <w:sz w:val="22"/>
          <w:szCs w:val="22"/>
        </w:rPr>
        <w:footnoteReference w:id="4"/>
      </w:r>
      <w:r w:rsidRPr="00460E50">
        <w:rPr>
          <w:rFonts w:ascii="Arial" w:hAnsi="Arial" w:cs="Arial"/>
          <w:sz w:val="22"/>
          <w:szCs w:val="22"/>
          <w:lang w:val="en-GB"/>
        </w:rPr>
        <w:t xml:space="preserve"> The funds were to support the PA objectives of sustaining gains and progress with institutional development aiming at statehood. By late 2011, a consensus emerged in the international community that the PA had reached its institutional goals. However, Hamas has remained in de facto control of the GS, although the PA continues to assert </w:t>
      </w:r>
      <w:r w:rsidRPr="00460E50">
        <w:rPr>
          <w:rFonts w:ascii="Arial" w:hAnsi="Arial" w:cs="Arial"/>
          <w:sz w:val="22"/>
          <w:szCs w:val="22"/>
          <w:lang w:val="en-GB"/>
        </w:rPr>
        <w:lastRenderedPageBreak/>
        <w:t xml:space="preserve">its authority and pay its employees there through the PA budget. And despite the </w:t>
      </w:r>
      <w:proofErr w:type="spellStart"/>
      <w:r w:rsidRPr="00460E50">
        <w:rPr>
          <w:rFonts w:ascii="Arial" w:hAnsi="Arial" w:cs="Arial"/>
          <w:sz w:val="22"/>
          <w:szCs w:val="22"/>
          <w:lang w:val="en-GB"/>
        </w:rPr>
        <w:t>PA’s</w:t>
      </w:r>
      <w:proofErr w:type="spellEnd"/>
      <w:r w:rsidRPr="00460E50">
        <w:rPr>
          <w:rFonts w:ascii="Arial" w:hAnsi="Arial" w:cs="Arial"/>
          <w:sz w:val="22"/>
          <w:szCs w:val="22"/>
          <w:lang w:val="en-GB"/>
        </w:rPr>
        <w:t xml:space="preserve"> executive institutional progress, elections were postponed, the Palestinian Legislative Council became paralyzed and judicial institutions stalled in advancing most administrative reforms.</w:t>
      </w:r>
    </w:p>
    <w:p w:rsidR="00792401" w:rsidRPr="00460E50" w:rsidRDefault="00792401" w:rsidP="00792401">
      <w:pPr>
        <w:spacing w:before="0" w:after="0"/>
        <w:rPr>
          <w:rFonts w:ascii="Arial" w:hAnsi="Arial" w:cs="Arial"/>
          <w:sz w:val="22"/>
          <w:szCs w:val="22"/>
          <w:lang w:val="en-GB"/>
        </w:rPr>
      </w:pPr>
    </w:p>
    <w:p w:rsidR="00792401" w:rsidRPr="00460E50" w:rsidRDefault="00792401" w:rsidP="00792401">
      <w:pPr>
        <w:spacing w:before="0" w:after="0"/>
        <w:rPr>
          <w:rFonts w:ascii="Arial" w:hAnsi="Arial" w:cs="Arial"/>
          <w:sz w:val="22"/>
          <w:szCs w:val="22"/>
          <w:lang w:val="en-GB"/>
        </w:rPr>
      </w:pPr>
      <w:r w:rsidRPr="00460E50">
        <w:rPr>
          <w:rFonts w:ascii="Arial" w:hAnsi="Arial" w:cs="Arial"/>
          <w:sz w:val="22"/>
          <w:szCs w:val="22"/>
          <w:lang w:val="en-GB"/>
        </w:rPr>
        <w:t xml:space="preserve">In November </w:t>
      </w:r>
      <w:r w:rsidRPr="00460E50">
        <w:rPr>
          <w:rFonts w:ascii="Arial" w:hAnsi="Arial" w:cs="Arial"/>
          <w:b/>
          <w:sz w:val="22"/>
          <w:szCs w:val="22"/>
          <w:lang w:val="en-GB"/>
        </w:rPr>
        <w:t>2008</w:t>
      </w:r>
      <w:r w:rsidRPr="00460E50">
        <w:rPr>
          <w:rFonts w:ascii="Arial" w:hAnsi="Arial" w:cs="Arial"/>
          <w:sz w:val="22"/>
          <w:szCs w:val="22"/>
          <w:lang w:val="en-GB"/>
        </w:rPr>
        <w:t xml:space="preserve">, hostilities between Hamas and Israel broke out. Israel undertook Operation Cast Lead, invading the GS with considerable loss of life and property. The PA in the WB took no military action. For the GS, the brief war brought considerable loss of life, further economic decline and isolation imposed by an Israeli military blockade and a boycott by international donors. However, by </w:t>
      </w:r>
      <w:r w:rsidRPr="00460E50">
        <w:rPr>
          <w:rFonts w:ascii="Arial" w:hAnsi="Arial" w:cs="Arial"/>
          <w:b/>
          <w:sz w:val="22"/>
          <w:szCs w:val="22"/>
          <w:lang w:val="en-GB"/>
        </w:rPr>
        <w:t>2009</w:t>
      </w:r>
      <w:r w:rsidRPr="00460E50">
        <w:rPr>
          <w:rFonts w:ascii="Arial" w:hAnsi="Arial" w:cs="Arial"/>
          <w:sz w:val="22"/>
          <w:szCs w:val="22"/>
          <w:lang w:val="en-GB"/>
        </w:rPr>
        <w:t>, Hamas authorities had succeeded in sustaining tunnel traffic with Egyptian Sinai which helped boost an economic revival, though no credible data exists on the volume or kind of trade.</w:t>
      </w:r>
      <w:r w:rsidRPr="00460E50">
        <w:rPr>
          <w:rStyle w:val="Rimandonotaapidipagina"/>
          <w:rFonts w:ascii="Arial" w:hAnsi="Arial" w:cs="Arial"/>
          <w:sz w:val="22"/>
          <w:szCs w:val="22"/>
        </w:rPr>
        <w:footnoteReference w:id="5"/>
      </w:r>
    </w:p>
    <w:p w:rsidR="00792401" w:rsidRPr="00460E50" w:rsidRDefault="00792401" w:rsidP="00792401">
      <w:pPr>
        <w:spacing w:before="0" w:after="0"/>
        <w:rPr>
          <w:rFonts w:ascii="Arial" w:hAnsi="Arial" w:cs="Arial"/>
          <w:sz w:val="22"/>
          <w:szCs w:val="22"/>
          <w:lang w:val="en-GB"/>
        </w:rPr>
      </w:pPr>
    </w:p>
    <w:p w:rsidR="00792401" w:rsidRPr="00460E50" w:rsidRDefault="00792401" w:rsidP="00792401">
      <w:pPr>
        <w:spacing w:before="0" w:after="0"/>
        <w:rPr>
          <w:rFonts w:ascii="Arial" w:hAnsi="Arial" w:cs="Arial"/>
          <w:sz w:val="22"/>
          <w:szCs w:val="22"/>
          <w:lang w:val="en-GB"/>
        </w:rPr>
      </w:pPr>
      <w:r w:rsidRPr="00460E50">
        <w:rPr>
          <w:rFonts w:ascii="Arial" w:hAnsi="Arial" w:cs="Arial"/>
          <w:sz w:val="22"/>
          <w:szCs w:val="22"/>
          <w:lang w:val="en-GB"/>
        </w:rPr>
        <w:t xml:space="preserve">In </w:t>
      </w:r>
      <w:r w:rsidRPr="00460E50">
        <w:rPr>
          <w:rFonts w:ascii="Arial" w:hAnsi="Arial" w:cs="Arial"/>
          <w:b/>
          <w:sz w:val="22"/>
          <w:szCs w:val="22"/>
          <w:lang w:val="en-GB"/>
        </w:rPr>
        <w:t>2011</w:t>
      </w:r>
      <w:r w:rsidRPr="00460E50">
        <w:rPr>
          <w:rFonts w:ascii="Arial" w:hAnsi="Arial" w:cs="Arial"/>
          <w:sz w:val="22"/>
          <w:szCs w:val="22"/>
          <w:lang w:val="en-GB"/>
        </w:rPr>
        <w:t xml:space="preserve">, Fatah and Hamas agreed to form a unity government and hold elections. However that agreement was not implemented and no elections, other than some local elections in 2012, have been held since 2006. In the interim, laws have been issued by PA Presidential decree. </w:t>
      </w:r>
    </w:p>
    <w:p w:rsidR="00792401" w:rsidRPr="00460E50" w:rsidRDefault="00792401" w:rsidP="00792401">
      <w:pPr>
        <w:spacing w:before="0" w:after="0"/>
        <w:rPr>
          <w:rFonts w:ascii="Arial" w:hAnsi="Arial" w:cs="Arial"/>
          <w:sz w:val="22"/>
          <w:szCs w:val="22"/>
          <w:lang w:val="en-GB"/>
        </w:rPr>
      </w:pPr>
    </w:p>
    <w:p w:rsidR="00792401" w:rsidRPr="00460E50" w:rsidRDefault="00792401" w:rsidP="00792401">
      <w:pPr>
        <w:spacing w:before="0" w:after="0"/>
        <w:rPr>
          <w:rFonts w:ascii="Arial" w:hAnsi="Arial" w:cs="Arial"/>
          <w:sz w:val="22"/>
          <w:szCs w:val="22"/>
          <w:lang w:val="en-GB"/>
        </w:rPr>
      </w:pPr>
      <w:r w:rsidRPr="00460E50">
        <w:rPr>
          <w:rFonts w:ascii="Arial" w:hAnsi="Arial" w:cs="Arial"/>
          <w:sz w:val="22"/>
          <w:szCs w:val="22"/>
          <w:lang w:val="en-GB"/>
        </w:rPr>
        <w:t xml:space="preserve">On November 29, </w:t>
      </w:r>
      <w:r w:rsidRPr="00460E50">
        <w:rPr>
          <w:rFonts w:ascii="Arial" w:hAnsi="Arial" w:cs="Arial"/>
          <w:b/>
          <w:sz w:val="22"/>
          <w:szCs w:val="22"/>
          <w:lang w:val="en-GB"/>
        </w:rPr>
        <w:t>2012</w:t>
      </w:r>
      <w:r w:rsidRPr="00460E50">
        <w:rPr>
          <w:rFonts w:ascii="Arial" w:hAnsi="Arial" w:cs="Arial"/>
          <w:sz w:val="22"/>
          <w:szCs w:val="22"/>
          <w:lang w:val="en-GB"/>
        </w:rPr>
        <w:t>, in a 138-9 vote, with 41 abstentions, the UN General Assembly voted to upgrade Palestine to a “non-member observer state.” Israel responded by withholding customs revenue due the PA, severely aggravating an already dire fiscal situation.</w:t>
      </w:r>
    </w:p>
    <w:p w:rsidR="00792401" w:rsidRDefault="00792401" w:rsidP="00792401">
      <w:pPr>
        <w:spacing w:before="0" w:after="0"/>
        <w:rPr>
          <w:rFonts w:asciiTheme="minorHAnsi" w:hAnsiTheme="minorHAnsi" w:cstheme="minorHAnsi"/>
          <w:sz w:val="24"/>
          <w:szCs w:val="24"/>
          <w:lang w:val="en-GB"/>
        </w:rPr>
      </w:pPr>
    </w:p>
    <w:p w:rsidR="00792401" w:rsidRPr="00460E50" w:rsidRDefault="00792401" w:rsidP="00792401">
      <w:pPr>
        <w:spacing w:before="0" w:after="0"/>
        <w:rPr>
          <w:rFonts w:ascii="Arial" w:hAnsi="Arial" w:cs="Arial"/>
          <w:sz w:val="22"/>
          <w:szCs w:val="22"/>
          <w:lang w:val="en-GB"/>
        </w:rPr>
      </w:pPr>
      <w:r w:rsidRPr="00460E50">
        <w:rPr>
          <w:rFonts w:ascii="Arial" w:hAnsi="Arial" w:cs="Arial"/>
          <w:b/>
          <w:color w:val="1F497D" w:themeColor="text2"/>
          <w:sz w:val="22"/>
          <w:szCs w:val="22"/>
          <w:lang w:val="en-GB"/>
        </w:rPr>
        <w:t>Political context</w:t>
      </w:r>
      <w:r w:rsidRPr="00460E50">
        <w:rPr>
          <w:rFonts w:ascii="Arial" w:hAnsi="Arial" w:cs="Arial"/>
          <w:b/>
          <w:sz w:val="22"/>
          <w:szCs w:val="22"/>
          <w:lang w:val="en-GB"/>
        </w:rPr>
        <w:t xml:space="preserve">. </w:t>
      </w:r>
      <w:r w:rsidRPr="00460E50">
        <w:rPr>
          <w:rFonts w:ascii="Arial" w:hAnsi="Arial" w:cs="Arial"/>
          <w:sz w:val="22"/>
          <w:szCs w:val="22"/>
          <w:lang w:val="en-GB"/>
        </w:rPr>
        <w:t xml:space="preserve">Despite the explicit intent of the Oslo Accords, twenty years of substantial international assistance, institutional gains and the 2012 UN recognition, Palestine still lacks the fundamental attributes of a state. It does not have a monopoly of the use of force for security in its territory, even in the relatively small West Bank Area A. Indeed, since at least 1998, in the WB, the </w:t>
      </w:r>
      <w:proofErr w:type="spellStart"/>
      <w:r w:rsidRPr="00460E50">
        <w:rPr>
          <w:rFonts w:ascii="Arial" w:hAnsi="Arial" w:cs="Arial"/>
          <w:sz w:val="22"/>
          <w:szCs w:val="22"/>
          <w:lang w:val="en-GB"/>
        </w:rPr>
        <w:t>PA’s</w:t>
      </w:r>
      <w:proofErr w:type="spellEnd"/>
      <w:r w:rsidRPr="00460E50">
        <w:rPr>
          <w:rFonts w:ascii="Arial" w:hAnsi="Arial" w:cs="Arial"/>
          <w:sz w:val="22"/>
          <w:szCs w:val="22"/>
          <w:lang w:val="en-GB"/>
        </w:rPr>
        <w:t xml:space="preserve"> span of control and governance has continually diminished as Israeli settlements, subject entirely to Israeli law and governance, have expanded. Hence, its territory and span of control have been at all times uncertain. It does not have full authority to mobilize, allocate or manage resources between the WB and GS or externally; and it lacks jurisdiction over natural resources, airspace and the sea. </w:t>
      </w:r>
    </w:p>
    <w:p w:rsidR="00792401" w:rsidRDefault="00792401" w:rsidP="00792401">
      <w:pPr>
        <w:spacing w:before="0" w:after="0"/>
        <w:rPr>
          <w:rFonts w:ascii="Times New Roman" w:hAnsi="Times New Roman"/>
          <w:sz w:val="24"/>
          <w:szCs w:val="24"/>
          <w:lang w:val="en-GB"/>
        </w:rPr>
      </w:pPr>
    </w:p>
    <w:p w:rsidR="00792401" w:rsidRDefault="00792401" w:rsidP="00792401">
      <w:pPr>
        <w:spacing w:before="0" w:after="0"/>
        <w:rPr>
          <w:rFonts w:ascii="Times New Roman" w:hAnsi="Times New Roman"/>
          <w:sz w:val="24"/>
          <w:szCs w:val="24"/>
          <w:lang w:val="en-GB"/>
        </w:rPr>
      </w:pPr>
      <w:r w:rsidRPr="00460E50">
        <w:rPr>
          <w:rFonts w:ascii="Arial" w:hAnsi="Arial" w:cs="Arial"/>
          <w:sz w:val="22"/>
          <w:szCs w:val="22"/>
          <w:lang w:val="en-GB"/>
        </w:rPr>
        <w:t xml:space="preserve">The PA therefore has limited authority but broad responsibility for administering two non- adjacent land areas. This task has been difficult from the outset of the Oslo process in 1993 and has become more so since the 2007 divergence of governance between the WB and the GS. However, perhaps the </w:t>
      </w:r>
      <w:proofErr w:type="spellStart"/>
      <w:r w:rsidRPr="00460E50">
        <w:rPr>
          <w:rFonts w:ascii="Arial" w:hAnsi="Arial" w:cs="Arial"/>
          <w:sz w:val="22"/>
          <w:szCs w:val="22"/>
          <w:lang w:val="en-GB"/>
        </w:rPr>
        <w:t>PA’s</w:t>
      </w:r>
      <w:proofErr w:type="spellEnd"/>
      <w:r w:rsidRPr="00460E50">
        <w:rPr>
          <w:rFonts w:ascii="Arial" w:hAnsi="Arial" w:cs="Arial"/>
          <w:sz w:val="22"/>
          <w:szCs w:val="22"/>
          <w:lang w:val="en-GB"/>
        </w:rPr>
        <w:t xml:space="preserve"> single greatest constraint has been the system of Israeli limitations on Palestinian freedom of movement and access to resources and markets.  Beginning in 1992, Israel imposed on all of Palestine a complex and unpredictable regime of permits and closures determined by a set of non-transparent military orders as would be applied under full military occupation. The impacts of the permit and closure regime have</w:t>
      </w:r>
      <w:r>
        <w:rPr>
          <w:rFonts w:ascii="Times New Roman" w:hAnsi="Times New Roman"/>
          <w:sz w:val="24"/>
          <w:szCs w:val="24"/>
          <w:lang w:val="en-GB"/>
        </w:rPr>
        <w:t xml:space="preserve"> </w:t>
      </w:r>
      <w:r w:rsidRPr="00460E50">
        <w:rPr>
          <w:rFonts w:ascii="Arial" w:hAnsi="Arial" w:cs="Arial"/>
          <w:sz w:val="22"/>
          <w:szCs w:val="22"/>
          <w:lang w:val="en-GB"/>
        </w:rPr>
        <w:t xml:space="preserve">been continuing, cumulative and pervasive, affecting virtually every aspect of Palestinian political, economic and social life. The regime’s opaque and ever-changing system limits the </w:t>
      </w:r>
      <w:proofErr w:type="spellStart"/>
      <w:r w:rsidRPr="00460E50">
        <w:rPr>
          <w:rFonts w:ascii="Arial" w:hAnsi="Arial" w:cs="Arial"/>
          <w:sz w:val="22"/>
          <w:szCs w:val="22"/>
          <w:lang w:val="en-GB"/>
        </w:rPr>
        <w:t>PA’s</w:t>
      </w:r>
      <w:proofErr w:type="spellEnd"/>
      <w:r w:rsidRPr="00460E50">
        <w:rPr>
          <w:rFonts w:ascii="Arial" w:hAnsi="Arial" w:cs="Arial"/>
          <w:sz w:val="22"/>
          <w:szCs w:val="22"/>
          <w:lang w:val="en-GB"/>
        </w:rPr>
        <w:t xml:space="preserve"> ability to deliver basic services to its constituents. The system inhibits the unification, coherence and coordination of Palestinian legal and administrative systems and service delivery and creates the de facto application of two sets of laws in one territory: permissive, encouraging, accountable and protecting for Israelis and settlers; restricting, opaque and discriminating for all others.</w:t>
      </w:r>
    </w:p>
    <w:p w:rsidR="00792401" w:rsidRDefault="00792401" w:rsidP="00792401">
      <w:pPr>
        <w:spacing w:before="0" w:after="0"/>
        <w:rPr>
          <w:rFonts w:asciiTheme="minorHAnsi" w:hAnsiTheme="minorHAnsi" w:cstheme="minorHAnsi"/>
          <w:sz w:val="24"/>
          <w:szCs w:val="24"/>
          <w:lang w:val="en-GB"/>
        </w:rPr>
      </w:pPr>
    </w:p>
    <w:p w:rsidR="00792401" w:rsidRDefault="00792401" w:rsidP="00A375EE">
      <w:pPr>
        <w:spacing w:before="0" w:after="0"/>
        <w:rPr>
          <w:rFonts w:ascii="Arial" w:hAnsi="Arial" w:cs="Arial"/>
          <w:b/>
          <w:caps/>
          <w:color w:val="1F497D" w:themeColor="text2"/>
          <w:sz w:val="22"/>
          <w:szCs w:val="22"/>
          <w:u w:val="single"/>
        </w:rPr>
      </w:pPr>
      <w:bookmarkStart w:id="45" w:name="_Toc359508308"/>
      <w:r w:rsidRPr="00A375EE">
        <w:rPr>
          <w:rFonts w:ascii="Arial" w:hAnsi="Arial" w:cs="Arial"/>
          <w:b/>
          <w:caps/>
          <w:color w:val="1F497D" w:themeColor="text2"/>
          <w:sz w:val="22"/>
          <w:szCs w:val="22"/>
          <w:u w:val="single"/>
        </w:rPr>
        <w:t>Economic background</w:t>
      </w:r>
      <w:bookmarkEnd w:id="45"/>
    </w:p>
    <w:p w:rsidR="00A375EE" w:rsidRPr="00A375EE" w:rsidRDefault="00A375EE" w:rsidP="00A375EE">
      <w:pPr>
        <w:spacing w:before="0" w:after="0"/>
        <w:rPr>
          <w:rFonts w:ascii="Arial" w:hAnsi="Arial" w:cs="Arial"/>
          <w:b/>
          <w:caps/>
          <w:color w:val="1F497D" w:themeColor="text2"/>
          <w:sz w:val="22"/>
          <w:szCs w:val="22"/>
          <w:u w:val="single"/>
        </w:rPr>
      </w:pPr>
    </w:p>
    <w:p w:rsidR="00792401" w:rsidRPr="00460E50" w:rsidRDefault="00792401" w:rsidP="00792401">
      <w:pPr>
        <w:spacing w:before="0" w:after="0"/>
        <w:rPr>
          <w:rFonts w:ascii="Arial" w:hAnsi="Arial" w:cs="Arial"/>
          <w:sz w:val="22"/>
          <w:szCs w:val="22"/>
        </w:rPr>
      </w:pPr>
      <w:r w:rsidRPr="00460E50">
        <w:rPr>
          <w:rFonts w:ascii="Arial" w:hAnsi="Arial" w:cs="Arial"/>
          <w:sz w:val="22"/>
          <w:szCs w:val="22"/>
        </w:rPr>
        <w:t xml:space="preserve">Over the past twenty years, while the PA has been successful in developing the institutions to manage an independent state, the economic foundations remain much weaker. Prolonged occupation and </w:t>
      </w:r>
      <w:r w:rsidRPr="00460E50">
        <w:rPr>
          <w:rFonts w:ascii="Arial" w:hAnsi="Arial" w:cs="Arial"/>
          <w:sz w:val="22"/>
          <w:szCs w:val="22"/>
          <w:lang w:val="en-GB"/>
        </w:rPr>
        <w:t xml:space="preserve">the permit and closure regime </w:t>
      </w:r>
      <w:r w:rsidRPr="00460E50">
        <w:rPr>
          <w:rFonts w:ascii="Arial" w:hAnsi="Arial" w:cs="Arial"/>
          <w:sz w:val="22"/>
          <w:szCs w:val="22"/>
        </w:rPr>
        <w:t xml:space="preserve">have arrested economic development and locked in structural distortions, and restricted Palestine’s ability to access the resources necessary to </w:t>
      </w:r>
      <w:r w:rsidRPr="00460E50">
        <w:rPr>
          <w:rFonts w:ascii="Arial" w:hAnsi="Arial" w:cs="Arial"/>
          <w:sz w:val="22"/>
          <w:szCs w:val="22"/>
        </w:rPr>
        <w:lastRenderedPageBreak/>
        <w:t xml:space="preserve">maintain macroeconomic and fiscal stability, provide basic services and grow a productive private sector. </w:t>
      </w:r>
    </w:p>
    <w:p w:rsidR="00792401" w:rsidRDefault="00792401" w:rsidP="00792401">
      <w:pPr>
        <w:spacing w:before="0" w:after="0"/>
        <w:rPr>
          <w:rFonts w:ascii="Times New Roman" w:hAnsi="Times New Roman"/>
          <w:sz w:val="24"/>
          <w:szCs w:val="24"/>
        </w:rPr>
      </w:pPr>
    </w:p>
    <w:p w:rsidR="00792401" w:rsidRDefault="00792401" w:rsidP="00792401">
      <w:pPr>
        <w:spacing w:before="0" w:after="0"/>
        <w:rPr>
          <w:rFonts w:ascii="Times New Roman" w:hAnsi="Times New Roman"/>
          <w:sz w:val="24"/>
          <w:szCs w:val="24"/>
        </w:rPr>
      </w:pPr>
      <w:r w:rsidRPr="00460E50">
        <w:rPr>
          <w:rFonts w:ascii="Arial" w:hAnsi="Arial" w:cs="Arial"/>
          <w:sz w:val="22"/>
          <w:szCs w:val="22"/>
        </w:rPr>
        <w:t>In the post Oslo period, industry, agriculture, tourism, transport, retail sales services and some related services contributions to GDP and employment have declined or stagnated at best, while donor funded sectors such as public administration, education, health and social services have grown (through budget support and development projects). Hence, the donor contributions and public</w:t>
      </w:r>
      <w:r>
        <w:rPr>
          <w:rFonts w:ascii="Times New Roman" w:hAnsi="Times New Roman"/>
          <w:sz w:val="24"/>
          <w:szCs w:val="24"/>
        </w:rPr>
        <w:t xml:space="preserve"> sector </w:t>
      </w:r>
      <w:r w:rsidRPr="00460E50">
        <w:rPr>
          <w:rFonts w:ascii="Arial" w:hAnsi="Arial" w:cs="Arial"/>
          <w:sz w:val="22"/>
          <w:szCs w:val="22"/>
        </w:rPr>
        <w:t>employment have been the major drivers of growth.</w:t>
      </w:r>
    </w:p>
    <w:p w:rsidR="00792401" w:rsidRDefault="00792401" w:rsidP="00792401">
      <w:pPr>
        <w:spacing w:before="0" w:after="0"/>
        <w:rPr>
          <w:rFonts w:ascii="Times New Roman" w:hAnsi="Times New Roman"/>
          <w:sz w:val="24"/>
          <w:szCs w:val="24"/>
        </w:rPr>
      </w:pPr>
    </w:p>
    <w:p w:rsidR="00A375EE" w:rsidRDefault="00792401" w:rsidP="00792401">
      <w:pPr>
        <w:pStyle w:val="Default"/>
        <w:spacing w:before="0" w:after="0"/>
        <w:rPr>
          <w:rFonts w:ascii="Arial" w:hAnsi="Arial" w:cs="Arial"/>
          <w:sz w:val="22"/>
          <w:szCs w:val="22"/>
        </w:rPr>
      </w:pPr>
      <w:r w:rsidRPr="00460E50">
        <w:rPr>
          <w:rFonts w:ascii="Arial" w:hAnsi="Arial" w:cs="Arial"/>
          <w:bCs/>
          <w:spacing w:val="-1"/>
          <w:sz w:val="22"/>
          <w:szCs w:val="22"/>
          <w:lang w:val="en-GB"/>
        </w:rPr>
        <w:t>T</w:t>
      </w:r>
      <w:r w:rsidRPr="00460E50">
        <w:rPr>
          <w:rFonts w:ascii="Arial" w:hAnsi="Arial" w:cs="Arial"/>
          <w:bCs/>
          <w:sz w:val="22"/>
          <w:szCs w:val="22"/>
          <w:lang w:val="en-GB"/>
        </w:rPr>
        <w:t>hus, the ou</w:t>
      </w:r>
      <w:r w:rsidRPr="00460E50">
        <w:rPr>
          <w:rFonts w:ascii="Arial" w:hAnsi="Arial" w:cs="Arial"/>
          <w:bCs/>
          <w:spacing w:val="-2"/>
          <w:sz w:val="22"/>
          <w:szCs w:val="22"/>
          <w:lang w:val="en-GB"/>
        </w:rPr>
        <w:t>t</w:t>
      </w:r>
      <w:r w:rsidRPr="00460E50">
        <w:rPr>
          <w:rFonts w:ascii="Arial" w:hAnsi="Arial" w:cs="Arial"/>
          <w:bCs/>
          <w:sz w:val="22"/>
          <w:szCs w:val="22"/>
          <w:lang w:val="en-GB"/>
        </w:rPr>
        <w:t xml:space="preserve">look </w:t>
      </w:r>
      <w:r w:rsidRPr="00460E50">
        <w:rPr>
          <w:rFonts w:ascii="Arial" w:hAnsi="Arial" w:cs="Arial"/>
          <w:bCs/>
          <w:spacing w:val="3"/>
          <w:sz w:val="22"/>
          <w:szCs w:val="22"/>
          <w:lang w:val="en-GB"/>
        </w:rPr>
        <w:t>f</w:t>
      </w:r>
      <w:r w:rsidRPr="00460E50">
        <w:rPr>
          <w:rFonts w:ascii="Arial" w:hAnsi="Arial" w:cs="Arial"/>
          <w:bCs/>
          <w:spacing w:val="-3"/>
          <w:sz w:val="22"/>
          <w:szCs w:val="22"/>
          <w:lang w:val="en-GB"/>
        </w:rPr>
        <w:t>o</w:t>
      </w:r>
      <w:r w:rsidRPr="00460E50">
        <w:rPr>
          <w:rFonts w:ascii="Arial" w:hAnsi="Arial" w:cs="Arial"/>
          <w:bCs/>
          <w:sz w:val="22"/>
          <w:szCs w:val="22"/>
          <w:lang w:val="en-GB"/>
        </w:rPr>
        <w:t>r t</w:t>
      </w:r>
      <w:r w:rsidRPr="00460E50">
        <w:rPr>
          <w:rFonts w:ascii="Arial" w:hAnsi="Arial" w:cs="Arial"/>
          <w:bCs/>
          <w:spacing w:val="-3"/>
          <w:sz w:val="22"/>
          <w:szCs w:val="22"/>
          <w:lang w:val="en-GB"/>
        </w:rPr>
        <w:t>h</w:t>
      </w:r>
      <w:r w:rsidRPr="00460E50">
        <w:rPr>
          <w:rFonts w:ascii="Arial" w:hAnsi="Arial" w:cs="Arial"/>
          <w:bCs/>
          <w:sz w:val="22"/>
          <w:szCs w:val="22"/>
          <w:lang w:val="en-GB"/>
        </w:rPr>
        <w:t>e economic situation in Palestine reflects the uncertainties in</w:t>
      </w:r>
      <w:r>
        <w:rPr>
          <w:rFonts w:ascii="Times New Roman" w:hAnsi="Times New Roman" w:cs="Times New Roman"/>
          <w:bCs/>
          <w:lang w:val="en-GB"/>
        </w:rPr>
        <w:t xml:space="preserve"> </w:t>
      </w:r>
      <w:r w:rsidRPr="00460E50">
        <w:rPr>
          <w:rFonts w:ascii="Arial" w:hAnsi="Arial" w:cs="Arial"/>
          <w:bCs/>
          <w:sz w:val="22"/>
          <w:szCs w:val="22"/>
          <w:lang w:val="en-GB"/>
        </w:rPr>
        <w:t>the political situation. S</w:t>
      </w:r>
      <w:r w:rsidRPr="00460E50">
        <w:rPr>
          <w:rFonts w:ascii="Arial" w:hAnsi="Arial" w:cs="Arial"/>
          <w:sz w:val="22"/>
          <w:szCs w:val="22"/>
          <w:lang w:val="en-GB"/>
        </w:rPr>
        <w:t xml:space="preserve">ince 2000, the economy has been volatile. GDP fell to US$3.6M in 2002 and then recovered slightly in 2003 and 2005. With the continuing restrictions on the movement of goods and people, the loss of international aid, GDP fell again in 2006 after the election of Hamas. Real GDP in 2007 was US$3.9M, 14% lower than its peak in 1999. </w:t>
      </w:r>
      <w:r w:rsidRPr="00460E50">
        <w:rPr>
          <w:rFonts w:ascii="Arial" w:hAnsi="Arial" w:cs="Arial"/>
          <w:bCs/>
          <w:sz w:val="22"/>
          <w:szCs w:val="22"/>
          <w:lang w:val="en-GB"/>
        </w:rPr>
        <w:t xml:space="preserve">The situation since 2007 has remained relatively stable with an average GDP growth rate equal to 7% but with some negative trends during the last year, see </w:t>
      </w:r>
      <w:fldSimple w:instr=" REF _Ref356565824 \h  \* MERGEFORMAT ">
        <w:r w:rsidRPr="00460E50">
          <w:rPr>
            <w:rFonts w:ascii="Arial" w:hAnsi="Arial" w:cs="Arial"/>
            <w:bCs/>
            <w:sz w:val="22"/>
            <w:szCs w:val="22"/>
            <w:lang w:val="en-GB"/>
          </w:rPr>
          <w:t>Figure 2</w:t>
        </w:r>
      </w:fldSimple>
      <w:r w:rsidRPr="00460E50">
        <w:rPr>
          <w:rFonts w:ascii="Arial" w:hAnsi="Arial" w:cs="Arial"/>
          <w:bCs/>
          <w:sz w:val="22"/>
          <w:szCs w:val="22"/>
          <w:lang w:val="en-GB"/>
        </w:rPr>
        <w:t xml:space="preserve">. </w:t>
      </w:r>
      <w:r w:rsidRPr="00460E50">
        <w:rPr>
          <w:rFonts w:ascii="Arial" w:hAnsi="Arial" w:cs="Arial"/>
          <w:sz w:val="22"/>
          <w:szCs w:val="22"/>
        </w:rPr>
        <w:t>As current projections</w:t>
      </w:r>
      <w:r w:rsidRPr="00460E50">
        <w:rPr>
          <w:rStyle w:val="Rimandonotaapidipagina"/>
          <w:rFonts w:ascii="Arial" w:eastAsia="Calibri" w:hAnsi="Arial" w:cs="Arial"/>
          <w:sz w:val="22"/>
          <w:szCs w:val="22"/>
        </w:rPr>
        <w:footnoteReference w:id="6"/>
      </w:r>
      <w:r w:rsidRPr="00460E50">
        <w:rPr>
          <w:rFonts w:ascii="Arial" w:hAnsi="Arial" w:cs="Arial"/>
          <w:sz w:val="22"/>
          <w:szCs w:val="22"/>
        </w:rPr>
        <w:t xml:space="preserve"> indicate, much of the real economic potential for growth has been exhausted.</w:t>
      </w:r>
      <w:r w:rsidRPr="00460E50">
        <w:rPr>
          <w:rFonts w:ascii="Arial" w:eastAsia="Calibri" w:hAnsi="Arial" w:cs="Arial"/>
          <w:sz w:val="22"/>
          <w:szCs w:val="22"/>
        </w:rPr>
        <w:t xml:space="preserve"> </w:t>
      </w:r>
      <w:r w:rsidRPr="00460E50">
        <w:rPr>
          <w:rFonts w:ascii="Arial" w:hAnsi="Arial" w:cs="Arial"/>
          <w:sz w:val="22"/>
          <w:szCs w:val="22"/>
        </w:rPr>
        <w:t xml:space="preserve">The economy by 2013 is moribund with a projected </w:t>
      </w:r>
      <w:r w:rsidRPr="00460E50">
        <w:rPr>
          <w:rFonts w:ascii="Arial" w:eastAsia="Calibri" w:hAnsi="Arial" w:cs="Arial"/>
          <w:sz w:val="22"/>
          <w:szCs w:val="22"/>
        </w:rPr>
        <w:t>real GDP growth declined to 5%, far below recent growth rates, with a continuing downward trend in subsequent years</w:t>
      </w:r>
      <w:r w:rsidRPr="00460E50">
        <w:rPr>
          <w:rFonts w:ascii="Arial" w:hAnsi="Arial" w:cs="Arial"/>
          <w:sz w:val="22"/>
          <w:szCs w:val="22"/>
        </w:rPr>
        <w:t xml:space="preserve"> and supported almost exclusively by high levels of external aid. The continuation of these circumstances undermines the functionality and legitimacy of the institutions built over the past twenty years. </w:t>
      </w:r>
    </w:p>
    <w:p w:rsidR="00A375EE" w:rsidRPr="00460E50" w:rsidRDefault="00A375EE" w:rsidP="00792401">
      <w:pPr>
        <w:pStyle w:val="Default"/>
        <w:spacing w:before="0" w:after="0"/>
        <w:rPr>
          <w:rFonts w:ascii="Arial" w:hAnsi="Arial" w:cs="Arial"/>
          <w:sz w:val="22"/>
          <w:szCs w:val="22"/>
        </w:rPr>
      </w:pPr>
    </w:p>
    <w:tbl>
      <w:tblPr>
        <w:tblStyle w:val="Grigliatabella"/>
        <w:tblpPr w:leftFromText="141" w:rightFromText="141" w:vertAnchor="text" w:tblpY="1"/>
        <w:tblOverlap w:val="never"/>
        <w:tblW w:w="0" w:type="auto"/>
        <w:tblLook w:val="04A0"/>
      </w:tblPr>
      <w:tblGrid>
        <w:gridCol w:w="6876"/>
      </w:tblGrid>
      <w:tr w:rsidR="00A375EE" w:rsidTr="00A375EE">
        <w:trPr>
          <w:trHeight w:val="3165"/>
        </w:trPr>
        <w:tc>
          <w:tcPr>
            <w:tcW w:w="6740" w:type="dxa"/>
          </w:tcPr>
          <w:p w:rsidR="00A375EE" w:rsidRDefault="00A375EE" w:rsidP="00A375EE">
            <w:pPr>
              <w:pStyle w:val="Didascalia"/>
              <w:framePr w:hSpace="0" w:wrap="auto" w:vAnchor="margin" w:hAnchor="text" w:xAlign="left" w:yAlign="inline"/>
              <w:rPr>
                <w:i/>
              </w:rPr>
            </w:pPr>
            <w:bookmarkStart w:id="46" w:name="_Ref356565824"/>
            <w:bookmarkStart w:id="47" w:name="_Toc359508346"/>
            <w:r>
              <w:t>Figure</w:t>
            </w:r>
            <w:bookmarkEnd w:id="46"/>
            <w:r>
              <w:t xml:space="preserve"> 2: GDP Growth Rate 1999-2012 - Palestine</w:t>
            </w:r>
            <w:bookmarkEnd w:id="47"/>
          </w:p>
          <w:p w:rsidR="00A375EE" w:rsidRDefault="00A375EE" w:rsidP="00A375EE">
            <w:pPr>
              <w:pStyle w:val="Default"/>
              <w:spacing w:before="0" w:after="0"/>
              <w:rPr>
                <w:rFonts w:ascii="Arial" w:hAnsi="Arial" w:cs="Arial"/>
                <w:sz w:val="22"/>
                <w:szCs w:val="22"/>
              </w:rPr>
            </w:pPr>
            <w:r w:rsidRPr="00A375EE">
              <w:rPr>
                <w:rFonts w:ascii="Arial" w:hAnsi="Arial" w:cs="Arial"/>
                <w:noProof/>
                <w:sz w:val="22"/>
                <w:szCs w:val="22"/>
                <w:lang w:val="it-IT" w:eastAsia="it-IT"/>
              </w:rPr>
              <w:drawing>
                <wp:inline distT="0" distB="0" distL="0" distR="0">
                  <wp:extent cx="4220845" cy="1722755"/>
                  <wp:effectExtent l="0" t="0" r="8255" b="0"/>
                  <wp:docPr id="138"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p>
          <w:p w:rsidR="00A375EE" w:rsidRPr="00A375EE" w:rsidRDefault="00A375EE" w:rsidP="00A375EE">
            <w:pPr>
              <w:spacing w:before="0" w:after="0"/>
              <w:jc w:val="center"/>
              <w:rPr>
                <w:rFonts w:ascii="Arial" w:hAnsi="Arial" w:cs="Arial"/>
                <w:sz w:val="22"/>
                <w:szCs w:val="22"/>
                <w:lang w:val="en-GB"/>
              </w:rPr>
            </w:pPr>
            <w:r>
              <w:rPr>
                <w:rFonts w:ascii="Times New Roman" w:hAnsi="Times New Roman"/>
                <w:i/>
                <w:sz w:val="20"/>
                <w:lang w:val="en-GB"/>
              </w:rPr>
              <w:t>Source: PCBS and World Bank Staff for Economic Monitoring for AHLC September 2102 and March 2103</w:t>
            </w:r>
          </w:p>
        </w:tc>
      </w:tr>
    </w:tbl>
    <w:p w:rsidR="00792401" w:rsidRPr="00460E50" w:rsidRDefault="00792401" w:rsidP="00792401">
      <w:pPr>
        <w:pStyle w:val="Testonormale"/>
        <w:rPr>
          <w:rFonts w:ascii="Arial" w:hAnsi="Arial" w:cs="Arial"/>
          <w:sz w:val="22"/>
          <w:szCs w:val="22"/>
        </w:rPr>
      </w:pPr>
      <w:r w:rsidRPr="00460E50">
        <w:rPr>
          <w:rFonts w:ascii="Arial" w:hAnsi="Arial" w:cs="Arial"/>
          <w:b/>
          <w:color w:val="1F497D" w:themeColor="text2"/>
          <w:sz w:val="22"/>
          <w:szCs w:val="22"/>
        </w:rPr>
        <w:t>Trade.</w:t>
      </w:r>
      <w:r w:rsidRPr="00460E50">
        <w:rPr>
          <w:rFonts w:ascii="Arial" w:hAnsi="Arial" w:cs="Arial"/>
          <w:b/>
          <w:sz w:val="22"/>
          <w:szCs w:val="22"/>
        </w:rPr>
        <w:t xml:space="preserve"> </w:t>
      </w:r>
      <w:r w:rsidRPr="00460E50">
        <w:rPr>
          <w:rFonts w:ascii="Arial" w:hAnsi="Arial" w:cs="Arial"/>
          <w:sz w:val="22"/>
          <w:szCs w:val="22"/>
        </w:rPr>
        <w:t>The legal reference for trade policy in Palestine is the 1994 Protocol of Economic Relations (Paris Protocol or PP). This placed Palestine in a quasi-customs union with Israel and effectively left Israel in control of Palestine’s external economic relations. With few</w:t>
      </w:r>
      <w:r>
        <w:rPr>
          <w:rFonts w:ascii="Times New Roman" w:hAnsi="Times New Roman"/>
          <w:sz w:val="24"/>
          <w:szCs w:val="24"/>
        </w:rPr>
        <w:t xml:space="preserve"> </w:t>
      </w:r>
      <w:r w:rsidRPr="00460E50">
        <w:rPr>
          <w:rFonts w:ascii="Arial" w:hAnsi="Arial" w:cs="Arial"/>
          <w:sz w:val="22"/>
          <w:szCs w:val="22"/>
        </w:rPr>
        <w:t>exceptions, the PP extended Israeli tariffs, tax rates and in most cases technical standards to Palestine. In theory, the PP could have led to deep integration of the two economies. However, the PP was never fully implemented as envisioned.</w:t>
      </w:r>
      <w:r w:rsidRPr="00460E50">
        <w:rPr>
          <w:rStyle w:val="Rimandonotaapidipagina"/>
          <w:rFonts w:ascii="Arial" w:hAnsi="Arial" w:cs="Arial"/>
          <w:sz w:val="22"/>
          <w:szCs w:val="22"/>
        </w:rPr>
        <w:footnoteReference w:id="7"/>
      </w:r>
      <w:r w:rsidRPr="00460E50">
        <w:rPr>
          <w:rFonts w:ascii="Arial" w:hAnsi="Arial" w:cs="Arial"/>
          <w:sz w:val="22"/>
          <w:szCs w:val="22"/>
        </w:rPr>
        <w:t xml:space="preserve"> Indeed, after the Oslo Accords, while goods from Israel entered Palestine freely, exports from the Palestinian territories were constrained in a variety of ways: security restrictions which are the facto non-tariff barriers (such as quality, health and safety standards) imposed on the movement of Palestinians goods and restrictions on the importation of dual use goods</w:t>
      </w:r>
      <w:r w:rsidRPr="00460E50">
        <w:rPr>
          <w:rStyle w:val="Rimandonotaapidipagina"/>
          <w:rFonts w:ascii="Arial" w:hAnsi="Arial" w:cs="Arial"/>
          <w:sz w:val="22"/>
          <w:szCs w:val="22"/>
        </w:rPr>
        <w:footnoteReference w:id="8"/>
      </w:r>
      <w:r w:rsidRPr="00460E50">
        <w:rPr>
          <w:rFonts w:ascii="Arial" w:hAnsi="Arial" w:cs="Arial"/>
          <w:sz w:val="22"/>
          <w:szCs w:val="22"/>
        </w:rPr>
        <w:t>. These and other measures have all had the effect of increasing uncertainty and the cost of trade and reducing the competitiveness of Palestinian exports both within Palestine and Israel and to the rest of the world.</w:t>
      </w:r>
    </w:p>
    <w:p w:rsidR="00792401" w:rsidRPr="00460E50" w:rsidRDefault="00792401" w:rsidP="00792401">
      <w:pPr>
        <w:pStyle w:val="Testonormale"/>
        <w:rPr>
          <w:rFonts w:ascii="Arial" w:hAnsi="Arial" w:cs="Arial"/>
          <w:sz w:val="22"/>
          <w:szCs w:val="22"/>
        </w:rPr>
      </w:pPr>
    </w:p>
    <w:p w:rsidR="00792401" w:rsidRPr="00460E50" w:rsidRDefault="00792401" w:rsidP="00792401">
      <w:pPr>
        <w:pStyle w:val="Testonormale"/>
        <w:rPr>
          <w:rFonts w:ascii="Arial" w:hAnsi="Arial" w:cs="Arial"/>
          <w:sz w:val="22"/>
          <w:szCs w:val="22"/>
        </w:rPr>
      </w:pPr>
      <w:r w:rsidRPr="00460E50">
        <w:rPr>
          <w:rFonts w:ascii="Arial" w:hAnsi="Arial" w:cs="Arial"/>
          <w:sz w:val="22"/>
          <w:szCs w:val="22"/>
        </w:rPr>
        <w:t xml:space="preserve">Israel remains the main destination for Palestine’s exports and source of imports. Though there has been a small increase in the share of exports to the rest of the world, particularly the Arab countries, Israel dominates Palestinian trade and will likely continue to do so for the foreseeable future. According to PCBS figures, Israel has been consistently accounting for around 85-90% of Palestinian exports and 65-75 % of imports since 2008. </w:t>
      </w:r>
    </w:p>
    <w:p w:rsidR="00792401" w:rsidRDefault="00792401" w:rsidP="00792401">
      <w:pPr>
        <w:pStyle w:val="Testonormale"/>
        <w:rPr>
          <w:rFonts w:ascii="Times New Roman" w:hAnsi="Times New Roman"/>
          <w:sz w:val="24"/>
          <w:szCs w:val="24"/>
        </w:rPr>
      </w:pPr>
    </w:p>
    <w:tbl>
      <w:tblPr>
        <w:tblStyle w:val="Grigliatabella"/>
        <w:tblpPr w:leftFromText="141" w:rightFromText="141" w:vertAnchor="text" w:horzAnchor="margin" w:tblpXSpec="right" w:tblpY="42"/>
        <w:tblW w:w="0" w:type="auto"/>
        <w:tblBorders>
          <w:insideH w:val="single" w:sz="6" w:space="0" w:color="auto"/>
          <w:insideV w:val="single" w:sz="6" w:space="0" w:color="auto"/>
        </w:tblBorders>
        <w:tblLook w:val="04A0"/>
      </w:tblPr>
      <w:tblGrid>
        <w:gridCol w:w="4998"/>
      </w:tblGrid>
      <w:tr w:rsidR="00792401" w:rsidTr="00A375EE">
        <w:trPr>
          <w:trHeight w:val="3660"/>
        </w:trPr>
        <w:tc>
          <w:tcPr>
            <w:tcW w:w="4998" w:type="dxa"/>
            <w:hideMark/>
          </w:tcPr>
          <w:p w:rsidR="00792401" w:rsidRDefault="00792401" w:rsidP="00792401">
            <w:pPr>
              <w:pStyle w:val="Didascalia"/>
              <w:framePr w:hSpace="0" w:wrap="auto" w:vAnchor="margin" w:hAnchor="text" w:xAlign="left" w:yAlign="inline"/>
            </w:pPr>
            <w:bookmarkStart w:id="48" w:name="_Ref356911512"/>
            <w:bookmarkStart w:id="49" w:name="_Toc359508349"/>
            <w:r>
              <w:lastRenderedPageBreak/>
              <w:t>Figure</w:t>
            </w:r>
            <w:bookmarkEnd w:id="48"/>
            <w:r w:rsidR="00625324">
              <w:t xml:space="preserve"> </w:t>
            </w:r>
            <w:r w:rsidR="00A375EE">
              <w:t>3</w:t>
            </w:r>
            <w:r>
              <w:t xml:space="preserve">: Import-Exports and trade </w:t>
            </w:r>
            <w:proofErr w:type="spellStart"/>
            <w:r>
              <w:t>balace</w:t>
            </w:r>
            <w:proofErr w:type="spellEnd"/>
            <w:r>
              <w:t xml:space="preserve"> of Palestine 2000-2013, USD Millions</w:t>
            </w:r>
            <w:bookmarkEnd w:id="49"/>
          </w:p>
          <w:p w:rsidR="00792401" w:rsidRDefault="00792401" w:rsidP="00792401">
            <w:pPr>
              <w:rPr>
                <w:lang w:eastAsia="pl-PL"/>
              </w:rPr>
            </w:pPr>
            <w:r>
              <w:rPr>
                <w:noProof/>
                <w:lang w:val="it-IT" w:eastAsia="it-IT"/>
              </w:rPr>
              <w:drawing>
                <wp:inline distT="0" distB="0" distL="0" distR="0">
                  <wp:extent cx="3009265" cy="1849755"/>
                  <wp:effectExtent l="0" t="0" r="635" b="0"/>
                  <wp:docPr id="86" name="Chart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p>
          <w:p w:rsidR="00792401" w:rsidRDefault="00792401" w:rsidP="00792401">
            <w:pPr>
              <w:pStyle w:val="Testonormale"/>
              <w:jc w:val="center"/>
              <w:rPr>
                <w:rFonts w:ascii="Times New Roman" w:hAnsi="Times New Roman"/>
                <w:sz w:val="24"/>
                <w:szCs w:val="24"/>
              </w:rPr>
            </w:pPr>
            <w:r>
              <w:rPr>
                <w:rFonts w:ascii="Times New Roman" w:hAnsi="Times New Roman"/>
                <w:i/>
              </w:rPr>
              <w:t>Source: PCBS and DRN elaboration</w:t>
            </w:r>
          </w:p>
        </w:tc>
      </w:tr>
    </w:tbl>
    <w:p w:rsidR="00792401" w:rsidRPr="00460E50" w:rsidRDefault="00792401" w:rsidP="00792401">
      <w:pPr>
        <w:pStyle w:val="Testonormale"/>
        <w:rPr>
          <w:rFonts w:ascii="Arial" w:hAnsi="Arial" w:cs="Arial"/>
          <w:sz w:val="22"/>
          <w:szCs w:val="22"/>
        </w:rPr>
      </w:pPr>
      <w:r w:rsidRPr="00460E50">
        <w:rPr>
          <w:rFonts w:ascii="Arial" w:hAnsi="Arial" w:cs="Arial"/>
          <w:sz w:val="22"/>
          <w:szCs w:val="22"/>
        </w:rPr>
        <w:t xml:space="preserve">Palestine’s export performance has always been weak but it particularly suffered during the Second Intifada. Between 2000 and 2002, exports of goods and services declined by nearly 45 % in real terms (see </w:t>
      </w:r>
      <w:fldSimple w:instr=" REF _Ref356911512 \h  \* MERGEFORMAT ">
        <w:r w:rsidRPr="00460E50">
          <w:rPr>
            <w:rFonts w:ascii="Arial" w:hAnsi="Arial" w:cs="Arial"/>
            <w:sz w:val="22"/>
            <w:szCs w:val="22"/>
          </w:rPr>
          <w:t>Figure 6</w:t>
        </w:r>
      </w:fldSimple>
      <w:r w:rsidRPr="00460E50">
        <w:rPr>
          <w:rFonts w:ascii="Arial" w:hAnsi="Arial" w:cs="Arial"/>
          <w:sz w:val="22"/>
          <w:szCs w:val="22"/>
        </w:rPr>
        <w:t>), falling from 18% to 12.5% of GDP. Since then they have recovered slightly, rising in 2008 to the equivalent to 16 % of GDP and remaining stable. The poor export performance, combined with the need to import almost all consumption goods have resulted in Palestine consistently running large trade deficits. The bulk of the decline occurred in Gaza, where the closures have shut off exports and where there is only a limited domestic market. The high cost of doing business in Palestine and the Israeli restrictions on movement combine to lower the competitiveness of Palestinian businesses. Consequently, only 7 % of manufacturing enterprises in the 2009 Economic Survey reported exporting and exports were only 11 % of total sales.</w:t>
      </w:r>
    </w:p>
    <w:p w:rsidR="00792401" w:rsidRPr="00460E50" w:rsidRDefault="00792401" w:rsidP="00792401">
      <w:pPr>
        <w:pStyle w:val="Testonormale"/>
        <w:rPr>
          <w:rFonts w:ascii="Arial" w:hAnsi="Arial" w:cs="Arial"/>
          <w:sz w:val="22"/>
          <w:szCs w:val="22"/>
        </w:rPr>
      </w:pPr>
    </w:p>
    <w:p w:rsidR="00792401" w:rsidRPr="00460E50" w:rsidRDefault="00792401" w:rsidP="00792401">
      <w:pPr>
        <w:pStyle w:val="Testonormale"/>
        <w:rPr>
          <w:rFonts w:ascii="Arial" w:hAnsi="Arial" w:cs="Arial"/>
          <w:sz w:val="22"/>
          <w:szCs w:val="22"/>
        </w:rPr>
      </w:pPr>
      <w:r w:rsidRPr="00460E50">
        <w:rPr>
          <w:rFonts w:ascii="Arial" w:hAnsi="Arial" w:cs="Arial"/>
          <w:b/>
          <w:color w:val="365F91" w:themeColor="accent1" w:themeShade="BF"/>
          <w:sz w:val="22"/>
          <w:szCs w:val="22"/>
        </w:rPr>
        <w:t xml:space="preserve">Private Sector. </w:t>
      </w:r>
      <w:r w:rsidRPr="00460E50">
        <w:rPr>
          <w:rFonts w:ascii="Arial" w:hAnsi="Arial" w:cs="Arial"/>
          <w:sz w:val="22"/>
          <w:szCs w:val="22"/>
        </w:rPr>
        <w:t>The Palestinian private sector is overwhelmingly dominated by small family owned and managed enterprises. According to the 2007 PCBS enterprise census, the average size of employment in the West Bank establishments was 3 for all enterprises and 4.5 for manufacturing. There were only 57 establishments with more than 100 workers in the entire Palestine and only 26 in the manufacturing sector. Internal trade dominates accounting for more than 40 % of employment, while service activities account for 30 % and industrial activities 22 % of employment</w:t>
      </w:r>
      <w:r w:rsidRPr="00460E50">
        <w:rPr>
          <w:rStyle w:val="Rimandonotaapidipagina"/>
          <w:rFonts w:ascii="Arial" w:hAnsi="Arial" w:cs="Arial"/>
          <w:sz w:val="22"/>
          <w:szCs w:val="22"/>
        </w:rPr>
        <w:footnoteReference w:id="9"/>
      </w:r>
      <w:r w:rsidRPr="00460E50">
        <w:rPr>
          <w:rFonts w:ascii="Arial" w:hAnsi="Arial" w:cs="Arial"/>
          <w:sz w:val="22"/>
          <w:szCs w:val="22"/>
        </w:rPr>
        <w:t xml:space="preserve">. Palestine is specialised in </w:t>
      </w:r>
      <w:proofErr w:type="spellStart"/>
      <w:r w:rsidRPr="00460E50">
        <w:rPr>
          <w:rFonts w:ascii="Arial" w:hAnsi="Arial" w:cs="Arial"/>
          <w:sz w:val="22"/>
          <w:szCs w:val="22"/>
        </w:rPr>
        <w:t>labor</w:t>
      </w:r>
      <w:proofErr w:type="spellEnd"/>
      <w:r w:rsidRPr="00460E50">
        <w:rPr>
          <w:rFonts w:ascii="Arial" w:hAnsi="Arial" w:cs="Arial"/>
          <w:sz w:val="22"/>
          <w:szCs w:val="22"/>
        </w:rPr>
        <w:t xml:space="preserve"> intensive manufacturing with a very low competitive performance, due to the </w:t>
      </w:r>
      <w:proofErr w:type="spellStart"/>
      <w:r w:rsidRPr="00460E50">
        <w:rPr>
          <w:rFonts w:ascii="Arial" w:hAnsi="Arial" w:cs="Arial"/>
          <w:sz w:val="22"/>
          <w:szCs w:val="22"/>
        </w:rPr>
        <w:t>labor</w:t>
      </w:r>
      <w:proofErr w:type="spellEnd"/>
      <w:r w:rsidRPr="00460E50">
        <w:rPr>
          <w:rFonts w:ascii="Arial" w:hAnsi="Arial" w:cs="Arial"/>
          <w:sz w:val="22"/>
          <w:szCs w:val="22"/>
        </w:rPr>
        <w:t xml:space="preserve"> costs relatively higher compared to other countries specialized in same goods and a </w:t>
      </w:r>
      <w:proofErr w:type="spellStart"/>
      <w:r w:rsidRPr="00460E50">
        <w:rPr>
          <w:rFonts w:ascii="Arial" w:hAnsi="Arial" w:cs="Arial"/>
          <w:sz w:val="22"/>
          <w:szCs w:val="22"/>
        </w:rPr>
        <w:t>labor</w:t>
      </w:r>
      <w:proofErr w:type="spellEnd"/>
      <w:r w:rsidRPr="00460E50">
        <w:rPr>
          <w:rFonts w:ascii="Arial" w:hAnsi="Arial" w:cs="Arial"/>
          <w:sz w:val="22"/>
          <w:szCs w:val="22"/>
        </w:rPr>
        <w:t xml:space="preserve"> force scarcely trained and specialised.  </w:t>
      </w:r>
    </w:p>
    <w:p w:rsidR="00792401" w:rsidRDefault="00792401" w:rsidP="00A375EE">
      <w:pPr>
        <w:pStyle w:val="Testonormale"/>
        <w:rPr>
          <w:rFonts w:ascii="Arial" w:hAnsi="Arial" w:cs="Arial"/>
          <w:sz w:val="22"/>
          <w:szCs w:val="22"/>
        </w:rPr>
      </w:pPr>
      <w:r w:rsidRPr="00460E50">
        <w:rPr>
          <w:rFonts w:ascii="Arial" w:hAnsi="Arial" w:cs="Arial"/>
          <w:sz w:val="22"/>
          <w:szCs w:val="22"/>
        </w:rPr>
        <w:t>The lack of land and security remain major impediments to the development of the Palestinian private sector. PA is making a concerted effort to improve the business environment. It has made notable progress, especially in establishing security and stability. However, there remains much to be done as evidenced by Palestine slipping from 133 in the 2010 to 135 in 2011 in the overall Doing Business rankings</w:t>
      </w:r>
      <w:r w:rsidRPr="00460E50">
        <w:rPr>
          <w:rStyle w:val="Rimandonotaapidipagina"/>
          <w:rFonts w:ascii="Arial" w:hAnsi="Arial" w:cs="Arial"/>
          <w:sz w:val="22"/>
          <w:szCs w:val="22"/>
        </w:rPr>
        <w:footnoteReference w:id="10"/>
      </w:r>
      <w:r w:rsidRPr="00460E50">
        <w:rPr>
          <w:rFonts w:ascii="Arial" w:hAnsi="Arial" w:cs="Arial"/>
          <w:sz w:val="22"/>
          <w:szCs w:val="22"/>
        </w:rPr>
        <w:t xml:space="preserve">.  </w:t>
      </w:r>
    </w:p>
    <w:p w:rsidR="00792401" w:rsidRDefault="00792401" w:rsidP="00A375EE">
      <w:pPr>
        <w:pStyle w:val="Testonormale"/>
        <w:rPr>
          <w:rFonts w:ascii="Arial" w:hAnsi="Arial" w:cs="Arial"/>
          <w:sz w:val="22"/>
          <w:szCs w:val="22"/>
        </w:rPr>
      </w:pPr>
    </w:p>
    <w:p w:rsidR="00A375EE" w:rsidRDefault="00A375EE" w:rsidP="00A375EE">
      <w:pPr>
        <w:pStyle w:val="Testonormale"/>
        <w:rPr>
          <w:rFonts w:ascii="Arial" w:hAnsi="Arial" w:cs="Arial"/>
          <w:sz w:val="22"/>
          <w:szCs w:val="22"/>
        </w:rPr>
      </w:pPr>
    </w:p>
    <w:p w:rsidR="00792401" w:rsidRPr="00A375EE" w:rsidRDefault="00792401" w:rsidP="00A375EE">
      <w:pPr>
        <w:spacing w:before="0" w:after="0"/>
        <w:rPr>
          <w:rFonts w:ascii="Arial" w:hAnsi="Arial" w:cs="Arial"/>
          <w:b/>
          <w:caps/>
          <w:color w:val="1F497D" w:themeColor="text2"/>
          <w:sz w:val="22"/>
          <w:szCs w:val="22"/>
          <w:u w:val="single"/>
        </w:rPr>
      </w:pPr>
      <w:bookmarkStart w:id="50" w:name="_Toc359508309"/>
      <w:r w:rsidRPr="00A375EE">
        <w:rPr>
          <w:rFonts w:ascii="Arial" w:hAnsi="Arial" w:cs="Arial"/>
          <w:b/>
          <w:caps/>
          <w:color w:val="1F497D" w:themeColor="text2"/>
          <w:sz w:val="22"/>
          <w:szCs w:val="22"/>
          <w:u w:val="single"/>
        </w:rPr>
        <w:t>Socio - cultural background</w:t>
      </w:r>
      <w:bookmarkEnd w:id="50"/>
    </w:p>
    <w:p w:rsidR="00792401" w:rsidRPr="00460E50" w:rsidRDefault="00792401" w:rsidP="00A375EE">
      <w:pPr>
        <w:pStyle w:val="Testonormale"/>
        <w:rPr>
          <w:rFonts w:ascii="Arial" w:hAnsi="Arial" w:cs="Arial"/>
          <w:b/>
          <w:sz w:val="22"/>
          <w:szCs w:val="22"/>
        </w:rPr>
      </w:pPr>
      <w:bookmarkStart w:id="51" w:name="_Toc294270995"/>
      <w:bookmarkStart w:id="52" w:name="_Toc188860346"/>
    </w:p>
    <w:p w:rsidR="00A375EE" w:rsidRPr="00460E50" w:rsidRDefault="00A375EE" w:rsidP="00A375EE">
      <w:pPr>
        <w:pStyle w:val="Testonormale"/>
        <w:rPr>
          <w:rFonts w:ascii="Arial" w:hAnsi="Arial" w:cs="Arial"/>
          <w:sz w:val="22"/>
          <w:szCs w:val="22"/>
          <w:lang w:val="en-US"/>
        </w:rPr>
      </w:pPr>
      <w:r>
        <w:rPr>
          <w:rFonts w:ascii="Arial" w:hAnsi="Arial" w:cs="Arial"/>
          <w:b/>
          <w:color w:val="1F497D" w:themeColor="text2"/>
          <w:sz w:val="22"/>
          <w:szCs w:val="22"/>
        </w:rPr>
        <w:t xml:space="preserve">Social Development: </w:t>
      </w:r>
      <w:r w:rsidR="00792401" w:rsidRPr="00A375EE">
        <w:rPr>
          <w:rFonts w:ascii="Arial" w:hAnsi="Arial" w:cs="Arial"/>
          <w:b/>
          <w:color w:val="1F497D" w:themeColor="text2"/>
          <w:sz w:val="22"/>
          <w:szCs w:val="22"/>
        </w:rPr>
        <w:t>Education, Health, Social Protection, Food Security, and Payment of Social Sector Salaries</w:t>
      </w:r>
      <w:r>
        <w:rPr>
          <w:rFonts w:ascii="Arial" w:hAnsi="Arial" w:cs="Arial"/>
          <w:b/>
          <w:color w:val="1F497D" w:themeColor="text2"/>
          <w:sz w:val="22"/>
          <w:szCs w:val="22"/>
        </w:rPr>
        <w:t xml:space="preserve">. </w:t>
      </w:r>
      <w:r w:rsidRPr="00460E50">
        <w:rPr>
          <w:rFonts w:ascii="Arial" w:hAnsi="Arial" w:cs="Arial"/>
          <w:sz w:val="22"/>
          <w:szCs w:val="22"/>
          <w:lang w:val="en-US"/>
        </w:rPr>
        <w:t xml:space="preserve">This </w:t>
      </w:r>
      <w:r>
        <w:rPr>
          <w:rFonts w:ascii="Arial" w:hAnsi="Arial" w:cs="Arial"/>
          <w:sz w:val="22"/>
          <w:szCs w:val="22"/>
          <w:lang w:val="en-US"/>
        </w:rPr>
        <w:t>section</w:t>
      </w:r>
      <w:r w:rsidRPr="00460E50">
        <w:rPr>
          <w:rFonts w:ascii="Arial" w:hAnsi="Arial" w:cs="Arial"/>
          <w:sz w:val="22"/>
          <w:szCs w:val="22"/>
          <w:lang w:val="en-US"/>
        </w:rPr>
        <w:t xml:space="preserve"> provides a brief overview of the performance of the social sectors, which have, over past years, received huge support from the EU and donor community.  By far the largest proportion of PEGASE funds are directed at payment of PA salaries and support for social protection.  The bulk of PA employees are in the education and health sectors.  Hence by providing PEGASE support, the EU is invested in education, health and social protection. – the EU directly pays the salaries of about one third of all teachers and health workers. </w:t>
      </w:r>
    </w:p>
    <w:p w:rsidR="00792401" w:rsidRPr="00A375EE" w:rsidRDefault="00792401" w:rsidP="00A375EE">
      <w:pPr>
        <w:pStyle w:val="Testonormale"/>
        <w:rPr>
          <w:rFonts w:ascii="Times New Roman" w:hAnsi="Times New Roman"/>
          <w:b/>
          <w:sz w:val="24"/>
          <w:szCs w:val="24"/>
          <w:lang w:val="en-US"/>
        </w:rPr>
      </w:pPr>
    </w:p>
    <w:tbl>
      <w:tblPr>
        <w:tblStyle w:val="Grigliatabella"/>
        <w:tblpPr w:leftFromText="141" w:rightFromText="141" w:vertAnchor="text" w:horzAnchor="margin" w:tblpXSpec="right" w:tblpY="115"/>
        <w:tblOverlap w:val="never"/>
        <w:tblW w:w="0" w:type="auto"/>
        <w:tblBorders>
          <w:insideH w:val="single" w:sz="6" w:space="0" w:color="auto"/>
          <w:insideV w:val="single" w:sz="6" w:space="0" w:color="auto"/>
        </w:tblBorders>
        <w:tblLook w:val="04A0"/>
      </w:tblPr>
      <w:tblGrid>
        <w:gridCol w:w="4086"/>
      </w:tblGrid>
      <w:tr w:rsidR="00A375EE" w:rsidTr="00A375EE">
        <w:trPr>
          <w:trHeight w:val="3722"/>
        </w:trPr>
        <w:tc>
          <w:tcPr>
            <w:tcW w:w="3824" w:type="dxa"/>
            <w:hideMark/>
          </w:tcPr>
          <w:p w:rsidR="00A375EE" w:rsidRDefault="00A375EE" w:rsidP="00A375EE">
            <w:pPr>
              <w:pStyle w:val="Didascalia"/>
              <w:framePr w:hSpace="0" w:wrap="auto" w:vAnchor="margin" w:hAnchor="text" w:xAlign="left" w:yAlign="inline"/>
            </w:pPr>
            <w:bookmarkStart w:id="53" w:name="_Ref358904018"/>
            <w:bookmarkStart w:id="54" w:name="_Toc359508350"/>
            <w:r>
              <w:lastRenderedPageBreak/>
              <w:t>Figure</w:t>
            </w:r>
            <w:bookmarkEnd w:id="53"/>
            <w:r>
              <w:t xml:space="preserve"> 4: Unemployment in the West Bank and Gaza compared to selected countries</w:t>
            </w:r>
            <w:bookmarkEnd w:id="54"/>
          </w:p>
          <w:p w:rsidR="00A375EE" w:rsidRDefault="00A375EE" w:rsidP="00A375EE">
            <w:pPr>
              <w:autoSpaceDE w:val="0"/>
              <w:autoSpaceDN w:val="0"/>
              <w:adjustRightInd w:val="0"/>
              <w:spacing w:before="0" w:after="0"/>
              <w:rPr>
                <w:rFonts w:asciiTheme="minorHAnsi" w:hAnsiTheme="minorHAnsi" w:cstheme="minorHAnsi"/>
                <w:bCs/>
                <w:color w:val="000000"/>
                <w:sz w:val="24"/>
                <w:szCs w:val="24"/>
                <w:lang w:val="en-GB"/>
              </w:rPr>
            </w:pPr>
            <w:r>
              <w:rPr>
                <w:rFonts w:asciiTheme="minorHAnsi" w:hAnsiTheme="minorHAnsi" w:cstheme="minorHAnsi"/>
                <w:noProof/>
                <w:color w:val="000000"/>
                <w:sz w:val="24"/>
                <w:szCs w:val="24"/>
                <w:lang w:val="it-IT" w:eastAsia="it-IT"/>
              </w:rPr>
              <w:drawing>
                <wp:inline distT="0" distB="0" distL="0" distR="0">
                  <wp:extent cx="2431016" cy="2486025"/>
                  <wp:effectExtent l="19050" t="0" r="7384" b="0"/>
                  <wp:docPr id="2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31016" cy="2486025"/>
                          </a:xfrm>
                          <a:prstGeom prst="rect">
                            <a:avLst/>
                          </a:prstGeom>
                          <a:noFill/>
                          <a:ln>
                            <a:noFill/>
                          </a:ln>
                        </pic:spPr>
                      </pic:pic>
                    </a:graphicData>
                  </a:graphic>
                </wp:inline>
              </w:drawing>
            </w:r>
          </w:p>
          <w:p w:rsidR="00A375EE" w:rsidRPr="00A375EE" w:rsidRDefault="00A375EE" w:rsidP="00A375EE">
            <w:pPr>
              <w:autoSpaceDE w:val="0"/>
              <w:autoSpaceDN w:val="0"/>
              <w:adjustRightInd w:val="0"/>
              <w:spacing w:before="0" w:after="0"/>
              <w:rPr>
                <w:rFonts w:ascii="Arial" w:hAnsi="Arial" w:cs="Arial"/>
                <w:bCs/>
                <w:sz w:val="24"/>
                <w:szCs w:val="24"/>
                <w:lang w:val="en-GB"/>
              </w:rPr>
            </w:pPr>
            <w:r w:rsidRPr="00A375EE">
              <w:rPr>
                <w:rFonts w:ascii="Arial" w:hAnsi="Arial" w:cs="Arial"/>
                <w:i/>
                <w:sz w:val="18"/>
                <w:szCs w:val="18"/>
              </w:rPr>
              <w:t>Source : West Bank and Gaza coping with conflict? Poverty and inclusion in the West Bank and Gaza - WB report No. 61293 – July 29 2011</w:t>
            </w:r>
          </w:p>
        </w:tc>
      </w:tr>
    </w:tbl>
    <w:p w:rsidR="00792401" w:rsidRPr="00460E50" w:rsidRDefault="00792401" w:rsidP="00792401">
      <w:pPr>
        <w:pStyle w:val="Default"/>
        <w:spacing w:before="0" w:after="0"/>
        <w:rPr>
          <w:rFonts w:ascii="Arial" w:hAnsi="Arial" w:cs="Arial"/>
          <w:bCs/>
          <w:sz w:val="22"/>
          <w:szCs w:val="22"/>
        </w:rPr>
      </w:pPr>
      <w:r w:rsidRPr="00511D4F">
        <w:rPr>
          <w:rFonts w:ascii="Arial" w:hAnsi="Arial" w:cs="Arial"/>
          <w:b/>
          <w:color w:val="1F497D" w:themeColor="text2"/>
          <w:sz w:val="22"/>
          <w:szCs w:val="22"/>
        </w:rPr>
        <w:t>Socio-economic situation</w:t>
      </w:r>
      <w:r w:rsidR="00511D4F" w:rsidRPr="00511D4F">
        <w:rPr>
          <w:rFonts w:ascii="Arial" w:hAnsi="Arial" w:cs="Arial"/>
          <w:b/>
          <w:color w:val="auto"/>
          <w:sz w:val="22"/>
          <w:szCs w:val="22"/>
        </w:rPr>
        <w:t>.</w:t>
      </w:r>
      <w:r w:rsidRPr="00460E50">
        <w:rPr>
          <w:rFonts w:ascii="Arial" w:hAnsi="Arial" w:cs="Arial"/>
          <w:b/>
          <w:i/>
          <w:color w:val="auto"/>
          <w:sz w:val="22"/>
          <w:szCs w:val="22"/>
        </w:rPr>
        <w:t xml:space="preserve"> </w:t>
      </w:r>
      <w:r w:rsidRPr="00460E50">
        <w:rPr>
          <w:rFonts w:ascii="Arial" w:hAnsi="Arial" w:cs="Arial"/>
          <w:bCs/>
          <w:color w:val="auto"/>
          <w:sz w:val="22"/>
          <w:szCs w:val="22"/>
        </w:rPr>
        <w:t>Unemployment</w:t>
      </w:r>
      <w:r w:rsidRPr="00460E50">
        <w:rPr>
          <w:rFonts w:ascii="Arial" w:hAnsi="Arial" w:cs="Arial"/>
          <w:bCs/>
          <w:sz w:val="22"/>
          <w:szCs w:val="22"/>
        </w:rPr>
        <w:t xml:space="preserve"> in the Palestinian Territories continues to be alarmingly high compared to that of other countries</w:t>
      </w:r>
      <w:r w:rsidRPr="00460E50">
        <w:rPr>
          <w:rStyle w:val="Rimandonotaapidipagina"/>
          <w:rFonts w:ascii="Arial" w:hAnsi="Arial" w:cs="Arial"/>
          <w:bCs/>
          <w:sz w:val="22"/>
          <w:szCs w:val="22"/>
        </w:rPr>
        <w:footnoteReference w:id="11"/>
      </w:r>
      <w:r w:rsidRPr="00460E50">
        <w:rPr>
          <w:rFonts w:ascii="Arial" w:hAnsi="Arial" w:cs="Arial"/>
          <w:bCs/>
          <w:sz w:val="22"/>
          <w:szCs w:val="22"/>
        </w:rPr>
        <w:t xml:space="preserve">.  The overall unemployment rate reached 22.9% in 2012.  The unemployment rate in Gaza continues to be amongst the highest in the world at around 32.2%. </w:t>
      </w:r>
    </w:p>
    <w:p w:rsidR="00792401" w:rsidRPr="00460E50" w:rsidRDefault="00792401" w:rsidP="00792401">
      <w:pPr>
        <w:pStyle w:val="Default"/>
        <w:spacing w:before="0" w:after="0"/>
        <w:rPr>
          <w:rFonts w:ascii="Arial" w:hAnsi="Arial" w:cs="Arial"/>
          <w:bCs/>
          <w:sz w:val="22"/>
          <w:szCs w:val="22"/>
        </w:rPr>
      </w:pPr>
    </w:p>
    <w:tbl>
      <w:tblPr>
        <w:tblStyle w:val="Grigliatabella"/>
        <w:tblpPr w:leftFromText="141" w:rightFromText="141" w:vertAnchor="text" w:horzAnchor="margin" w:tblpY="1637"/>
        <w:tblOverlap w:val="never"/>
        <w:tblW w:w="2811" w:type="pct"/>
        <w:tblBorders>
          <w:insideH w:val="single" w:sz="6" w:space="0" w:color="auto"/>
          <w:insideV w:val="single" w:sz="6" w:space="0" w:color="auto"/>
        </w:tblBorders>
        <w:tblLook w:val="04A0"/>
      </w:tblPr>
      <w:tblGrid>
        <w:gridCol w:w="5540"/>
      </w:tblGrid>
      <w:tr w:rsidR="00792401" w:rsidTr="00C74BD8">
        <w:trPr>
          <w:trHeight w:val="2601"/>
        </w:trPr>
        <w:tc>
          <w:tcPr>
            <w:tcW w:w="5000" w:type="pct"/>
            <w:hideMark/>
          </w:tcPr>
          <w:p w:rsidR="00792401" w:rsidRDefault="00792401" w:rsidP="00792401">
            <w:pPr>
              <w:pStyle w:val="Didascalia"/>
              <w:framePr w:hSpace="0" w:wrap="auto" w:vAnchor="margin" w:hAnchor="text" w:xAlign="left" w:yAlign="inline"/>
            </w:pPr>
            <w:r>
              <w:t xml:space="preserve">Table </w:t>
            </w:r>
            <w:fldSimple w:instr=" SEQ Table \* ARABIC ">
              <w:r>
                <w:rPr>
                  <w:noProof/>
                </w:rPr>
                <w:t>1</w:t>
              </w:r>
            </w:fldSimple>
            <w:r>
              <w:t xml:space="preserve">: </w:t>
            </w:r>
            <w:proofErr w:type="spellStart"/>
            <w:r>
              <w:t>Labour</w:t>
            </w:r>
            <w:proofErr w:type="spellEnd"/>
            <w:r>
              <w:t xml:space="preserve"> Force Statistics (at the end of 2012) - %</w:t>
            </w:r>
          </w:p>
          <w:tbl>
            <w:tblPr>
              <w:tblStyle w:val="Grigliatabella"/>
              <w:tblpPr w:leftFromText="141" w:rightFromText="141" w:vertAnchor="text" w:tblpY="1"/>
              <w:tblOverlap w:val="never"/>
              <w:tblW w:w="5194" w:type="dxa"/>
              <w:tblInd w:w="11" w:type="dxa"/>
              <w:tblBorders>
                <w:top w:val="single" w:sz="12" w:space="0" w:color="1F497D" w:themeColor="text2"/>
                <w:left w:val="single" w:sz="12" w:space="0" w:color="1F497D" w:themeColor="text2"/>
                <w:bottom w:val="single" w:sz="12" w:space="0" w:color="1F497D" w:themeColor="text2"/>
                <w:right w:val="single" w:sz="12" w:space="0" w:color="1F497D" w:themeColor="text2"/>
                <w:insideH w:val="single" w:sz="6" w:space="0" w:color="1F497D" w:themeColor="text2"/>
                <w:insideV w:val="none" w:sz="0" w:space="0" w:color="auto"/>
              </w:tblBorders>
              <w:tblLook w:val="04A0"/>
            </w:tblPr>
            <w:tblGrid>
              <w:gridCol w:w="3074"/>
              <w:gridCol w:w="942"/>
              <w:gridCol w:w="589"/>
              <w:gridCol w:w="589"/>
            </w:tblGrid>
            <w:tr w:rsidR="00792401" w:rsidRPr="00A375EE" w:rsidTr="00C74BD8">
              <w:trPr>
                <w:trHeight w:val="201"/>
              </w:trPr>
              <w:tc>
                <w:tcPr>
                  <w:tcW w:w="0" w:type="auto"/>
                  <w:tcBorders>
                    <w:top w:val="single" w:sz="12" w:space="0" w:color="1F497D" w:themeColor="text2"/>
                    <w:left w:val="single" w:sz="12" w:space="0" w:color="1F497D" w:themeColor="text2"/>
                    <w:bottom w:val="single" w:sz="6" w:space="0" w:color="1F497D" w:themeColor="text2"/>
                    <w:right w:val="nil"/>
                  </w:tcBorders>
                  <w:shd w:val="clear" w:color="auto" w:fill="1F497D" w:themeFill="text2"/>
                  <w:vAlign w:val="center"/>
                </w:tcPr>
                <w:p w:rsidR="00792401" w:rsidRPr="00A375EE" w:rsidRDefault="00792401" w:rsidP="00792401">
                  <w:pPr>
                    <w:spacing w:before="0" w:after="0"/>
                    <w:jc w:val="center"/>
                    <w:rPr>
                      <w:rFonts w:ascii="Arial" w:hAnsi="Arial" w:cs="Arial"/>
                      <w:b/>
                      <w:color w:val="FFFFFF" w:themeColor="background1"/>
                      <w:sz w:val="18"/>
                      <w:szCs w:val="18"/>
                      <w:lang w:val="en-GB"/>
                    </w:rPr>
                  </w:pPr>
                </w:p>
              </w:tc>
              <w:tc>
                <w:tcPr>
                  <w:tcW w:w="0" w:type="auto"/>
                  <w:tcBorders>
                    <w:top w:val="single" w:sz="12" w:space="0" w:color="1F497D" w:themeColor="text2"/>
                    <w:left w:val="nil"/>
                    <w:bottom w:val="single" w:sz="6" w:space="0" w:color="1F497D" w:themeColor="text2"/>
                    <w:right w:val="nil"/>
                  </w:tcBorders>
                  <w:shd w:val="clear" w:color="auto" w:fill="1F497D" w:themeFill="text2"/>
                  <w:vAlign w:val="center"/>
                  <w:hideMark/>
                </w:tcPr>
                <w:p w:rsidR="00792401" w:rsidRPr="00A375EE" w:rsidRDefault="00792401" w:rsidP="00792401">
                  <w:pPr>
                    <w:spacing w:before="0" w:after="0"/>
                    <w:jc w:val="center"/>
                    <w:rPr>
                      <w:rFonts w:ascii="Arial" w:hAnsi="Arial" w:cs="Arial"/>
                      <w:b/>
                      <w:color w:val="FFFFFF" w:themeColor="background1"/>
                      <w:sz w:val="18"/>
                      <w:szCs w:val="18"/>
                      <w:lang w:val="en-GB"/>
                    </w:rPr>
                  </w:pPr>
                  <w:r w:rsidRPr="00A375EE">
                    <w:rPr>
                      <w:rFonts w:ascii="Arial" w:hAnsi="Arial" w:cs="Arial"/>
                      <w:b/>
                      <w:color w:val="FFFFFF" w:themeColor="background1"/>
                      <w:sz w:val="18"/>
                      <w:szCs w:val="18"/>
                      <w:lang w:val="en-GB"/>
                    </w:rPr>
                    <w:t>WB&amp;GS</w:t>
                  </w:r>
                </w:p>
              </w:tc>
              <w:tc>
                <w:tcPr>
                  <w:tcW w:w="0" w:type="auto"/>
                  <w:tcBorders>
                    <w:top w:val="single" w:sz="12" w:space="0" w:color="1F497D" w:themeColor="text2"/>
                    <w:left w:val="nil"/>
                    <w:bottom w:val="single" w:sz="6" w:space="0" w:color="1F497D" w:themeColor="text2"/>
                    <w:right w:val="nil"/>
                  </w:tcBorders>
                  <w:shd w:val="clear" w:color="auto" w:fill="1F497D" w:themeFill="text2"/>
                  <w:vAlign w:val="center"/>
                  <w:hideMark/>
                </w:tcPr>
                <w:p w:rsidR="00792401" w:rsidRPr="00A375EE" w:rsidRDefault="00792401" w:rsidP="00792401">
                  <w:pPr>
                    <w:spacing w:before="0" w:after="0"/>
                    <w:jc w:val="center"/>
                    <w:rPr>
                      <w:rFonts w:ascii="Arial" w:hAnsi="Arial" w:cs="Arial"/>
                      <w:b/>
                      <w:color w:val="FFFFFF" w:themeColor="background1"/>
                      <w:sz w:val="18"/>
                      <w:szCs w:val="18"/>
                      <w:lang w:val="en-GB"/>
                    </w:rPr>
                  </w:pPr>
                  <w:r w:rsidRPr="00A375EE">
                    <w:rPr>
                      <w:rFonts w:ascii="Arial" w:hAnsi="Arial" w:cs="Arial"/>
                      <w:b/>
                      <w:color w:val="FFFFFF" w:themeColor="background1"/>
                      <w:sz w:val="18"/>
                      <w:szCs w:val="18"/>
                      <w:lang w:val="en-GB"/>
                    </w:rPr>
                    <w:t>WB</w:t>
                  </w:r>
                </w:p>
              </w:tc>
              <w:tc>
                <w:tcPr>
                  <w:tcW w:w="0" w:type="auto"/>
                  <w:tcBorders>
                    <w:top w:val="single" w:sz="12" w:space="0" w:color="1F497D" w:themeColor="text2"/>
                    <w:left w:val="nil"/>
                    <w:bottom w:val="single" w:sz="6" w:space="0" w:color="1F497D" w:themeColor="text2"/>
                    <w:right w:val="single" w:sz="12" w:space="0" w:color="1F497D" w:themeColor="text2"/>
                  </w:tcBorders>
                  <w:shd w:val="clear" w:color="auto" w:fill="1F497D" w:themeFill="text2"/>
                  <w:vAlign w:val="center"/>
                  <w:hideMark/>
                </w:tcPr>
                <w:p w:rsidR="00792401" w:rsidRPr="00A375EE" w:rsidRDefault="00792401" w:rsidP="00792401">
                  <w:pPr>
                    <w:spacing w:before="0" w:after="0"/>
                    <w:jc w:val="center"/>
                    <w:rPr>
                      <w:rFonts w:ascii="Arial" w:hAnsi="Arial" w:cs="Arial"/>
                      <w:b/>
                      <w:color w:val="FFFFFF" w:themeColor="background1"/>
                      <w:sz w:val="18"/>
                      <w:szCs w:val="18"/>
                      <w:lang w:val="en-GB"/>
                    </w:rPr>
                  </w:pPr>
                  <w:r w:rsidRPr="00A375EE">
                    <w:rPr>
                      <w:rFonts w:ascii="Arial" w:hAnsi="Arial" w:cs="Arial"/>
                      <w:b/>
                      <w:color w:val="FFFFFF" w:themeColor="background1"/>
                      <w:sz w:val="18"/>
                      <w:szCs w:val="18"/>
                      <w:lang w:val="en-GB"/>
                    </w:rPr>
                    <w:t>GS</w:t>
                  </w:r>
                </w:p>
              </w:tc>
            </w:tr>
            <w:tr w:rsidR="00792401" w:rsidRPr="00A375EE" w:rsidTr="00C74BD8">
              <w:trPr>
                <w:trHeight w:val="238"/>
              </w:trPr>
              <w:tc>
                <w:tcPr>
                  <w:tcW w:w="0" w:type="auto"/>
                  <w:tcBorders>
                    <w:top w:val="single" w:sz="6" w:space="0" w:color="1F497D" w:themeColor="text2"/>
                    <w:left w:val="single" w:sz="12" w:space="0" w:color="1F497D" w:themeColor="text2"/>
                    <w:bottom w:val="single" w:sz="6" w:space="0" w:color="1F497D" w:themeColor="text2"/>
                    <w:right w:val="nil"/>
                  </w:tcBorders>
                  <w:vAlign w:val="center"/>
                  <w:hideMark/>
                </w:tcPr>
                <w:p w:rsidR="00792401" w:rsidRPr="00A375EE" w:rsidRDefault="00792401" w:rsidP="00792401">
                  <w:pPr>
                    <w:pStyle w:val="TableParagraph"/>
                    <w:ind w:left="108"/>
                    <w:jc w:val="center"/>
                    <w:rPr>
                      <w:rFonts w:ascii="Arial" w:eastAsia="Times New Roman" w:hAnsi="Arial" w:cs="Arial"/>
                      <w:sz w:val="18"/>
                      <w:szCs w:val="18"/>
                      <w:lang w:val="en-GB"/>
                    </w:rPr>
                  </w:pPr>
                  <w:r w:rsidRPr="00A375EE">
                    <w:rPr>
                      <w:rFonts w:ascii="Arial" w:eastAsia="Times New Roman" w:hAnsi="Arial" w:cs="Arial"/>
                      <w:sz w:val="18"/>
                      <w:szCs w:val="18"/>
                      <w:lang w:val="en-GB"/>
                    </w:rPr>
                    <w:t>U</w:t>
                  </w:r>
                  <w:r w:rsidRPr="00A375EE">
                    <w:rPr>
                      <w:rFonts w:ascii="Arial" w:eastAsia="Times New Roman" w:hAnsi="Arial" w:cs="Arial"/>
                      <w:spacing w:val="-1"/>
                      <w:sz w:val="18"/>
                      <w:szCs w:val="18"/>
                      <w:lang w:val="en-GB"/>
                    </w:rPr>
                    <w:t>n</w:t>
                  </w:r>
                  <w:r w:rsidRPr="00A375EE">
                    <w:rPr>
                      <w:rFonts w:ascii="Arial" w:eastAsia="Times New Roman" w:hAnsi="Arial" w:cs="Arial"/>
                      <w:spacing w:val="2"/>
                      <w:sz w:val="18"/>
                      <w:szCs w:val="18"/>
                      <w:lang w:val="en-GB"/>
                    </w:rPr>
                    <w:t>e</w:t>
                  </w:r>
                  <w:r w:rsidRPr="00A375EE">
                    <w:rPr>
                      <w:rFonts w:ascii="Arial" w:eastAsia="Times New Roman" w:hAnsi="Arial" w:cs="Arial"/>
                      <w:spacing w:val="-5"/>
                      <w:sz w:val="18"/>
                      <w:szCs w:val="18"/>
                      <w:lang w:val="en-GB"/>
                    </w:rPr>
                    <w:t>m</w:t>
                  </w:r>
                  <w:r w:rsidRPr="00A375EE">
                    <w:rPr>
                      <w:rFonts w:ascii="Arial" w:eastAsia="Times New Roman" w:hAnsi="Arial" w:cs="Arial"/>
                      <w:spacing w:val="1"/>
                      <w:sz w:val="18"/>
                      <w:szCs w:val="18"/>
                      <w:lang w:val="en-GB"/>
                    </w:rPr>
                    <w:t>p</w:t>
                  </w:r>
                  <w:r w:rsidRPr="00A375EE">
                    <w:rPr>
                      <w:rFonts w:ascii="Arial" w:eastAsia="Times New Roman" w:hAnsi="Arial" w:cs="Arial"/>
                      <w:sz w:val="18"/>
                      <w:szCs w:val="18"/>
                      <w:lang w:val="en-GB"/>
                    </w:rPr>
                    <w:t>l</w:t>
                  </w:r>
                  <w:r w:rsidRPr="00A375EE">
                    <w:rPr>
                      <w:rFonts w:ascii="Arial" w:eastAsia="Times New Roman" w:hAnsi="Arial" w:cs="Arial"/>
                      <w:spacing w:val="3"/>
                      <w:sz w:val="18"/>
                      <w:szCs w:val="18"/>
                      <w:lang w:val="en-GB"/>
                    </w:rPr>
                    <w:t>o</w:t>
                  </w:r>
                  <w:r w:rsidRPr="00A375EE">
                    <w:rPr>
                      <w:rFonts w:ascii="Arial" w:eastAsia="Times New Roman" w:hAnsi="Arial" w:cs="Arial"/>
                      <w:spacing w:val="1"/>
                      <w:sz w:val="18"/>
                      <w:szCs w:val="18"/>
                      <w:lang w:val="en-GB"/>
                    </w:rPr>
                    <w:t>y</w:t>
                  </w:r>
                  <w:r w:rsidRPr="00A375EE">
                    <w:rPr>
                      <w:rFonts w:ascii="Arial" w:eastAsia="Times New Roman" w:hAnsi="Arial" w:cs="Arial"/>
                      <w:spacing w:val="-2"/>
                      <w:sz w:val="18"/>
                      <w:szCs w:val="18"/>
                      <w:lang w:val="en-GB"/>
                    </w:rPr>
                    <w:t>m</w:t>
                  </w:r>
                  <w:r w:rsidRPr="00A375EE">
                    <w:rPr>
                      <w:rFonts w:ascii="Arial" w:eastAsia="Times New Roman" w:hAnsi="Arial" w:cs="Arial"/>
                      <w:sz w:val="18"/>
                      <w:szCs w:val="18"/>
                      <w:lang w:val="en-GB"/>
                    </w:rPr>
                    <w:t>e</w:t>
                  </w:r>
                  <w:r w:rsidRPr="00A375EE">
                    <w:rPr>
                      <w:rFonts w:ascii="Arial" w:eastAsia="Times New Roman" w:hAnsi="Arial" w:cs="Arial"/>
                      <w:spacing w:val="-1"/>
                      <w:sz w:val="18"/>
                      <w:szCs w:val="18"/>
                      <w:lang w:val="en-GB"/>
                    </w:rPr>
                    <w:t>n</w:t>
                  </w:r>
                  <w:r w:rsidRPr="00A375EE">
                    <w:rPr>
                      <w:rFonts w:ascii="Arial" w:eastAsia="Times New Roman" w:hAnsi="Arial" w:cs="Arial"/>
                      <w:sz w:val="18"/>
                      <w:szCs w:val="18"/>
                      <w:lang w:val="en-GB"/>
                    </w:rPr>
                    <w:t>t Rate</w:t>
                  </w:r>
                </w:p>
              </w:tc>
              <w:tc>
                <w:tcPr>
                  <w:tcW w:w="0" w:type="auto"/>
                  <w:tcBorders>
                    <w:top w:val="single" w:sz="6" w:space="0" w:color="1F497D" w:themeColor="text2"/>
                    <w:left w:val="nil"/>
                    <w:bottom w:val="single" w:sz="6" w:space="0" w:color="1F497D" w:themeColor="text2"/>
                    <w:right w:val="nil"/>
                  </w:tcBorders>
                  <w:vAlign w:val="center"/>
                  <w:hideMark/>
                </w:tcPr>
                <w:p w:rsidR="00792401" w:rsidRPr="00A375EE" w:rsidRDefault="00792401" w:rsidP="00792401">
                  <w:pPr>
                    <w:spacing w:before="0" w:after="0"/>
                    <w:jc w:val="center"/>
                    <w:rPr>
                      <w:rFonts w:ascii="Arial" w:hAnsi="Arial" w:cs="Arial"/>
                      <w:sz w:val="18"/>
                      <w:szCs w:val="18"/>
                      <w:lang w:val="en-GB"/>
                    </w:rPr>
                  </w:pPr>
                  <w:r w:rsidRPr="00A375EE">
                    <w:rPr>
                      <w:rFonts w:ascii="Arial" w:hAnsi="Arial" w:cs="Arial"/>
                      <w:sz w:val="18"/>
                      <w:szCs w:val="18"/>
                      <w:lang w:val="en-GB"/>
                    </w:rPr>
                    <w:t>22.0</w:t>
                  </w:r>
                </w:p>
              </w:tc>
              <w:tc>
                <w:tcPr>
                  <w:tcW w:w="0" w:type="auto"/>
                  <w:tcBorders>
                    <w:top w:val="single" w:sz="6" w:space="0" w:color="1F497D" w:themeColor="text2"/>
                    <w:left w:val="nil"/>
                    <w:bottom w:val="single" w:sz="6" w:space="0" w:color="1F497D" w:themeColor="text2"/>
                    <w:right w:val="nil"/>
                  </w:tcBorders>
                  <w:vAlign w:val="center"/>
                  <w:hideMark/>
                </w:tcPr>
                <w:p w:rsidR="00792401" w:rsidRPr="00A375EE" w:rsidRDefault="00792401" w:rsidP="00792401">
                  <w:pPr>
                    <w:spacing w:before="0" w:after="0"/>
                    <w:jc w:val="center"/>
                    <w:rPr>
                      <w:rFonts w:ascii="Arial" w:hAnsi="Arial" w:cs="Arial"/>
                      <w:sz w:val="18"/>
                      <w:szCs w:val="18"/>
                      <w:lang w:val="en-GB"/>
                    </w:rPr>
                  </w:pPr>
                  <w:r w:rsidRPr="00A375EE">
                    <w:rPr>
                      <w:rFonts w:ascii="Arial" w:hAnsi="Arial" w:cs="Arial"/>
                      <w:sz w:val="18"/>
                      <w:szCs w:val="18"/>
                      <w:lang w:val="en-GB"/>
                    </w:rPr>
                    <w:t>18.3</w:t>
                  </w:r>
                </w:p>
              </w:tc>
              <w:tc>
                <w:tcPr>
                  <w:tcW w:w="0" w:type="auto"/>
                  <w:tcBorders>
                    <w:top w:val="single" w:sz="6" w:space="0" w:color="1F497D" w:themeColor="text2"/>
                    <w:left w:val="nil"/>
                    <w:bottom w:val="single" w:sz="6" w:space="0" w:color="1F497D" w:themeColor="text2"/>
                    <w:right w:val="single" w:sz="12" w:space="0" w:color="1F497D" w:themeColor="text2"/>
                  </w:tcBorders>
                  <w:vAlign w:val="center"/>
                  <w:hideMark/>
                </w:tcPr>
                <w:p w:rsidR="00792401" w:rsidRPr="00A375EE" w:rsidRDefault="00792401" w:rsidP="00792401">
                  <w:pPr>
                    <w:spacing w:before="0" w:after="0"/>
                    <w:jc w:val="center"/>
                    <w:rPr>
                      <w:rFonts w:ascii="Arial" w:hAnsi="Arial" w:cs="Arial"/>
                      <w:sz w:val="18"/>
                      <w:szCs w:val="18"/>
                      <w:lang w:val="en-GB"/>
                    </w:rPr>
                  </w:pPr>
                  <w:r w:rsidRPr="00A375EE">
                    <w:rPr>
                      <w:rFonts w:ascii="Arial" w:hAnsi="Arial" w:cs="Arial"/>
                      <w:sz w:val="18"/>
                      <w:szCs w:val="18"/>
                      <w:lang w:val="en-GB"/>
                    </w:rPr>
                    <w:t>32.2</w:t>
                  </w:r>
                </w:p>
              </w:tc>
            </w:tr>
            <w:tr w:rsidR="00792401" w:rsidRPr="00A375EE" w:rsidTr="00C74BD8">
              <w:trPr>
                <w:trHeight w:val="258"/>
              </w:trPr>
              <w:tc>
                <w:tcPr>
                  <w:tcW w:w="0" w:type="auto"/>
                  <w:tcBorders>
                    <w:top w:val="single" w:sz="6" w:space="0" w:color="1F497D" w:themeColor="text2"/>
                    <w:left w:val="single" w:sz="12" w:space="0" w:color="1F497D" w:themeColor="text2"/>
                    <w:bottom w:val="single" w:sz="6" w:space="0" w:color="1F497D" w:themeColor="text2"/>
                    <w:right w:val="nil"/>
                  </w:tcBorders>
                  <w:vAlign w:val="center"/>
                  <w:hideMark/>
                </w:tcPr>
                <w:p w:rsidR="00792401" w:rsidRPr="00A375EE" w:rsidRDefault="00792401" w:rsidP="00792401">
                  <w:pPr>
                    <w:pStyle w:val="TableParagraph"/>
                    <w:ind w:left="108"/>
                    <w:jc w:val="center"/>
                    <w:rPr>
                      <w:rFonts w:ascii="Arial" w:eastAsia="Times New Roman" w:hAnsi="Arial" w:cs="Arial"/>
                      <w:sz w:val="18"/>
                      <w:szCs w:val="18"/>
                      <w:lang w:val="en-GB"/>
                    </w:rPr>
                  </w:pPr>
                  <w:r w:rsidRPr="00A375EE">
                    <w:rPr>
                      <w:rFonts w:ascii="Arial" w:eastAsia="Times New Roman" w:hAnsi="Arial" w:cs="Arial"/>
                      <w:spacing w:val="-2"/>
                      <w:sz w:val="18"/>
                      <w:szCs w:val="18"/>
                      <w:lang w:val="en-GB"/>
                    </w:rPr>
                    <w:t>L</w:t>
                  </w:r>
                  <w:r w:rsidRPr="00A375EE">
                    <w:rPr>
                      <w:rFonts w:ascii="Arial" w:eastAsia="Times New Roman" w:hAnsi="Arial" w:cs="Arial"/>
                      <w:sz w:val="18"/>
                      <w:szCs w:val="18"/>
                      <w:lang w:val="en-GB"/>
                    </w:rPr>
                    <w:t>a</w:t>
                  </w:r>
                  <w:r w:rsidRPr="00A375EE">
                    <w:rPr>
                      <w:rFonts w:ascii="Arial" w:eastAsia="Times New Roman" w:hAnsi="Arial" w:cs="Arial"/>
                      <w:spacing w:val="1"/>
                      <w:sz w:val="18"/>
                      <w:szCs w:val="18"/>
                      <w:lang w:val="en-GB"/>
                    </w:rPr>
                    <w:t>bou</w:t>
                  </w:r>
                  <w:r w:rsidRPr="00A375EE">
                    <w:rPr>
                      <w:rFonts w:ascii="Arial" w:eastAsia="Times New Roman" w:hAnsi="Arial" w:cs="Arial"/>
                      <w:sz w:val="18"/>
                      <w:szCs w:val="18"/>
                      <w:lang w:val="en-GB"/>
                    </w:rPr>
                    <w:t xml:space="preserve">r Force </w:t>
                  </w:r>
                  <w:r w:rsidRPr="00A375EE">
                    <w:rPr>
                      <w:rFonts w:ascii="Arial" w:eastAsia="Times New Roman" w:hAnsi="Arial" w:cs="Arial"/>
                      <w:spacing w:val="1"/>
                      <w:sz w:val="18"/>
                      <w:szCs w:val="18"/>
                      <w:lang w:val="en-GB"/>
                    </w:rPr>
                    <w:t>P</w:t>
                  </w:r>
                  <w:r w:rsidRPr="00A375EE">
                    <w:rPr>
                      <w:rFonts w:ascii="Arial" w:eastAsia="Times New Roman" w:hAnsi="Arial" w:cs="Arial"/>
                      <w:sz w:val="18"/>
                      <w:szCs w:val="18"/>
                      <w:lang w:val="en-GB"/>
                    </w:rPr>
                    <w:t>a</w:t>
                  </w:r>
                  <w:r w:rsidRPr="00A375EE">
                    <w:rPr>
                      <w:rFonts w:ascii="Arial" w:eastAsia="Times New Roman" w:hAnsi="Arial" w:cs="Arial"/>
                      <w:spacing w:val="1"/>
                      <w:sz w:val="18"/>
                      <w:szCs w:val="18"/>
                      <w:lang w:val="en-GB"/>
                    </w:rPr>
                    <w:t>r</w:t>
                  </w:r>
                  <w:r w:rsidRPr="00A375EE">
                    <w:rPr>
                      <w:rFonts w:ascii="Arial" w:eastAsia="Times New Roman" w:hAnsi="Arial" w:cs="Arial"/>
                      <w:sz w:val="18"/>
                      <w:szCs w:val="18"/>
                      <w:lang w:val="en-GB"/>
                    </w:rPr>
                    <w:t>ticipati</w:t>
                  </w:r>
                  <w:r w:rsidRPr="00A375EE">
                    <w:rPr>
                      <w:rFonts w:ascii="Arial" w:eastAsia="Times New Roman" w:hAnsi="Arial" w:cs="Arial"/>
                      <w:spacing w:val="1"/>
                      <w:sz w:val="18"/>
                      <w:szCs w:val="18"/>
                      <w:lang w:val="en-GB"/>
                    </w:rPr>
                    <w:t>o</w:t>
                  </w:r>
                  <w:r w:rsidRPr="00A375EE">
                    <w:rPr>
                      <w:rFonts w:ascii="Arial" w:eastAsia="Times New Roman" w:hAnsi="Arial" w:cs="Arial"/>
                      <w:sz w:val="18"/>
                      <w:szCs w:val="18"/>
                      <w:lang w:val="en-GB"/>
                    </w:rPr>
                    <w:t>n</w:t>
                  </w:r>
                </w:p>
              </w:tc>
              <w:tc>
                <w:tcPr>
                  <w:tcW w:w="0" w:type="auto"/>
                  <w:tcBorders>
                    <w:top w:val="single" w:sz="6" w:space="0" w:color="1F497D" w:themeColor="text2"/>
                    <w:left w:val="nil"/>
                    <w:bottom w:val="single" w:sz="6" w:space="0" w:color="1F497D" w:themeColor="text2"/>
                    <w:right w:val="nil"/>
                  </w:tcBorders>
                  <w:vAlign w:val="center"/>
                  <w:hideMark/>
                </w:tcPr>
                <w:p w:rsidR="00792401" w:rsidRPr="00A375EE" w:rsidRDefault="00792401" w:rsidP="00792401">
                  <w:pPr>
                    <w:spacing w:before="0" w:after="0"/>
                    <w:jc w:val="center"/>
                    <w:rPr>
                      <w:rFonts w:ascii="Arial" w:hAnsi="Arial" w:cs="Arial"/>
                      <w:sz w:val="18"/>
                      <w:szCs w:val="18"/>
                      <w:lang w:val="en-GB"/>
                    </w:rPr>
                  </w:pPr>
                  <w:r w:rsidRPr="00A375EE">
                    <w:rPr>
                      <w:rFonts w:ascii="Arial" w:hAnsi="Arial" w:cs="Arial"/>
                      <w:sz w:val="18"/>
                      <w:szCs w:val="18"/>
                      <w:lang w:val="en-GB"/>
                    </w:rPr>
                    <w:t>43.9</w:t>
                  </w:r>
                </w:p>
              </w:tc>
              <w:tc>
                <w:tcPr>
                  <w:tcW w:w="0" w:type="auto"/>
                  <w:tcBorders>
                    <w:top w:val="single" w:sz="6" w:space="0" w:color="1F497D" w:themeColor="text2"/>
                    <w:left w:val="nil"/>
                    <w:bottom w:val="single" w:sz="6" w:space="0" w:color="1F497D" w:themeColor="text2"/>
                    <w:right w:val="nil"/>
                  </w:tcBorders>
                  <w:vAlign w:val="center"/>
                  <w:hideMark/>
                </w:tcPr>
                <w:p w:rsidR="00792401" w:rsidRPr="00A375EE" w:rsidRDefault="00792401" w:rsidP="00792401">
                  <w:pPr>
                    <w:spacing w:before="0" w:after="0"/>
                    <w:jc w:val="center"/>
                    <w:rPr>
                      <w:rFonts w:ascii="Arial" w:hAnsi="Arial" w:cs="Arial"/>
                      <w:sz w:val="18"/>
                      <w:szCs w:val="18"/>
                      <w:lang w:val="en-GB"/>
                    </w:rPr>
                  </w:pPr>
                  <w:r w:rsidRPr="00A375EE">
                    <w:rPr>
                      <w:rFonts w:ascii="Arial" w:hAnsi="Arial" w:cs="Arial"/>
                      <w:sz w:val="18"/>
                      <w:szCs w:val="18"/>
                      <w:lang w:val="en-GB"/>
                    </w:rPr>
                    <w:t>46.1</w:t>
                  </w:r>
                </w:p>
              </w:tc>
              <w:tc>
                <w:tcPr>
                  <w:tcW w:w="0" w:type="auto"/>
                  <w:tcBorders>
                    <w:top w:val="single" w:sz="6" w:space="0" w:color="1F497D" w:themeColor="text2"/>
                    <w:left w:val="nil"/>
                    <w:bottom w:val="single" w:sz="6" w:space="0" w:color="1F497D" w:themeColor="text2"/>
                    <w:right w:val="single" w:sz="12" w:space="0" w:color="1F497D" w:themeColor="text2"/>
                  </w:tcBorders>
                  <w:vAlign w:val="center"/>
                  <w:hideMark/>
                </w:tcPr>
                <w:p w:rsidR="00792401" w:rsidRPr="00A375EE" w:rsidRDefault="00792401" w:rsidP="00792401">
                  <w:pPr>
                    <w:spacing w:before="0" w:after="0"/>
                    <w:jc w:val="center"/>
                    <w:rPr>
                      <w:rFonts w:ascii="Arial" w:hAnsi="Arial" w:cs="Arial"/>
                      <w:sz w:val="18"/>
                      <w:szCs w:val="18"/>
                      <w:lang w:val="en-GB"/>
                    </w:rPr>
                  </w:pPr>
                  <w:r w:rsidRPr="00A375EE">
                    <w:rPr>
                      <w:rFonts w:ascii="Arial" w:hAnsi="Arial" w:cs="Arial"/>
                      <w:sz w:val="18"/>
                      <w:szCs w:val="18"/>
                      <w:lang w:val="en-GB"/>
                    </w:rPr>
                    <w:t>40.0</w:t>
                  </w:r>
                </w:p>
              </w:tc>
            </w:tr>
            <w:tr w:rsidR="00792401" w:rsidRPr="00A375EE" w:rsidTr="00C74BD8">
              <w:trPr>
                <w:trHeight w:val="184"/>
              </w:trPr>
              <w:tc>
                <w:tcPr>
                  <w:tcW w:w="0" w:type="auto"/>
                  <w:tcBorders>
                    <w:top w:val="single" w:sz="6" w:space="0" w:color="1F497D" w:themeColor="text2"/>
                    <w:left w:val="single" w:sz="12" w:space="0" w:color="1F497D" w:themeColor="text2"/>
                    <w:bottom w:val="single" w:sz="6" w:space="0" w:color="1F497D" w:themeColor="text2"/>
                    <w:right w:val="nil"/>
                  </w:tcBorders>
                  <w:vAlign w:val="center"/>
                  <w:hideMark/>
                </w:tcPr>
                <w:p w:rsidR="00792401" w:rsidRPr="00A375EE" w:rsidRDefault="00792401" w:rsidP="00792401">
                  <w:pPr>
                    <w:pStyle w:val="TableParagraph"/>
                    <w:ind w:left="108"/>
                    <w:jc w:val="center"/>
                    <w:rPr>
                      <w:rFonts w:ascii="Arial" w:eastAsia="Times New Roman" w:hAnsi="Arial" w:cs="Arial"/>
                      <w:sz w:val="18"/>
                      <w:szCs w:val="18"/>
                      <w:lang w:val="en-GB"/>
                    </w:rPr>
                  </w:pPr>
                  <w:r w:rsidRPr="00A375EE">
                    <w:rPr>
                      <w:rFonts w:ascii="Arial" w:eastAsia="Times New Roman" w:hAnsi="Arial" w:cs="Arial"/>
                      <w:sz w:val="18"/>
                      <w:szCs w:val="18"/>
                      <w:lang w:val="en-GB"/>
                    </w:rPr>
                    <w:t>U</w:t>
                  </w:r>
                  <w:r w:rsidRPr="00A375EE">
                    <w:rPr>
                      <w:rFonts w:ascii="Arial" w:eastAsia="Times New Roman" w:hAnsi="Arial" w:cs="Arial"/>
                      <w:spacing w:val="-1"/>
                      <w:sz w:val="18"/>
                      <w:szCs w:val="18"/>
                      <w:lang w:val="en-GB"/>
                    </w:rPr>
                    <w:t>n</w:t>
                  </w:r>
                  <w:r w:rsidRPr="00A375EE">
                    <w:rPr>
                      <w:rFonts w:ascii="Arial" w:eastAsia="Times New Roman" w:hAnsi="Arial" w:cs="Arial"/>
                      <w:spacing w:val="1"/>
                      <w:sz w:val="18"/>
                      <w:szCs w:val="18"/>
                      <w:lang w:val="en-GB"/>
                    </w:rPr>
                    <w:t>d</w:t>
                  </w:r>
                  <w:r w:rsidRPr="00A375EE">
                    <w:rPr>
                      <w:rFonts w:ascii="Arial" w:eastAsia="Times New Roman" w:hAnsi="Arial" w:cs="Arial"/>
                      <w:sz w:val="18"/>
                      <w:szCs w:val="18"/>
                      <w:lang w:val="en-GB"/>
                    </w:rPr>
                    <w:t>e</w:t>
                  </w:r>
                  <w:r w:rsidRPr="00A375EE">
                    <w:rPr>
                      <w:rFonts w:ascii="Arial" w:eastAsia="Times New Roman" w:hAnsi="Arial" w:cs="Arial"/>
                      <w:spacing w:val="1"/>
                      <w:sz w:val="18"/>
                      <w:szCs w:val="18"/>
                      <w:lang w:val="en-GB"/>
                    </w:rPr>
                    <w:t xml:space="preserve">r </w:t>
                  </w:r>
                  <w:r w:rsidRPr="00A375EE">
                    <w:rPr>
                      <w:rFonts w:ascii="Arial" w:eastAsia="Times New Roman" w:hAnsi="Arial" w:cs="Arial"/>
                      <w:spacing w:val="2"/>
                      <w:sz w:val="18"/>
                      <w:szCs w:val="18"/>
                      <w:lang w:val="en-GB"/>
                    </w:rPr>
                    <w:t>e</w:t>
                  </w:r>
                  <w:r w:rsidRPr="00A375EE">
                    <w:rPr>
                      <w:rFonts w:ascii="Arial" w:eastAsia="Times New Roman" w:hAnsi="Arial" w:cs="Arial"/>
                      <w:spacing w:val="-5"/>
                      <w:sz w:val="18"/>
                      <w:szCs w:val="18"/>
                      <w:lang w:val="en-GB"/>
                    </w:rPr>
                    <w:t>m</w:t>
                  </w:r>
                  <w:r w:rsidRPr="00A375EE">
                    <w:rPr>
                      <w:rFonts w:ascii="Arial" w:eastAsia="Times New Roman" w:hAnsi="Arial" w:cs="Arial"/>
                      <w:spacing w:val="1"/>
                      <w:sz w:val="18"/>
                      <w:szCs w:val="18"/>
                      <w:lang w:val="en-GB"/>
                    </w:rPr>
                    <w:t>p</w:t>
                  </w:r>
                  <w:r w:rsidRPr="00A375EE">
                    <w:rPr>
                      <w:rFonts w:ascii="Arial" w:eastAsia="Times New Roman" w:hAnsi="Arial" w:cs="Arial"/>
                      <w:sz w:val="18"/>
                      <w:szCs w:val="18"/>
                      <w:lang w:val="en-GB"/>
                    </w:rPr>
                    <w:t>l</w:t>
                  </w:r>
                  <w:r w:rsidRPr="00A375EE">
                    <w:rPr>
                      <w:rFonts w:ascii="Arial" w:eastAsia="Times New Roman" w:hAnsi="Arial" w:cs="Arial"/>
                      <w:spacing w:val="3"/>
                      <w:sz w:val="18"/>
                      <w:szCs w:val="18"/>
                      <w:lang w:val="en-GB"/>
                    </w:rPr>
                    <w:t>o</w:t>
                  </w:r>
                  <w:r w:rsidRPr="00A375EE">
                    <w:rPr>
                      <w:rFonts w:ascii="Arial" w:eastAsia="Times New Roman" w:hAnsi="Arial" w:cs="Arial"/>
                      <w:spacing w:val="-2"/>
                      <w:sz w:val="18"/>
                      <w:szCs w:val="18"/>
                      <w:lang w:val="en-GB"/>
                    </w:rPr>
                    <w:t>ym</w:t>
                  </w:r>
                  <w:r w:rsidRPr="00A375EE">
                    <w:rPr>
                      <w:rFonts w:ascii="Arial" w:eastAsia="Times New Roman" w:hAnsi="Arial" w:cs="Arial"/>
                      <w:spacing w:val="2"/>
                      <w:sz w:val="18"/>
                      <w:szCs w:val="18"/>
                      <w:lang w:val="en-GB"/>
                    </w:rPr>
                    <w:t>e</w:t>
                  </w:r>
                  <w:r w:rsidRPr="00A375EE">
                    <w:rPr>
                      <w:rFonts w:ascii="Arial" w:eastAsia="Times New Roman" w:hAnsi="Arial" w:cs="Arial"/>
                      <w:spacing w:val="-2"/>
                      <w:sz w:val="18"/>
                      <w:szCs w:val="18"/>
                      <w:lang w:val="en-GB"/>
                    </w:rPr>
                    <w:t>n</w:t>
                  </w:r>
                  <w:r w:rsidRPr="00A375EE">
                    <w:rPr>
                      <w:rFonts w:ascii="Arial" w:eastAsia="Times New Roman" w:hAnsi="Arial" w:cs="Arial"/>
                      <w:sz w:val="18"/>
                      <w:szCs w:val="18"/>
                      <w:lang w:val="en-GB"/>
                    </w:rPr>
                    <w:t>t</w:t>
                  </w:r>
                </w:p>
              </w:tc>
              <w:tc>
                <w:tcPr>
                  <w:tcW w:w="0" w:type="auto"/>
                  <w:tcBorders>
                    <w:top w:val="single" w:sz="6" w:space="0" w:color="1F497D" w:themeColor="text2"/>
                    <w:left w:val="nil"/>
                    <w:bottom w:val="single" w:sz="6" w:space="0" w:color="1F497D" w:themeColor="text2"/>
                    <w:right w:val="nil"/>
                  </w:tcBorders>
                  <w:vAlign w:val="center"/>
                  <w:hideMark/>
                </w:tcPr>
                <w:p w:rsidR="00792401" w:rsidRPr="00A375EE" w:rsidRDefault="00792401" w:rsidP="00792401">
                  <w:pPr>
                    <w:spacing w:before="0" w:after="0"/>
                    <w:jc w:val="center"/>
                    <w:rPr>
                      <w:rFonts w:ascii="Arial" w:hAnsi="Arial" w:cs="Arial"/>
                      <w:sz w:val="18"/>
                      <w:szCs w:val="18"/>
                      <w:lang w:val="en-GB"/>
                    </w:rPr>
                  </w:pPr>
                  <w:r w:rsidRPr="00A375EE">
                    <w:rPr>
                      <w:rFonts w:ascii="Arial" w:hAnsi="Arial" w:cs="Arial"/>
                      <w:sz w:val="18"/>
                      <w:szCs w:val="18"/>
                      <w:lang w:val="en-GB"/>
                    </w:rPr>
                    <w:t>5.7</w:t>
                  </w:r>
                </w:p>
              </w:tc>
              <w:tc>
                <w:tcPr>
                  <w:tcW w:w="0" w:type="auto"/>
                  <w:tcBorders>
                    <w:top w:val="single" w:sz="6" w:space="0" w:color="1F497D" w:themeColor="text2"/>
                    <w:left w:val="nil"/>
                    <w:bottom w:val="single" w:sz="6" w:space="0" w:color="1F497D" w:themeColor="text2"/>
                    <w:right w:val="nil"/>
                  </w:tcBorders>
                  <w:vAlign w:val="center"/>
                  <w:hideMark/>
                </w:tcPr>
                <w:p w:rsidR="00792401" w:rsidRPr="00A375EE" w:rsidRDefault="00792401" w:rsidP="00792401">
                  <w:pPr>
                    <w:spacing w:before="0" w:after="0"/>
                    <w:jc w:val="center"/>
                    <w:rPr>
                      <w:rFonts w:ascii="Arial" w:hAnsi="Arial" w:cs="Arial"/>
                      <w:sz w:val="18"/>
                      <w:szCs w:val="18"/>
                      <w:lang w:val="en-GB"/>
                    </w:rPr>
                  </w:pPr>
                  <w:r w:rsidRPr="00A375EE">
                    <w:rPr>
                      <w:rFonts w:ascii="Arial" w:hAnsi="Arial" w:cs="Arial"/>
                      <w:sz w:val="18"/>
                      <w:szCs w:val="18"/>
                      <w:lang w:val="en-GB"/>
                    </w:rPr>
                    <w:t>5.0</w:t>
                  </w:r>
                </w:p>
              </w:tc>
              <w:tc>
                <w:tcPr>
                  <w:tcW w:w="0" w:type="auto"/>
                  <w:tcBorders>
                    <w:top w:val="single" w:sz="6" w:space="0" w:color="1F497D" w:themeColor="text2"/>
                    <w:left w:val="nil"/>
                    <w:bottom w:val="single" w:sz="6" w:space="0" w:color="1F497D" w:themeColor="text2"/>
                    <w:right w:val="single" w:sz="12" w:space="0" w:color="1F497D" w:themeColor="text2"/>
                  </w:tcBorders>
                  <w:vAlign w:val="center"/>
                  <w:hideMark/>
                </w:tcPr>
                <w:p w:rsidR="00792401" w:rsidRPr="00A375EE" w:rsidRDefault="00792401" w:rsidP="00792401">
                  <w:pPr>
                    <w:spacing w:before="0" w:after="0"/>
                    <w:jc w:val="center"/>
                    <w:rPr>
                      <w:rFonts w:ascii="Arial" w:hAnsi="Arial" w:cs="Arial"/>
                      <w:sz w:val="18"/>
                      <w:szCs w:val="18"/>
                      <w:lang w:val="en-GB"/>
                    </w:rPr>
                  </w:pPr>
                  <w:r w:rsidRPr="00A375EE">
                    <w:rPr>
                      <w:rFonts w:ascii="Arial" w:hAnsi="Arial" w:cs="Arial"/>
                      <w:sz w:val="18"/>
                      <w:szCs w:val="18"/>
                      <w:lang w:val="en-GB"/>
                    </w:rPr>
                    <w:t>7.1</w:t>
                  </w:r>
                </w:p>
              </w:tc>
            </w:tr>
            <w:tr w:rsidR="00792401" w:rsidRPr="00A375EE" w:rsidTr="00C74BD8">
              <w:trPr>
                <w:trHeight w:val="184"/>
              </w:trPr>
              <w:tc>
                <w:tcPr>
                  <w:tcW w:w="0" w:type="auto"/>
                  <w:tcBorders>
                    <w:top w:val="single" w:sz="6" w:space="0" w:color="1F497D" w:themeColor="text2"/>
                    <w:left w:val="single" w:sz="12" w:space="0" w:color="1F497D" w:themeColor="text2"/>
                    <w:bottom w:val="single" w:sz="6" w:space="0" w:color="1F497D" w:themeColor="text2"/>
                    <w:right w:val="nil"/>
                  </w:tcBorders>
                  <w:vAlign w:val="center"/>
                  <w:hideMark/>
                </w:tcPr>
                <w:p w:rsidR="00792401" w:rsidRPr="00A375EE" w:rsidRDefault="00792401" w:rsidP="00792401">
                  <w:pPr>
                    <w:pStyle w:val="TableParagraph"/>
                    <w:ind w:left="108"/>
                    <w:jc w:val="center"/>
                    <w:rPr>
                      <w:rFonts w:ascii="Arial" w:eastAsia="Times New Roman" w:hAnsi="Arial" w:cs="Arial"/>
                      <w:sz w:val="18"/>
                      <w:szCs w:val="18"/>
                      <w:lang w:val="en-GB"/>
                    </w:rPr>
                  </w:pPr>
                  <w:r w:rsidRPr="00A375EE">
                    <w:rPr>
                      <w:rFonts w:ascii="Arial" w:eastAsia="Times New Roman" w:hAnsi="Arial" w:cs="Arial"/>
                      <w:sz w:val="18"/>
                      <w:szCs w:val="18"/>
                      <w:lang w:val="en-GB"/>
                    </w:rPr>
                    <w:t>Y</w:t>
                  </w:r>
                  <w:r w:rsidRPr="00A375EE">
                    <w:rPr>
                      <w:rFonts w:ascii="Arial" w:eastAsia="Times New Roman" w:hAnsi="Arial" w:cs="Arial"/>
                      <w:spacing w:val="1"/>
                      <w:sz w:val="18"/>
                      <w:szCs w:val="18"/>
                      <w:lang w:val="en-GB"/>
                    </w:rPr>
                    <w:t>o</w:t>
                  </w:r>
                  <w:r w:rsidRPr="00A375EE">
                    <w:rPr>
                      <w:rFonts w:ascii="Arial" w:eastAsia="Times New Roman" w:hAnsi="Arial" w:cs="Arial"/>
                      <w:spacing w:val="-2"/>
                      <w:sz w:val="18"/>
                      <w:szCs w:val="18"/>
                      <w:lang w:val="en-GB"/>
                    </w:rPr>
                    <w:t>u</w:t>
                  </w:r>
                  <w:r w:rsidRPr="00A375EE">
                    <w:rPr>
                      <w:rFonts w:ascii="Arial" w:eastAsia="Times New Roman" w:hAnsi="Arial" w:cs="Arial"/>
                      <w:sz w:val="18"/>
                      <w:szCs w:val="18"/>
                      <w:lang w:val="en-GB"/>
                    </w:rPr>
                    <w:t>th</w:t>
                  </w:r>
                  <w:r w:rsidR="008A24AD">
                    <w:rPr>
                      <w:rFonts w:ascii="Arial" w:eastAsia="Times New Roman" w:hAnsi="Arial" w:cs="Arial"/>
                      <w:sz w:val="18"/>
                      <w:szCs w:val="18"/>
                      <w:lang w:val="en-GB"/>
                    </w:rPr>
                    <w:t xml:space="preserve"> </w:t>
                  </w:r>
                  <w:r w:rsidRPr="00A375EE">
                    <w:rPr>
                      <w:rFonts w:ascii="Arial" w:eastAsia="Times New Roman" w:hAnsi="Arial" w:cs="Arial"/>
                      <w:spacing w:val="-2"/>
                      <w:sz w:val="18"/>
                      <w:szCs w:val="18"/>
                      <w:lang w:val="en-GB"/>
                    </w:rPr>
                    <w:t>U</w:t>
                  </w:r>
                  <w:r w:rsidRPr="00A375EE">
                    <w:rPr>
                      <w:rFonts w:ascii="Arial" w:eastAsia="Times New Roman" w:hAnsi="Arial" w:cs="Arial"/>
                      <w:spacing w:val="2"/>
                      <w:sz w:val="18"/>
                      <w:szCs w:val="18"/>
                      <w:lang w:val="en-GB"/>
                    </w:rPr>
                    <w:t>n</w:t>
                  </w:r>
                  <w:r w:rsidRPr="00A375EE">
                    <w:rPr>
                      <w:rFonts w:ascii="Arial" w:eastAsia="Times New Roman" w:hAnsi="Arial" w:cs="Arial"/>
                      <w:spacing w:val="-2"/>
                      <w:sz w:val="18"/>
                      <w:szCs w:val="18"/>
                      <w:lang w:val="en-GB"/>
                    </w:rPr>
                    <w:t>e</w:t>
                  </w:r>
                  <w:r w:rsidRPr="00A375EE">
                    <w:rPr>
                      <w:rFonts w:ascii="Arial" w:eastAsia="Times New Roman" w:hAnsi="Arial" w:cs="Arial"/>
                      <w:spacing w:val="1"/>
                      <w:sz w:val="18"/>
                      <w:szCs w:val="18"/>
                      <w:lang w:val="en-GB"/>
                    </w:rPr>
                    <w:t>m</w:t>
                  </w:r>
                  <w:r w:rsidRPr="00A375EE">
                    <w:rPr>
                      <w:rFonts w:ascii="Arial" w:eastAsia="Times New Roman" w:hAnsi="Arial" w:cs="Arial"/>
                      <w:sz w:val="18"/>
                      <w:szCs w:val="18"/>
                      <w:lang w:val="en-GB"/>
                    </w:rPr>
                    <w:t>p</w:t>
                  </w:r>
                  <w:r w:rsidRPr="00A375EE">
                    <w:rPr>
                      <w:rFonts w:ascii="Arial" w:eastAsia="Times New Roman" w:hAnsi="Arial" w:cs="Arial"/>
                      <w:spacing w:val="3"/>
                      <w:sz w:val="18"/>
                      <w:szCs w:val="18"/>
                      <w:lang w:val="en-GB"/>
                    </w:rPr>
                    <w:t>l</w:t>
                  </w:r>
                  <w:r w:rsidRPr="00A375EE">
                    <w:rPr>
                      <w:rFonts w:ascii="Arial" w:eastAsia="Times New Roman" w:hAnsi="Arial" w:cs="Arial"/>
                      <w:spacing w:val="-2"/>
                      <w:sz w:val="18"/>
                      <w:szCs w:val="18"/>
                      <w:lang w:val="en-GB"/>
                    </w:rPr>
                    <w:t>oy</w:t>
                  </w:r>
                  <w:r w:rsidRPr="00A375EE">
                    <w:rPr>
                      <w:rFonts w:ascii="Arial" w:eastAsia="Times New Roman" w:hAnsi="Arial" w:cs="Arial"/>
                      <w:spacing w:val="2"/>
                      <w:sz w:val="18"/>
                      <w:szCs w:val="18"/>
                      <w:lang w:val="en-GB"/>
                    </w:rPr>
                    <w:t>m</w:t>
                  </w:r>
                  <w:r w:rsidRPr="00A375EE">
                    <w:rPr>
                      <w:rFonts w:ascii="Arial" w:eastAsia="Times New Roman" w:hAnsi="Arial" w:cs="Arial"/>
                      <w:spacing w:val="-2"/>
                      <w:sz w:val="18"/>
                      <w:szCs w:val="18"/>
                      <w:lang w:val="en-GB"/>
                    </w:rPr>
                    <w:t>e</w:t>
                  </w:r>
                  <w:r w:rsidRPr="00A375EE">
                    <w:rPr>
                      <w:rFonts w:ascii="Arial" w:eastAsia="Times New Roman" w:hAnsi="Arial" w:cs="Arial"/>
                      <w:sz w:val="18"/>
                      <w:szCs w:val="18"/>
                      <w:lang w:val="en-GB"/>
                    </w:rPr>
                    <w:t>nt</w:t>
                  </w:r>
                </w:p>
                <w:p w:rsidR="00792401" w:rsidRPr="00A375EE" w:rsidRDefault="00792401" w:rsidP="00792401">
                  <w:pPr>
                    <w:pStyle w:val="TableParagraph"/>
                    <w:ind w:left="108"/>
                    <w:jc w:val="center"/>
                    <w:rPr>
                      <w:rFonts w:ascii="Arial" w:eastAsia="Times New Roman" w:hAnsi="Arial" w:cs="Arial"/>
                      <w:sz w:val="18"/>
                      <w:szCs w:val="18"/>
                      <w:lang w:val="en-GB"/>
                    </w:rPr>
                  </w:pPr>
                  <w:r w:rsidRPr="00A375EE">
                    <w:rPr>
                      <w:rFonts w:ascii="Arial" w:eastAsia="Times New Roman" w:hAnsi="Arial" w:cs="Arial"/>
                      <w:spacing w:val="1"/>
                      <w:sz w:val="18"/>
                      <w:szCs w:val="18"/>
                      <w:lang w:val="en-GB"/>
                    </w:rPr>
                    <w:t>(</w:t>
                  </w:r>
                  <w:r w:rsidRPr="00A375EE">
                    <w:rPr>
                      <w:rFonts w:ascii="Arial" w:eastAsia="Times New Roman" w:hAnsi="Arial" w:cs="Arial"/>
                      <w:sz w:val="18"/>
                      <w:szCs w:val="18"/>
                      <w:lang w:val="en-GB"/>
                    </w:rPr>
                    <w:t>A</w:t>
                  </w:r>
                  <w:r w:rsidRPr="00A375EE">
                    <w:rPr>
                      <w:rFonts w:ascii="Arial" w:eastAsia="Times New Roman" w:hAnsi="Arial" w:cs="Arial"/>
                      <w:spacing w:val="-1"/>
                      <w:sz w:val="18"/>
                      <w:szCs w:val="18"/>
                      <w:lang w:val="en-GB"/>
                    </w:rPr>
                    <w:t>g</w:t>
                  </w:r>
                  <w:r w:rsidRPr="00A375EE">
                    <w:rPr>
                      <w:rFonts w:ascii="Arial" w:eastAsia="Times New Roman" w:hAnsi="Arial" w:cs="Arial"/>
                      <w:spacing w:val="2"/>
                      <w:sz w:val="18"/>
                      <w:szCs w:val="18"/>
                      <w:lang w:val="en-GB"/>
                    </w:rPr>
                    <w:t>e</w:t>
                  </w:r>
                  <w:r w:rsidRPr="00A375EE">
                    <w:rPr>
                      <w:rFonts w:ascii="Arial" w:eastAsia="Times New Roman" w:hAnsi="Arial" w:cs="Arial"/>
                      <w:sz w:val="18"/>
                      <w:szCs w:val="18"/>
                      <w:lang w:val="en-GB"/>
                    </w:rPr>
                    <w:t>s</w:t>
                  </w:r>
                  <w:r w:rsidRPr="00A375EE">
                    <w:rPr>
                      <w:rFonts w:ascii="Arial" w:eastAsia="Times New Roman" w:hAnsi="Arial" w:cs="Arial"/>
                      <w:spacing w:val="1"/>
                      <w:sz w:val="18"/>
                      <w:szCs w:val="18"/>
                      <w:lang w:val="en-GB"/>
                    </w:rPr>
                    <w:t>1</w:t>
                  </w:r>
                  <w:r w:rsidRPr="00A375EE">
                    <w:rPr>
                      <w:rFonts w:ascii="Arial" w:eastAsia="Times New Roman" w:hAnsi="Arial" w:cs="Arial"/>
                      <w:spacing w:val="3"/>
                      <w:sz w:val="18"/>
                      <w:szCs w:val="18"/>
                      <w:lang w:val="en-GB"/>
                    </w:rPr>
                    <w:t>5</w:t>
                  </w:r>
                  <w:r w:rsidRPr="00A375EE">
                    <w:rPr>
                      <w:rFonts w:ascii="Arial" w:eastAsia="Times New Roman" w:hAnsi="Arial" w:cs="Arial"/>
                      <w:spacing w:val="-2"/>
                      <w:sz w:val="18"/>
                      <w:szCs w:val="18"/>
                      <w:lang w:val="en-GB"/>
                    </w:rPr>
                    <w:t>-</w:t>
                  </w:r>
                  <w:r w:rsidRPr="00A375EE">
                    <w:rPr>
                      <w:rFonts w:ascii="Arial" w:eastAsia="Times New Roman" w:hAnsi="Arial" w:cs="Arial"/>
                      <w:spacing w:val="1"/>
                      <w:sz w:val="18"/>
                      <w:szCs w:val="18"/>
                      <w:lang w:val="en-GB"/>
                    </w:rPr>
                    <w:t>29)</w:t>
                  </w:r>
                </w:p>
              </w:tc>
              <w:tc>
                <w:tcPr>
                  <w:tcW w:w="0" w:type="auto"/>
                  <w:tcBorders>
                    <w:top w:val="single" w:sz="6" w:space="0" w:color="1F497D" w:themeColor="text2"/>
                    <w:left w:val="nil"/>
                    <w:bottom w:val="single" w:sz="6" w:space="0" w:color="1F497D" w:themeColor="text2"/>
                    <w:right w:val="nil"/>
                  </w:tcBorders>
                  <w:vAlign w:val="center"/>
                  <w:hideMark/>
                </w:tcPr>
                <w:p w:rsidR="00792401" w:rsidRPr="00A375EE" w:rsidRDefault="00792401" w:rsidP="00792401">
                  <w:pPr>
                    <w:spacing w:before="0" w:after="0"/>
                    <w:jc w:val="center"/>
                    <w:rPr>
                      <w:rFonts w:ascii="Arial" w:hAnsi="Arial" w:cs="Arial"/>
                      <w:sz w:val="18"/>
                      <w:szCs w:val="18"/>
                      <w:lang w:val="en-GB"/>
                    </w:rPr>
                  </w:pPr>
                  <w:r w:rsidRPr="00A375EE">
                    <w:rPr>
                      <w:rFonts w:ascii="Arial" w:hAnsi="Arial" w:cs="Arial"/>
                      <w:sz w:val="18"/>
                      <w:szCs w:val="18"/>
                      <w:lang w:val="en-GB"/>
                    </w:rPr>
                    <w:t>35.1</w:t>
                  </w:r>
                </w:p>
              </w:tc>
              <w:tc>
                <w:tcPr>
                  <w:tcW w:w="0" w:type="auto"/>
                  <w:tcBorders>
                    <w:top w:val="single" w:sz="6" w:space="0" w:color="1F497D" w:themeColor="text2"/>
                    <w:left w:val="nil"/>
                    <w:bottom w:val="single" w:sz="6" w:space="0" w:color="1F497D" w:themeColor="text2"/>
                    <w:right w:val="nil"/>
                  </w:tcBorders>
                  <w:vAlign w:val="center"/>
                  <w:hideMark/>
                </w:tcPr>
                <w:p w:rsidR="00792401" w:rsidRPr="00A375EE" w:rsidRDefault="00792401" w:rsidP="00792401">
                  <w:pPr>
                    <w:spacing w:before="0" w:after="0"/>
                    <w:jc w:val="center"/>
                    <w:rPr>
                      <w:rFonts w:ascii="Arial" w:hAnsi="Arial" w:cs="Arial"/>
                      <w:sz w:val="18"/>
                      <w:szCs w:val="18"/>
                      <w:lang w:val="en-GB"/>
                    </w:rPr>
                  </w:pPr>
                  <w:r w:rsidRPr="00A375EE">
                    <w:rPr>
                      <w:rFonts w:ascii="Arial" w:hAnsi="Arial" w:cs="Arial"/>
                      <w:sz w:val="18"/>
                      <w:szCs w:val="18"/>
                      <w:lang w:val="en-GB"/>
                    </w:rPr>
                    <w:t>27.9</w:t>
                  </w:r>
                </w:p>
              </w:tc>
              <w:tc>
                <w:tcPr>
                  <w:tcW w:w="0" w:type="auto"/>
                  <w:tcBorders>
                    <w:top w:val="single" w:sz="6" w:space="0" w:color="1F497D" w:themeColor="text2"/>
                    <w:left w:val="nil"/>
                    <w:bottom w:val="single" w:sz="6" w:space="0" w:color="1F497D" w:themeColor="text2"/>
                    <w:right w:val="single" w:sz="12" w:space="0" w:color="1F497D" w:themeColor="text2"/>
                  </w:tcBorders>
                  <w:vAlign w:val="center"/>
                  <w:hideMark/>
                </w:tcPr>
                <w:p w:rsidR="00792401" w:rsidRPr="00A375EE" w:rsidRDefault="00792401" w:rsidP="00792401">
                  <w:pPr>
                    <w:spacing w:before="0" w:after="0"/>
                    <w:jc w:val="center"/>
                    <w:rPr>
                      <w:rFonts w:ascii="Arial" w:hAnsi="Arial" w:cs="Arial"/>
                      <w:sz w:val="18"/>
                      <w:szCs w:val="18"/>
                      <w:lang w:val="en-GB"/>
                    </w:rPr>
                  </w:pPr>
                  <w:r w:rsidRPr="00A375EE">
                    <w:rPr>
                      <w:rFonts w:ascii="Arial" w:hAnsi="Arial" w:cs="Arial"/>
                      <w:sz w:val="18"/>
                      <w:szCs w:val="18"/>
                      <w:lang w:val="en-GB"/>
                    </w:rPr>
                    <w:t>48.9</w:t>
                  </w:r>
                </w:p>
              </w:tc>
            </w:tr>
            <w:tr w:rsidR="00792401" w:rsidRPr="00A375EE" w:rsidTr="00C74BD8">
              <w:trPr>
                <w:trHeight w:val="184"/>
              </w:trPr>
              <w:tc>
                <w:tcPr>
                  <w:tcW w:w="0" w:type="auto"/>
                  <w:tcBorders>
                    <w:top w:val="single" w:sz="6" w:space="0" w:color="1F497D" w:themeColor="text2"/>
                    <w:left w:val="single" w:sz="12" w:space="0" w:color="1F497D" w:themeColor="text2"/>
                    <w:bottom w:val="single" w:sz="12" w:space="0" w:color="1F497D" w:themeColor="text2"/>
                    <w:right w:val="nil"/>
                  </w:tcBorders>
                  <w:vAlign w:val="center"/>
                  <w:hideMark/>
                </w:tcPr>
                <w:p w:rsidR="00792401" w:rsidRPr="00A375EE" w:rsidRDefault="00792401" w:rsidP="00792401">
                  <w:pPr>
                    <w:pStyle w:val="TableParagraph"/>
                    <w:ind w:left="108"/>
                    <w:jc w:val="center"/>
                    <w:rPr>
                      <w:rFonts w:ascii="Arial" w:eastAsia="Times New Roman" w:hAnsi="Arial" w:cs="Arial"/>
                      <w:sz w:val="18"/>
                      <w:szCs w:val="18"/>
                      <w:lang w:val="en-GB"/>
                    </w:rPr>
                  </w:pPr>
                  <w:r w:rsidRPr="00A375EE">
                    <w:rPr>
                      <w:rFonts w:ascii="Arial" w:eastAsia="Times New Roman" w:hAnsi="Arial" w:cs="Arial"/>
                      <w:sz w:val="18"/>
                      <w:szCs w:val="18"/>
                      <w:lang w:val="en-GB"/>
                    </w:rPr>
                    <w:t>Y</w:t>
                  </w:r>
                  <w:r w:rsidRPr="00A375EE">
                    <w:rPr>
                      <w:rFonts w:ascii="Arial" w:eastAsia="Times New Roman" w:hAnsi="Arial" w:cs="Arial"/>
                      <w:spacing w:val="1"/>
                      <w:sz w:val="18"/>
                      <w:szCs w:val="18"/>
                      <w:lang w:val="en-GB"/>
                    </w:rPr>
                    <w:t>o</w:t>
                  </w:r>
                  <w:r w:rsidRPr="00A375EE">
                    <w:rPr>
                      <w:rFonts w:ascii="Arial" w:eastAsia="Times New Roman" w:hAnsi="Arial" w:cs="Arial"/>
                      <w:spacing w:val="-2"/>
                      <w:sz w:val="18"/>
                      <w:szCs w:val="18"/>
                      <w:lang w:val="en-GB"/>
                    </w:rPr>
                    <w:t>u</w:t>
                  </w:r>
                  <w:r w:rsidRPr="00A375EE">
                    <w:rPr>
                      <w:rFonts w:ascii="Arial" w:eastAsia="Times New Roman" w:hAnsi="Arial" w:cs="Arial"/>
                      <w:sz w:val="18"/>
                      <w:szCs w:val="18"/>
                      <w:lang w:val="en-GB"/>
                    </w:rPr>
                    <w:t xml:space="preserve">th </w:t>
                  </w:r>
                  <w:r w:rsidRPr="00A375EE">
                    <w:rPr>
                      <w:rFonts w:ascii="Arial" w:eastAsia="Times New Roman" w:hAnsi="Arial" w:cs="Arial"/>
                      <w:spacing w:val="-2"/>
                      <w:sz w:val="18"/>
                      <w:szCs w:val="18"/>
                      <w:lang w:val="en-GB"/>
                    </w:rPr>
                    <w:t>L</w:t>
                  </w:r>
                  <w:r w:rsidRPr="00A375EE">
                    <w:rPr>
                      <w:rFonts w:ascii="Arial" w:eastAsia="Times New Roman" w:hAnsi="Arial" w:cs="Arial"/>
                      <w:sz w:val="18"/>
                      <w:szCs w:val="18"/>
                      <w:lang w:val="en-GB"/>
                    </w:rPr>
                    <w:t>a</w:t>
                  </w:r>
                  <w:r w:rsidRPr="00A375EE">
                    <w:rPr>
                      <w:rFonts w:ascii="Arial" w:eastAsia="Times New Roman" w:hAnsi="Arial" w:cs="Arial"/>
                      <w:spacing w:val="1"/>
                      <w:sz w:val="18"/>
                      <w:szCs w:val="18"/>
                      <w:lang w:val="en-GB"/>
                    </w:rPr>
                    <w:t>bou</w:t>
                  </w:r>
                  <w:r w:rsidRPr="00A375EE">
                    <w:rPr>
                      <w:rFonts w:ascii="Arial" w:eastAsia="Times New Roman" w:hAnsi="Arial" w:cs="Arial"/>
                      <w:sz w:val="18"/>
                      <w:szCs w:val="18"/>
                      <w:lang w:val="en-GB"/>
                    </w:rPr>
                    <w:t xml:space="preserve">r Force </w:t>
                  </w:r>
                  <w:r w:rsidRPr="00A375EE">
                    <w:rPr>
                      <w:rFonts w:ascii="Arial" w:eastAsia="Times New Roman" w:hAnsi="Arial" w:cs="Arial"/>
                      <w:spacing w:val="1"/>
                      <w:sz w:val="18"/>
                      <w:szCs w:val="18"/>
                      <w:lang w:val="en-GB"/>
                    </w:rPr>
                    <w:t>P</w:t>
                  </w:r>
                  <w:r w:rsidRPr="00A375EE">
                    <w:rPr>
                      <w:rFonts w:ascii="Arial" w:eastAsia="Times New Roman" w:hAnsi="Arial" w:cs="Arial"/>
                      <w:sz w:val="18"/>
                      <w:szCs w:val="18"/>
                      <w:lang w:val="en-GB"/>
                    </w:rPr>
                    <w:t>a</w:t>
                  </w:r>
                  <w:r w:rsidRPr="00A375EE">
                    <w:rPr>
                      <w:rFonts w:ascii="Arial" w:eastAsia="Times New Roman" w:hAnsi="Arial" w:cs="Arial"/>
                      <w:spacing w:val="1"/>
                      <w:sz w:val="18"/>
                      <w:szCs w:val="18"/>
                      <w:lang w:val="en-GB"/>
                    </w:rPr>
                    <w:t>r</w:t>
                  </w:r>
                  <w:r w:rsidRPr="00A375EE">
                    <w:rPr>
                      <w:rFonts w:ascii="Arial" w:eastAsia="Times New Roman" w:hAnsi="Arial" w:cs="Arial"/>
                      <w:sz w:val="18"/>
                      <w:szCs w:val="18"/>
                      <w:lang w:val="en-GB"/>
                    </w:rPr>
                    <w:t>ticipat</w:t>
                  </w:r>
                  <w:r w:rsidRPr="00A375EE">
                    <w:rPr>
                      <w:rFonts w:ascii="Arial" w:eastAsia="Times New Roman" w:hAnsi="Arial" w:cs="Arial"/>
                      <w:spacing w:val="-3"/>
                      <w:sz w:val="18"/>
                      <w:szCs w:val="18"/>
                      <w:lang w:val="en-GB"/>
                    </w:rPr>
                    <w:t>i</w:t>
                  </w:r>
                  <w:r w:rsidRPr="00A375EE">
                    <w:rPr>
                      <w:rFonts w:ascii="Arial" w:eastAsia="Times New Roman" w:hAnsi="Arial" w:cs="Arial"/>
                      <w:spacing w:val="1"/>
                      <w:sz w:val="18"/>
                      <w:szCs w:val="18"/>
                      <w:lang w:val="en-GB"/>
                    </w:rPr>
                    <w:t>o</w:t>
                  </w:r>
                  <w:r w:rsidRPr="00A375EE">
                    <w:rPr>
                      <w:rFonts w:ascii="Arial" w:eastAsia="Times New Roman" w:hAnsi="Arial" w:cs="Arial"/>
                      <w:sz w:val="18"/>
                      <w:szCs w:val="18"/>
                      <w:lang w:val="en-GB"/>
                    </w:rPr>
                    <w:t>n</w:t>
                  </w:r>
                </w:p>
              </w:tc>
              <w:tc>
                <w:tcPr>
                  <w:tcW w:w="0" w:type="auto"/>
                  <w:tcBorders>
                    <w:top w:val="single" w:sz="6" w:space="0" w:color="1F497D" w:themeColor="text2"/>
                    <w:left w:val="nil"/>
                    <w:bottom w:val="single" w:sz="12" w:space="0" w:color="1F497D" w:themeColor="text2"/>
                    <w:right w:val="nil"/>
                  </w:tcBorders>
                  <w:vAlign w:val="center"/>
                  <w:hideMark/>
                </w:tcPr>
                <w:p w:rsidR="00792401" w:rsidRPr="00A375EE" w:rsidRDefault="00792401" w:rsidP="00792401">
                  <w:pPr>
                    <w:spacing w:before="0" w:after="0"/>
                    <w:jc w:val="center"/>
                    <w:rPr>
                      <w:rFonts w:ascii="Arial" w:hAnsi="Arial" w:cs="Arial"/>
                      <w:sz w:val="18"/>
                      <w:szCs w:val="18"/>
                      <w:lang w:val="en-GB"/>
                    </w:rPr>
                  </w:pPr>
                  <w:r w:rsidRPr="00A375EE">
                    <w:rPr>
                      <w:rFonts w:ascii="Arial" w:hAnsi="Arial" w:cs="Arial"/>
                      <w:sz w:val="18"/>
                      <w:szCs w:val="18"/>
                      <w:lang w:val="en-GB"/>
                    </w:rPr>
                    <w:t>38.0</w:t>
                  </w:r>
                </w:p>
              </w:tc>
              <w:tc>
                <w:tcPr>
                  <w:tcW w:w="0" w:type="auto"/>
                  <w:tcBorders>
                    <w:top w:val="single" w:sz="6" w:space="0" w:color="1F497D" w:themeColor="text2"/>
                    <w:left w:val="nil"/>
                    <w:bottom w:val="single" w:sz="12" w:space="0" w:color="1F497D" w:themeColor="text2"/>
                    <w:right w:val="nil"/>
                  </w:tcBorders>
                  <w:vAlign w:val="center"/>
                  <w:hideMark/>
                </w:tcPr>
                <w:p w:rsidR="00792401" w:rsidRPr="00A375EE" w:rsidRDefault="00792401" w:rsidP="00792401">
                  <w:pPr>
                    <w:spacing w:before="0" w:after="0"/>
                    <w:jc w:val="center"/>
                    <w:rPr>
                      <w:rFonts w:ascii="Arial" w:hAnsi="Arial" w:cs="Arial"/>
                      <w:sz w:val="18"/>
                      <w:szCs w:val="18"/>
                      <w:lang w:val="en-GB"/>
                    </w:rPr>
                  </w:pPr>
                  <w:r w:rsidRPr="00A375EE">
                    <w:rPr>
                      <w:rFonts w:ascii="Arial" w:hAnsi="Arial" w:cs="Arial"/>
                      <w:sz w:val="18"/>
                      <w:szCs w:val="18"/>
                      <w:lang w:val="en-GB"/>
                    </w:rPr>
                    <w:t>40.3</w:t>
                  </w:r>
                </w:p>
              </w:tc>
              <w:tc>
                <w:tcPr>
                  <w:tcW w:w="0" w:type="auto"/>
                  <w:tcBorders>
                    <w:top w:val="single" w:sz="6" w:space="0" w:color="1F497D" w:themeColor="text2"/>
                    <w:left w:val="nil"/>
                    <w:bottom w:val="single" w:sz="12" w:space="0" w:color="1F497D" w:themeColor="text2"/>
                    <w:right w:val="single" w:sz="12" w:space="0" w:color="1F497D" w:themeColor="text2"/>
                  </w:tcBorders>
                  <w:vAlign w:val="center"/>
                  <w:hideMark/>
                </w:tcPr>
                <w:p w:rsidR="00792401" w:rsidRPr="00A375EE" w:rsidRDefault="00792401" w:rsidP="00792401">
                  <w:pPr>
                    <w:spacing w:before="0" w:after="0"/>
                    <w:jc w:val="center"/>
                    <w:rPr>
                      <w:rFonts w:ascii="Arial" w:hAnsi="Arial" w:cs="Arial"/>
                      <w:sz w:val="18"/>
                      <w:szCs w:val="18"/>
                      <w:lang w:val="en-GB"/>
                    </w:rPr>
                  </w:pPr>
                  <w:r w:rsidRPr="00A375EE">
                    <w:rPr>
                      <w:rFonts w:ascii="Arial" w:hAnsi="Arial" w:cs="Arial"/>
                      <w:sz w:val="18"/>
                      <w:szCs w:val="18"/>
                      <w:lang w:val="en-GB"/>
                    </w:rPr>
                    <w:t>34.2</w:t>
                  </w:r>
                </w:p>
              </w:tc>
            </w:tr>
          </w:tbl>
          <w:p w:rsidR="00792401" w:rsidRPr="00A375EE" w:rsidRDefault="00792401" w:rsidP="00792401">
            <w:pPr>
              <w:spacing w:before="0" w:after="0"/>
              <w:ind w:left="220" w:right="11"/>
              <w:jc w:val="center"/>
              <w:rPr>
                <w:rFonts w:ascii="Arial" w:hAnsi="Arial" w:cs="Arial"/>
                <w:b/>
                <w:i/>
                <w:sz w:val="20"/>
                <w:lang w:val="en-GB"/>
              </w:rPr>
            </w:pPr>
            <w:r w:rsidRPr="00A375EE">
              <w:rPr>
                <w:rFonts w:ascii="Arial" w:hAnsi="Arial" w:cs="Arial"/>
                <w:i/>
                <w:sz w:val="18"/>
                <w:szCs w:val="18"/>
                <w:lang w:val="en-GB"/>
              </w:rPr>
              <w:t>S</w:t>
            </w:r>
            <w:r w:rsidRPr="00A375EE">
              <w:rPr>
                <w:rFonts w:ascii="Arial" w:hAnsi="Arial" w:cs="Arial"/>
                <w:i/>
                <w:spacing w:val="1"/>
                <w:sz w:val="18"/>
                <w:szCs w:val="18"/>
                <w:lang w:val="en-GB"/>
              </w:rPr>
              <w:t>ou</w:t>
            </w:r>
            <w:r w:rsidRPr="00A375EE">
              <w:rPr>
                <w:rFonts w:ascii="Arial" w:hAnsi="Arial" w:cs="Arial"/>
                <w:i/>
                <w:sz w:val="18"/>
                <w:szCs w:val="18"/>
                <w:lang w:val="en-GB"/>
              </w:rPr>
              <w:t>r</w:t>
            </w:r>
            <w:r w:rsidRPr="00A375EE">
              <w:rPr>
                <w:rFonts w:ascii="Arial" w:hAnsi="Arial" w:cs="Arial"/>
                <w:i/>
                <w:spacing w:val="-1"/>
                <w:sz w:val="18"/>
                <w:szCs w:val="18"/>
                <w:lang w:val="en-GB"/>
              </w:rPr>
              <w:t>ce</w:t>
            </w:r>
            <w:r w:rsidRPr="00A375EE">
              <w:rPr>
                <w:rFonts w:ascii="Arial" w:hAnsi="Arial" w:cs="Arial"/>
                <w:i/>
                <w:sz w:val="18"/>
                <w:szCs w:val="18"/>
                <w:lang w:val="en-GB"/>
              </w:rPr>
              <w:t>:</w:t>
            </w:r>
            <w:r w:rsidR="008A24AD">
              <w:rPr>
                <w:rFonts w:ascii="Arial" w:hAnsi="Arial" w:cs="Arial"/>
                <w:i/>
                <w:sz w:val="18"/>
                <w:szCs w:val="18"/>
                <w:lang w:val="en-GB"/>
              </w:rPr>
              <w:t xml:space="preserve"> </w:t>
            </w:r>
            <w:r w:rsidRPr="00A375EE">
              <w:rPr>
                <w:rFonts w:ascii="Arial" w:hAnsi="Arial" w:cs="Arial"/>
                <w:i/>
                <w:spacing w:val="2"/>
                <w:sz w:val="18"/>
                <w:szCs w:val="18"/>
                <w:lang w:val="en-GB"/>
              </w:rPr>
              <w:t>P</w:t>
            </w:r>
            <w:r w:rsidRPr="00A375EE">
              <w:rPr>
                <w:rFonts w:ascii="Arial" w:hAnsi="Arial" w:cs="Arial"/>
                <w:i/>
                <w:sz w:val="18"/>
                <w:szCs w:val="18"/>
                <w:lang w:val="en-GB"/>
              </w:rPr>
              <w:t>C</w:t>
            </w:r>
            <w:r w:rsidRPr="00A375EE">
              <w:rPr>
                <w:rFonts w:ascii="Arial" w:hAnsi="Arial" w:cs="Arial"/>
                <w:i/>
                <w:spacing w:val="-3"/>
                <w:sz w:val="18"/>
                <w:szCs w:val="18"/>
                <w:lang w:val="en-GB"/>
              </w:rPr>
              <w:t>B</w:t>
            </w:r>
            <w:r w:rsidRPr="00A375EE">
              <w:rPr>
                <w:rFonts w:ascii="Arial" w:hAnsi="Arial" w:cs="Arial"/>
                <w:i/>
                <w:sz w:val="18"/>
                <w:szCs w:val="18"/>
                <w:lang w:val="en-GB"/>
              </w:rPr>
              <w:t>S L</w:t>
            </w:r>
            <w:r w:rsidRPr="00A375EE">
              <w:rPr>
                <w:rFonts w:ascii="Arial" w:hAnsi="Arial" w:cs="Arial"/>
                <w:i/>
                <w:spacing w:val="-1"/>
                <w:sz w:val="18"/>
                <w:szCs w:val="18"/>
                <w:lang w:val="en-GB"/>
              </w:rPr>
              <w:t>a</w:t>
            </w:r>
            <w:r w:rsidRPr="00A375EE">
              <w:rPr>
                <w:rFonts w:ascii="Arial" w:hAnsi="Arial" w:cs="Arial"/>
                <w:i/>
                <w:spacing w:val="1"/>
                <w:sz w:val="18"/>
                <w:szCs w:val="18"/>
                <w:lang w:val="en-GB"/>
              </w:rPr>
              <w:t>bo</w:t>
            </w:r>
            <w:r w:rsidRPr="00A375EE">
              <w:rPr>
                <w:rFonts w:ascii="Arial" w:hAnsi="Arial" w:cs="Arial"/>
                <w:i/>
                <w:sz w:val="18"/>
                <w:szCs w:val="18"/>
                <w:lang w:val="en-GB"/>
              </w:rPr>
              <w:t xml:space="preserve">ur Force </w:t>
            </w:r>
            <w:r w:rsidRPr="00A375EE">
              <w:rPr>
                <w:rFonts w:ascii="Arial" w:hAnsi="Arial" w:cs="Arial"/>
                <w:i/>
                <w:spacing w:val="-2"/>
                <w:sz w:val="18"/>
                <w:szCs w:val="18"/>
                <w:lang w:val="en-GB"/>
              </w:rPr>
              <w:t>S</w:t>
            </w:r>
            <w:r w:rsidRPr="00A375EE">
              <w:rPr>
                <w:rFonts w:ascii="Arial" w:hAnsi="Arial" w:cs="Arial"/>
                <w:i/>
                <w:spacing w:val="1"/>
                <w:sz w:val="18"/>
                <w:szCs w:val="18"/>
                <w:lang w:val="en-GB"/>
              </w:rPr>
              <w:t>u</w:t>
            </w:r>
            <w:r w:rsidRPr="00A375EE">
              <w:rPr>
                <w:rFonts w:ascii="Arial" w:hAnsi="Arial" w:cs="Arial"/>
                <w:i/>
                <w:sz w:val="18"/>
                <w:szCs w:val="18"/>
                <w:lang w:val="en-GB"/>
              </w:rPr>
              <w:t>r</w:t>
            </w:r>
            <w:r w:rsidRPr="00A375EE">
              <w:rPr>
                <w:rFonts w:ascii="Arial" w:hAnsi="Arial" w:cs="Arial"/>
                <w:i/>
                <w:spacing w:val="-2"/>
                <w:sz w:val="18"/>
                <w:szCs w:val="18"/>
                <w:lang w:val="en-GB"/>
              </w:rPr>
              <w:t>v</w:t>
            </w:r>
            <w:r w:rsidRPr="00A375EE">
              <w:rPr>
                <w:rFonts w:ascii="Arial" w:hAnsi="Arial" w:cs="Arial"/>
                <w:i/>
                <w:spacing w:val="-1"/>
                <w:sz w:val="18"/>
                <w:szCs w:val="18"/>
                <w:lang w:val="en-GB"/>
              </w:rPr>
              <w:t>e</w:t>
            </w:r>
            <w:r w:rsidRPr="00A375EE">
              <w:rPr>
                <w:rFonts w:ascii="Arial" w:hAnsi="Arial" w:cs="Arial"/>
                <w:i/>
                <w:sz w:val="18"/>
                <w:szCs w:val="18"/>
                <w:lang w:val="en-GB"/>
              </w:rPr>
              <w:t xml:space="preserve">y from </w:t>
            </w:r>
            <w:r w:rsidRPr="00A375EE">
              <w:rPr>
                <w:rFonts w:ascii="Arial" w:hAnsi="Arial" w:cs="Arial"/>
                <w:i/>
                <w:spacing w:val="-3"/>
                <w:sz w:val="18"/>
                <w:szCs w:val="18"/>
                <w:lang w:val="en-GB"/>
              </w:rPr>
              <w:t>World Bank, Fiscal Challenges and Long Term Economic Costs: Economic Monitoring Report to AHLC, March 19, 2013</w:t>
            </w:r>
          </w:p>
        </w:tc>
      </w:tr>
    </w:tbl>
    <w:p w:rsidR="00C74BD8" w:rsidRDefault="00792401" w:rsidP="00C74BD8">
      <w:pPr>
        <w:pStyle w:val="Default"/>
        <w:spacing w:before="0" w:after="0"/>
        <w:rPr>
          <w:rFonts w:ascii="Arial" w:hAnsi="Arial" w:cs="Arial"/>
          <w:bCs/>
          <w:sz w:val="22"/>
          <w:szCs w:val="22"/>
        </w:rPr>
      </w:pPr>
      <w:r w:rsidRPr="00460E50">
        <w:rPr>
          <w:rFonts w:ascii="Arial" w:hAnsi="Arial" w:cs="Arial"/>
          <w:bCs/>
          <w:sz w:val="22"/>
          <w:szCs w:val="22"/>
        </w:rPr>
        <w:t xml:space="preserve">Youth unemployment reached a frightening 48.9% in Gaza </w:t>
      </w:r>
      <w:r w:rsidRPr="00A375EE">
        <w:rPr>
          <w:rFonts w:ascii="Arial" w:hAnsi="Arial" w:cs="Arial"/>
          <w:bCs/>
          <w:sz w:val="22"/>
          <w:szCs w:val="22"/>
        </w:rPr>
        <w:t>(se</w:t>
      </w:r>
      <w:r w:rsidR="00A375EE">
        <w:rPr>
          <w:rFonts w:ascii="Arial" w:hAnsi="Arial" w:cs="Arial"/>
          <w:bCs/>
          <w:sz w:val="22"/>
          <w:szCs w:val="22"/>
        </w:rPr>
        <w:t>e table 1</w:t>
      </w:r>
      <w:r w:rsidRPr="00A375EE">
        <w:t>)</w:t>
      </w:r>
      <w:r w:rsidRPr="00A375EE">
        <w:rPr>
          <w:rFonts w:ascii="Arial" w:hAnsi="Arial" w:cs="Arial"/>
          <w:bCs/>
          <w:sz w:val="22"/>
          <w:szCs w:val="22"/>
        </w:rPr>
        <w:t>.</w:t>
      </w:r>
      <w:r w:rsidR="00A375EE">
        <w:rPr>
          <w:rFonts w:ascii="Arial" w:hAnsi="Arial" w:cs="Arial"/>
          <w:bCs/>
          <w:sz w:val="22"/>
          <w:szCs w:val="22"/>
        </w:rPr>
        <w:t xml:space="preserve"> </w:t>
      </w:r>
      <w:r w:rsidRPr="00460E50">
        <w:rPr>
          <w:rFonts w:ascii="Arial" w:hAnsi="Arial" w:cs="Arial"/>
          <w:bCs/>
          <w:sz w:val="22"/>
          <w:szCs w:val="22"/>
        </w:rPr>
        <w:t xml:space="preserve">Labor force participation is also low. These figures indicate that Palestinian youth is discouraged from joining the labor force because of lack of opportunities.  To illustrate: prior to the year 2000 when the second Intifada broke out, a large portion of </w:t>
      </w:r>
      <w:r w:rsidR="00C74BD8" w:rsidRPr="00460E50">
        <w:rPr>
          <w:rFonts w:ascii="Arial" w:hAnsi="Arial" w:cs="Arial"/>
          <w:bCs/>
          <w:sz w:val="22"/>
          <w:szCs w:val="22"/>
        </w:rPr>
        <w:t xml:space="preserve">Palestinian youth was employed in Israel as the latter’s share in Palestinian Territory employment was around 21%.  Since the outbreak of the second Intifada, Israel’s share in employment has declined to 12%.  The high youth unemployment and low labor force participation are both predictors of social discontent.  </w:t>
      </w:r>
    </w:p>
    <w:p w:rsidR="00C74BD8" w:rsidRDefault="00C74BD8" w:rsidP="00C74BD8">
      <w:pPr>
        <w:pStyle w:val="Default"/>
        <w:spacing w:before="0" w:after="0"/>
        <w:rPr>
          <w:rFonts w:ascii="Arial" w:hAnsi="Arial" w:cs="Arial"/>
          <w:bCs/>
          <w:sz w:val="22"/>
          <w:szCs w:val="22"/>
        </w:rPr>
      </w:pPr>
      <w:r w:rsidRPr="00460E50">
        <w:rPr>
          <w:rFonts w:ascii="Arial" w:hAnsi="Arial" w:cs="Arial"/>
          <w:bCs/>
          <w:sz w:val="22"/>
          <w:szCs w:val="22"/>
        </w:rPr>
        <w:t xml:space="preserve">The gap between the overall participation rate of males (69.5%) and females (18.7%) is large. </w:t>
      </w:r>
    </w:p>
    <w:p w:rsidR="00C74BD8" w:rsidRPr="00460E50" w:rsidRDefault="00C74BD8" w:rsidP="00C74BD8">
      <w:pPr>
        <w:pStyle w:val="Default"/>
        <w:spacing w:before="0" w:after="0"/>
        <w:rPr>
          <w:rFonts w:ascii="Arial" w:hAnsi="Arial" w:cs="Arial"/>
          <w:bCs/>
          <w:sz w:val="22"/>
          <w:szCs w:val="22"/>
        </w:rPr>
      </w:pPr>
    </w:p>
    <w:p w:rsidR="00792401" w:rsidRPr="00CE086F" w:rsidRDefault="00792401" w:rsidP="008A24AD">
      <w:pPr>
        <w:autoSpaceDE w:val="0"/>
        <w:autoSpaceDN w:val="0"/>
        <w:adjustRightInd w:val="0"/>
        <w:spacing w:before="0" w:after="0"/>
        <w:rPr>
          <w:rFonts w:ascii="Times New Roman" w:hAnsi="Times New Roman"/>
          <w:bCs/>
          <w:color w:val="000000"/>
          <w:sz w:val="24"/>
          <w:szCs w:val="24"/>
        </w:rPr>
      </w:pPr>
      <w:r w:rsidRPr="00460E50">
        <w:rPr>
          <w:rFonts w:ascii="Arial" w:hAnsi="Arial" w:cs="Arial"/>
          <w:bCs/>
          <w:color w:val="000000"/>
          <w:sz w:val="22"/>
          <w:szCs w:val="22"/>
        </w:rPr>
        <w:t>Looking ahead, the risk for high unemployment remains significant. Private investment is unlikely to increase significantly given the on-going Israeli constraints on trade, movement and access</w:t>
      </w:r>
      <w:r w:rsidRPr="00460E50">
        <w:rPr>
          <w:rStyle w:val="Rimandonotaapidipagina"/>
          <w:rFonts w:ascii="Arial" w:hAnsi="Arial" w:cs="Arial"/>
          <w:bCs/>
          <w:color w:val="000000"/>
          <w:sz w:val="22"/>
          <w:szCs w:val="22"/>
        </w:rPr>
        <w:footnoteReference w:id="12"/>
      </w:r>
      <w:r w:rsidRPr="00460E50">
        <w:rPr>
          <w:rFonts w:ascii="Arial" w:hAnsi="Arial" w:cs="Arial"/>
          <w:bCs/>
          <w:color w:val="000000"/>
          <w:sz w:val="22"/>
          <w:szCs w:val="22"/>
        </w:rPr>
        <w:t>, and investment in Area C – these restrictions remain the biggest constraint facing Pale</w:t>
      </w:r>
      <w:r w:rsidR="008A24AD">
        <w:rPr>
          <w:rFonts w:ascii="Arial" w:hAnsi="Arial" w:cs="Arial"/>
          <w:bCs/>
          <w:color w:val="000000"/>
          <w:sz w:val="22"/>
          <w:szCs w:val="22"/>
        </w:rPr>
        <w:t xml:space="preserve">stinian private sector growth. </w:t>
      </w:r>
      <w:r w:rsidRPr="00460E50">
        <w:rPr>
          <w:rFonts w:ascii="Arial" w:hAnsi="Arial" w:cs="Arial"/>
          <w:bCs/>
          <w:color w:val="000000"/>
          <w:sz w:val="22"/>
          <w:szCs w:val="22"/>
        </w:rPr>
        <w:t>Unless the situation changes, the private sector will not be able to generate sufficient job opportunities to absorb the increasing number of job seekers.</w:t>
      </w:r>
      <w:r w:rsidRPr="00CE086F">
        <w:rPr>
          <w:rFonts w:ascii="Times New Roman" w:hAnsi="Times New Roman"/>
          <w:bCs/>
          <w:color w:val="000000"/>
          <w:sz w:val="24"/>
          <w:szCs w:val="24"/>
        </w:rPr>
        <w:t xml:space="preserve"> </w:t>
      </w:r>
      <w:r w:rsidRPr="00460E50">
        <w:rPr>
          <w:rFonts w:ascii="Arial" w:hAnsi="Arial" w:cs="Arial"/>
          <w:bCs/>
          <w:color w:val="000000"/>
          <w:sz w:val="22"/>
          <w:szCs w:val="22"/>
        </w:rPr>
        <w:t xml:space="preserve">The public sector has been the employer of last resort but its ability to generate more jobs is limited given the PA’s financial stress and the already excessive size of the </w:t>
      </w:r>
      <w:r w:rsidRPr="008A24AD">
        <w:rPr>
          <w:rFonts w:ascii="Arial" w:hAnsi="Arial" w:cs="Arial"/>
          <w:bCs/>
          <w:color w:val="000000"/>
          <w:sz w:val="22"/>
          <w:szCs w:val="22"/>
        </w:rPr>
        <w:t>sector.</w:t>
      </w:r>
    </w:p>
    <w:p w:rsidR="00792401" w:rsidRPr="00CE086F" w:rsidRDefault="00792401" w:rsidP="008A24AD">
      <w:pPr>
        <w:autoSpaceDE w:val="0"/>
        <w:autoSpaceDN w:val="0"/>
        <w:adjustRightInd w:val="0"/>
        <w:spacing w:before="0" w:after="0"/>
        <w:rPr>
          <w:rFonts w:ascii="Times New Roman" w:hAnsi="Times New Roman"/>
          <w:bCs/>
          <w:color w:val="000000"/>
          <w:sz w:val="24"/>
          <w:szCs w:val="24"/>
        </w:rPr>
      </w:pPr>
    </w:p>
    <w:p w:rsidR="00792401" w:rsidRPr="00460E50" w:rsidRDefault="00792401" w:rsidP="008A24AD">
      <w:pPr>
        <w:widowControl w:val="0"/>
        <w:autoSpaceDE w:val="0"/>
        <w:autoSpaceDN w:val="0"/>
        <w:adjustRightInd w:val="0"/>
        <w:spacing w:before="0" w:after="0"/>
        <w:rPr>
          <w:rFonts w:ascii="Arial" w:eastAsia="Calibri" w:hAnsi="Arial" w:cs="Arial"/>
          <w:sz w:val="22"/>
          <w:szCs w:val="22"/>
        </w:rPr>
      </w:pPr>
      <w:r w:rsidRPr="008A24AD">
        <w:rPr>
          <w:rFonts w:ascii="Arial" w:hAnsi="Arial" w:cs="Arial"/>
          <w:b/>
          <w:bCs/>
          <w:color w:val="1F497D" w:themeColor="text2"/>
          <w:sz w:val="22"/>
          <w:szCs w:val="22"/>
        </w:rPr>
        <w:t>Poverty</w:t>
      </w:r>
      <w:r w:rsidR="008A24AD">
        <w:rPr>
          <w:rFonts w:ascii="Arial" w:hAnsi="Arial" w:cs="Arial"/>
          <w:b/>
          <w:bCs/>
          <w:color w:val="4F81BD" w:themeColor="accent1"/>
          <w:sz w:val="22"/>
          <w:szCs w:val="22"/>
        </w:rPr>
        <w:t>.</w:t>
      </w:r>
      <w:r w:rsidRPr="00460E50">
        <w:rPr>
          <w:rFonts w:ascii="Arial" w:hAnsi="Arial" w:cs="Arial"/>
          <w:b/>
          <w:bCs/>
          <w:color w:val="000000"/>
          <w:sz w:val="22"/>
          <w:szCs w:val="22"/>
        </w:rPr>
        <w:t xml:space="preserve"> </w:t>
      </w:r>
      <w:r w:rsidRPr="00460E50">
        <w:rPr>
          <w:rFonts w:ascii="Arial" w:hAnsi="Arial" w:cs="Arial"/>
          <w:bCs/>
          <w:color w:val="000000"/>
          <w:sz w:val="22"/>
          <w:szCs w:val="22"/>
        </w:rPr>
        <w:t xml:space="preserve">In 2009, a little over a fifth of the Palestinian population lived in poverty. The principal poverty narrative is the prevailing and widening poverty divide across the regions of Gaza and the </w:t>
      </w:r>
      <w:r w:rsidRPr="00460E50">
        <w:rPr>
          <w:rFonts w:ascii="Arial" w:eastAsia="Calibri" w:hAnsi="Arial" w:cs="Arial"/>
          <w:sz w:val="22"/>
          <w:szCs w:val="22"/>
        </w:rPr>
        <w:t>West Bank despite an overall 4 percent point reduction in poverty since 2004.  Poverty in the West Bank has been steadily declining, while in Gaza it has yet to return to its 2004 level</w:t>
      </w:r>
      <w:r w:rsidRPr="000D73B5">
        <w:rPr>
          <w:rFonts w:ascii="Arial" w:eastAsia="Calibri" w:hAnsi="Arial" w:cs="Arial"/>
          <w:sz w:val="22"/>
          <w:szCs w:val="22"/>
        </w:rPr>
        <w:t xml:space="preserve">. (Figure </w:t>
      </w:r>
      <w:r w:rsidR="000D73B5" w:rsidRPr="000D73B5">
        <w:rPr>
          <w:rFonts w:ascii="Arial" w:eastAsia="Calibri" w:hAnsi="Arial" w:cs="Arial"/>
          <w:sz w:val="22"/>
          <w:szCs w:val="22"/>
        </w:rPr>
        <w:t>5</w:t>
      </w:r>
      <w:r w:rsidRPr="000D73B5">
        <w:rPr>
          <w:rFonts w:ascii="Arial" w:eastAsia="Calibri" w:hAnsi="Arial" w:cs="Arial"/>
          <w:sz w:val="22"/>
          <w:szCs w:val="22"/>
        </w:rPr>
        <w:t xml:space="preserve"> below).</w:t>
      </w:r>
      <w:r w:rsidR="008A24AD">
        <w:rPr>
          <w:rFonts w:ascii="Arial" w:eastAsia="Calibri" w:hAnsi="Arial" w:cs="Arial"/>
          <w:sz w:val="22"/>
          <w:szCs w:val="22"/>
        </w:rPr>
        <w:t xml:space="preserve"> </w:t>
      </w:r>
      <w:r w:rsidRPr="00460E50">
        <w:rPr>
          <w:rFonts w:ascii="Arial" w:eastAsia="Calibri" w:hAnsi="Arial" w:cs="Arial"/>
          <w:sz w:val="22"/>
          <w:szCs w:val="22"/>
        </w:rPr>
        <w:t xml:space="preserve">At 33.7%, poverty incidence in Gaza is twice as </w:t>
      </w:r>
      <w:r w:rsidR="008A24AD">
        <w:rPr>
          <w:rFonts w:ascii="Arial" w:eastAsia="Calibri" w:hAnsi="Arial" w:cs="Arial"/>
          <w:sz w:val="22"/>
          <w:szCs w:val="22"/>
        </w:rPr>
        <w:t xml:space="preserve">high as that in the West Bank. </w:t>
      </w:r>
      <w:r w:rsidRPr="00460E50">
        <w:rPr>
          <w:rFonts w:ascii="Arial" w:eastAsia="Calibri" w:hAnsi="Arial" w:cs="Arial"/>
          <w:sz w:val="22"/>
          <w:szCs w:val="22"/>
        </w:rPr>
        <w:t>The stark regional divergence is driven by the severe economic shock that</w:t>
      </w:r>
      <w:r w:rsidR="008A24AD">
        <w:rPr>
          <w:rFonts w:ascii="Arial" w:eastAsia="Calibri" w:hAnsi="Arial" w:cs="Arial"/>
          <w:sz w:val="22"/>
          <w:szCs w:val="22"/>
        </w:rPr>
        <w:t xml:space="preserve"> began in 2006. </w:t>
      </w:r>
      <w:r w:rsidRPr="00460E50">
        <w:rPr>
          <w:rFonts w:ascii="Arial" w:eastAsia="Calibri" w:hAnsi="Arial" w:cs="Arial"/>
          <w:sz w:val="22"/>
          <w:szCs w:val="22"/>
        </w:rPr>
        <w:t xml:space="preserve">Gaza experienced a dramatic 20-percentage point poverty increase in 2007, with one in two living below the poverty line.  </w:t>
      </w:r>
    </w:p>
    <w:p w:rsidR="00792401" w:rsidRPr="00460E50" w:rsidRDefault="00792401" w:rsidP="008A24AD">
      <w:pPr>
        <w:widowControl w:val="0"/>
        <w:autoSpaceDE w:val="0"/>
        <w:autoSpaceDN w:val="0"/>
        <w:adjustRightInd w:val="0"/>
        <w:spacing w:before="0" w:after="0"/>
        <w:rPr>
          <w:rFonts w:ascii="Arial" w:eastAsia="Calibri" w:hAnsi="Arial" w:cs="Arial"/>
          <w:sz w:val="22"/>
          <w:szCs w:val="22"/>
        </w:rPr>
      </w:pPr>
      <w:r w:rsidRPr="00460E50">
        <w:rPr>
          <w:rFonts w:ascii="Arial" w:eastAsia="Calibri" w:hAnsi="Arial" w:cs="Arial"/>
          <w:sz w:val="22"/>
          <w:szCs w:val="22"/>
        </w:rPr>
        <w:t>Analysis by the World Bank</w:t>
      </w:r>
      <w:r w:rsidRPr="00460E50">
        <w:rPr>
          <w:rStyle w:val="Rimandonotaapidipagina"/>
          <w:rFonts w:ascii="Arial" w:eastAsia="Calibri" w:hAnsi="Arial" w:cs="Arial"/>
          <w:sz w:val="22"/>
          <w:szCs w:val="22"/>
        </w:rPr>
        <w:footnoteReference w:id="13"/>
      </w:r>
      <w:r w:rsidRPr="00460E50">
        <w:rPr>
          <w:rFonts w:ascii="Arial" w:eastAsia="Calibri" w:hAnsi="Arial" w:cs="Arial"/>
          <w:sz w:val="22"/>
          <w:szCs w:val="22"/>
        </w:rPr>
        <w:t xml:space="preserve"> shows that while there are many drivers of poverty, education level and employment status are clear and enduring correlates of poverty status demonstrating that the closure policy which restricts growth in the private sector is not surprisingly a key factor.  </w:t>
      </w:r>
    </w:p>
    <w:p w:rsidR="00792401" w:rsidRDefault="00792401" w:rsidP="008A24AD">
      <w:pPr>
        <w:widowControl w:val="0"/>
        <w:autoSpaceDE w:val="0"/>
        <w:autoSpaceDN w:val="0"/>
        <w:adjustRightInd w:val="0"/>
        <w:spacing w:before="0" w:after="0"/>
        <w:rPr>
          <w:rFonts w:ascii="Arial" w:hAnsi="Arial" w:cs="Arial"/>
        </w:rPr>
      </w:pPr>
      <w:r w:rsidRPr="00CE086F">
        <w:rPr>
          <w:rFonts w:ascii="Times New Roman" w:eastAsia="Calibri" w:hAnsi="Times New Roman"/>
          <w:sz w:val="24"/>
          <w:szCs w:val="24"/>
        </w:rPr>
        <w:t xml:space="preserve"> </w:t>
      </w:r>
    </w:p>
    <w:p w:rsidR="00792401" w:rsidRDefault="00792401" w:rsidP="008A24AD">
      <w:pPr>
        <w:spacing w:before="0" w:after="0"/>
        <w:rPr>
          <w:rFonts w:ascii="Arial" w:hAnsi="Arial" w:cs="Arial"/>
        </w:rPr>
      </w:pPr>
    </w:p>
    <w:tbl>
      <w:tblPr>
        <w:tblStyle w:val="Grigliatabella"/>
        <w:tblpPr w:leftFromText="141" w:rightFromText="141" w:vertAnchor="text" w:tblpY="1"/>
        <w:tblOverlap w:val="never"/>
        <w:tblW w:w="0" w:type="auto"/>
        <w:tblLook w:val="04A0"/>
      </w:tblPr>
      <w:tblGrid>
        <w:gridCol w:w="6306"/>
      </w:tblGrid>
      <w:tr w:rsidR="008A24AD" w:rsidTr="00755471">
        <w:trPr>
          <w:trHeight w:val="2905"/>
        </w:trPr>
        <w:tc>
          <w:tcPr>
            <w:tcW w:w="6291" w:type="dxa"/>
          </w:tcPr>
          <w:p w:rsidR="008A24AD" w:rsidRPr="008A24AD" w:rsidRDefault="008A24AD" w:rsidP="008A24AD">
            <w:pPr>
              <w:jc w:val="center"/>
              <w:rPr>
                <w:rFonts w:ascii="Arial" w:hAnsi="Arial" w:cs="Arial"/>
                <w:b/>
                <w:color w:val="1F497D" w:themeColor="text2"/>
                <w:sz w:val="18"/>
                <w:szCs w:val="18"/>
              </w:rPr>
            </w:pPr>
            <w:r w:rsidRPr="008A24AD">
              <w:rPr>
                <w:rFonts w:ascii="Arial" w:hAnsi="Arial" w:cs="Arial"/>
                <w:b/>
                <w:color w:val="1F497D" w:themeColor="text2"/>
                <w:sz w:val="18"/>
                <w:szCs w:val="18"/>
              </w:rPr>
              <w:lastRenderedPageBreak/>
              <w:t>Figure 5. Poverty Incidence across West bank and Gaza (as percentage of population)</w:t>
            </w:r>
          </w:p>
          <w:p w:rsidR="008A24AD" w:rsidRDefault="008A24AD" w:rsidP="008A24AD">
            <w:pPr>
              <w:rPr>
                <w:rFonts w:ascii="Arial" w:hAnsi="Arial" w:cs="Arial"/>
              </w:rPr>
            </w:pPr>
            <w:r w:rsidRPr="008A24AD">
              <w:rPr>
                <w:rFonts w:ascii="Arial" w:hAnsi="Arial" w:cs="Arial"/>
                <w:noProof/>
                <w:color w:val="4F81BD" w:themeColor="accent1"/>
                <w:sz w:val="20"/>
                <w:lang w:val="it-IT" w:eastAsia="it-IT"/>
              </w:rPr>
              <w:drawing>
                <wp:inline distT="0" distB="0" distL="0" distR="0">
                  <wp:extent cx="3848100" cy="2209800"/>
                  <wp:effectExtent l="19050" t="0" r="0" b="0"/>
                  <wp:docPr id="213"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7" cstate="print"/>
                          <a:srcRect/>
                          <a:stretch>
                            <a:fillRect/>
                          </a:stretch>
                        </pic:blipFill>
                        <pic:spPr bwMode="auto">
                          <a:xfrm>
                            <a:off x="0" y="0"/>
                            <a:ext cx="3849896" cy="2210831"/>
                          </a:xfrm>
                          <a:prstGeom prst="rect">
                            <a:avLst/>
                          </a:prstGeom>
                          <a:noFill/>
                          <a:ln w="9525">
                            <a:noFill/>
                            <a:miter lim="800000"/>
                            <a:headEnd/>
                            <a:tailEnd/>
                          </a:ln>
                        </pic:spPr>
                      </pic:pic>
                    </a:graphicData>
                  </a:graphic>
                </wp:inline>
              </w:drawing>
            </w:r>
          </w:p>
        </w:tc>
      </w:tr>
    </w:tbl>
    <w:p w:rsidR="00792401" w:rsidRDefault="00792401" w:rsidP="008A24AD">
      <w:pPr>
        <w:widowControl w:val="0"/>
        <w:autoSpaceDE w:val="0"/>
        <w:autoSpaceDN w:val="0"/>
        <w:adjustRightInd w:val="0"/>
        <w:spacing w:before="0" w:after="0"/>
        <w:rPr>
          <w:rFonts w:ascii="Arial" w:eastAsia="Calibri" w:hAnsi="Arial" w:cs="Arial"/>
          <w:sz w:val="22"/>
          <w:szCs w:val="22"/>
        </w:rPr>
      </w:pPr>
      <w:r w:rsidRPr="008A24AD">
        <w:rPr>
          <w:rFonts w:ascii="Arial" w:eastAsia="Calibri" w:hAnsi="Arial" w:cs="Arial"/>
          <w:b/>
          <w:color w:val="1F497D" w:themeColor="text2"/>
          <w:sz w:val="22"/>
          <w:szCs w:val="22"/>
        </w:rPr>
        <w:t>General Overview of Human Development Status</w:t>
      </w:r>
      <w:r w:rsidRPr="00532D1D">
        <w:rPr>
          <w:rStyle w:val="Rimandonotaapidipagina"/>
          <w:rFonts w:ascii="Arial" w:eastAsia="Calibri" w:hAnsi="Arial" w:cs="Arial"/>
          <w:b/>
          <w:color w:val="4F81BD" w:themeColor="accent1"/>
          <w:sz w:val="22"/>
          <w:szCs w:val="22"/>
        </w:rPr>
        <w:footnoteReference w:id="14"/>
      </w:r>
      <w:r w:rsidR="008A24AD">
        <w:rPr>
          <w:rFonts w:ascii="Arial" w:eastAsia="Calibri" w:hAnsi="Arial" w:cs="Arial"/>
          <w:color w:val="4F81BD" w:themeColor="accent1"/>
          <w:sz w:val="22"/>
          <w:szCs w:val="22"/>
        </w:rPr>
        <w:t>.</w:t>
      </w:r>
      <w:r w:rsidR="008A24AD">
        <w:rPr>
          <w:rFonts w:ascii="Arial" w:eastAsia="Calibri" w:hAnsi="Arial" w:cs="Arial"/>
          <w:sz w:val="22"/>
          <w:szCs w:val="22"/>
        </w:rPr>
        <w:t xml:space="preserve"> </w:t>
      </w:r>
      <w:r w:rsidRPr="00460E50">
        <w:rPr>
          <w:rFonts w:ascii="Arial" w:eastAsia="Calibri" w:hAnsi="Arial" w:cs="Arial"/>
          <w:sz w:val="22"/>
          <w:szCs w:val="22"/>
        </w:rPr>
        <w:t>Despite the gloomy picture on</w:t>
      </w:r>
      <w:r w:rsidRPr="00CE086F">
        <w:rPr>
          <w:rFonts w:ascii="Times New Roman" w:eastAsia="Calibri" w:hAnsi="Times New Roman"/>
          <w:sz w:val="24"/>
          <w:szCs w:val="24"/>
        </w:rPr>
        <w:t xml:space="preserve"> </w:t>
      </w:r>
      <w:r w:rsidRPr="00460E50">
        <w:rPr>
          <w:rFonts w:ascii="Arial" w:eastAsia="Calibri" w:hAnsi="Arial" w:cs="Arial"/>
          <w:sz w:val="22"/>
          <w:szCs w:val="22"/>
        </w:rPr>
        <w:t>unemployment and poverty (and mental health), there are some remarkable bright spots.  Unlike in many other countries, poverty in the West Bank and Gaza is not correlated with poor human development outcomes.  The Palestinian territories outperform other countries with similar GNI per</w:t>
      </w:r>
      <w:r w:rsidRPr="00CE086F">
        <w:rPr>
          <w:rFonts w:ascii="Times New Roman" w:eastAsia="Calibri" w:hAnsi="Times New Roman"/>
          <w:sz w:val="24"/>
          <w:szCs w:val="24"/>
        </w:rPr>
        <w:t xml:space="preserve"> </w:t>
      </w:r>
      <w:r w:rsidRPr="00460E50">
        <w:rPr>
          <w:rFonts w:ascii="Arial" w:eastAsia="Calibri" w:hAnsi="Arial" w:cs="Arial"/>
          <w:sz w:val="22"/>
          <w:szCs w:val="22"/>
        </w:rPr>
        <w:t xml:space="preserve">capita as well as its neighbors in terms of life expectancy and literacy rates, which are much higher than countries with similar per capita incomes such as India, Egypt, Nigeria, Cameroon and </w:t>
      </w:r>
      <w:r w:rsidRPr="008A24AD">
        <w:rPr>
          <w:rFonts w:ascii="Arial" w:eastAsia="Calibri" w:hAnsi="Arial" w:cs="Arial"/>
          <w:sz w:val="22"/>
          <w:szCs w:val="22"/>
        </w:rPr>
        <w:t xml:space="preserve">Ghana (Figure </w:t>
      </w:r>
      <w:r w:rsidR="008A24AD" w:rsidRPr="008A24AD">
        <w:rPr>
          <w:rFonts w:ascii="Arial" w:eastAsia="Calibri" w:hAnsi="Arial" w:cs="Arial"/>
          <w:sz w:val="22"/>
          <w:szCs w:val="22"/>
        </w:rPr>
        <w:t>6</w:t>
      </w:r>
      <w:r w:rsidRPr="008A24AD">
        <w:rPr>
          <w:rFonts w:ascii="Arial" w:eastAsia="Calibri" w:hAnsi="Arial" w:cs="Arial"/>
          <w:sz w:val="22"/>
          <w:szCs w:val="22"/>
        </w:rPr>
        <w:t>). In fact</w:t>
      </w:r>
      <w:r w:rsidRPr="00460E50">
        <w:rPr>
          <w:rFonts w:ascii="Arial" w:eastAsia="Calibri" w:hAnsi="Arial" w:cs="Arial"/>
          <w:sz w:val="22"/>
          <w:szCs w:val="22"/>
        </w:rPr>
        <w:t>, Palestinian measures are on par with its richer neighbors in the region, Turkey and Jordan, which have seven and three times the per capita income of the West Bank and Gaza.</w:t>
      </w:r>
      <w:r w:rsidR="00755471">
        <w:rPr>
          <w:rFonts w:ascii="Arial" w:eastAsia="Calibri" w:hAnsi="Arial" w:cs="Arial"/>
          <w:sz w:val="22"/>
          <w:szCs w:val="22"/>
        </w:rPr>
        <w:t xml:space="preserve"> </w:t>
      </w:r>
    </w:p>
    <w:p w:rsidR="00755471" w:rsidRPr="00460E50" w:rsidRDefault="00755471" w:rsidP="008A24AD">
      <w:pPr>
        <w:widowControl w:val="0"/>
        <w:autoSpaceDE w:val="0"/>
        <w:autoSpaceDN w:val="0"/>
        <w:adjustRightInd w:val="0"/>
        <w:spacing w:before="0" w:after="0"/>
        <w:rPr>
          <w:rFonts w:ascii="Arial" w:eastAsia="Calibri" w:hAnsi="Arial" w:cs="Arial"/>
          <w:sz w:val="22"/>
          <w:szCs w:val="22"/>
        </w:rPr>
      </w:pPr>
    </w:p>
    <w:p w:rsidR="008A24AD" w:rsidRDefault="008A24AD" w:rsidP="008A24AD">
      <w:pPr>
        <w:widowControl w:val="0"/>
        <w:autoSpaceDE w:val="0"/>
        <w:autoSpaceDN w:val="0"/>
        <w:adjustRightInd w:val="0"/>
        <w:spacing w:before="0" w:after="0"/>
        <w:rPr>
          <w:rFonts w:ascii="Arial" w:eastAsia="Calibri" w:hAnsi="Arial" w:cs="Arial"/>
          <w:sz w:val="22"/>
          <w:szCs w:val="22"/>
        </w:rPr>
      </w:pPr>
      <w:r w:rsidRPr="00460E50">
        <w:rPr>
          <w:rFonts w:ascii="Arial" w:eastAsia="Calibri" w:hAnsi="Arial" w:cs="Arial"/>
          <w:sz w:val="22"/>
          <w:szCs w:val="22"/>
        </w:rPr>
        <w:t>Even more striking is the remarkable performance of the Palestinian Territory on measures of early</w:t>
      </w:r>
      <w:r w:rsidRPr="00460E50">
        <w:rPr>
          <w:rFonts w:ascii="Arial" w:eastAsia="MS Mincho" w:hAnsi="MS Mincho" w:cs="Arial"/>
          <w:sz w:val="22"/>
          <w:szCs w:val="22"/>
        </w:rPr>
        <w:t> </w:t>
      </w:r>
      <w:r w:rsidRPr="00460E50">
        <w:rPr>
          <w:rFonts w:ascii="Arial" w:eastAsia="Calibri" w:hAnsi="Arial" w:cs="Arial"/>
          <w:sz w:val="22"/>
          <w:szCs w:val="22"/>
        </w:rPr>
        <w:t>childhood development. Countries with similar per</w:t>
      </w:r>
      <w:r w:rsidRPr="00460E50">
        <w:rPr>
          <w:rFonts w:ascii="Arial" w:eastAsia="MS Mincho" w:hAnsi="MS Mincho" w:cs="Arial"/>
          <w:sz w:val="22"/>
          <w:szCs w:val="22"/>
        </w:rPr>
        <w:t> </w:t>
      </w:r>
      <w:r w:rsidRPr="00460E50">
        <w:rPr>
          <w:rFonts w:ascii="Arial" w:eastAsia="Calibri" w:hAnsi="Arial" w:cs="Arial"/>
          <w:sz w:val="22"/>
          <w:szCs w:val="22"/>
        </w:rPr>
        <w:t>capita GNIs perform far</w:t>
      </w:r>
      <w:r w:rsidRPr="00460E50">
        <w:rPr>
          <w:rFonts w:ascii="Arial" w:eastAsia="MS Mincho" w:hAnsi="MS Mincho" w:cs="Arial"/>
          <w:sz w:val="22"/>
          <w:szCs w:val="22"/>
        </w:rPr>
        <w:t> </w:t>
      </w:r>
      <w:r w:rsidRPr="00460E50">
        <w:rPr>
          <w:rFonts w:ascii="Arial" w:eastAsia="Calibri" w:hAnsi="Arial" w:cs="Arial"/>
          <w:sz w:val="22"/>
          <w:szCs w:val="22"/>
        </w:rPr>
        <w:t>worse in terms of measures</w:t>
      </w:r>
      <w:r w:rsidRPr="00460E50">
        <w:rPr>
          <w:rFonts w:ascii="Arial" w:eastAsia="MS Mincho" w:hAnsi="MS Mincho" w:cs="Arial"/>
          <w:sz w:val="22"/>
          <w:szCs w:val="22"/>
        </w:rPr>
        <w:t> </w:t>
      </w:r>
      <w:r w:rsidRPr="00460E50">
        <w:rPr>
          <w:rFonts w:ascii="Arial" w:eastAsia="Calibri" w:hAnsi="Arial" w:cs="Arial"/>
          <w:sz w:val="22"/>
          <w:szCs w:val="22"/>
        </w:rPr>
        <w:t xml:space="preserve">of stunting and </w:t>
      </w:r>
      <w:r w:rsidRPr="008A24AD">
        <w:rPr>
          <w:rFonts w:ascii="Arial" w:eastAsia="Calibri" w:hAnsi="Arial" w:cs="Arial"/>
          <w:sz w:val="22"/>
          <w:szCs w:val="22"/>
        </w:rPr>
        <w:t>wasting</w:t>
      </w:r>
      <w:r w:rsidRPr="008A24AD">
        <w:rPr>
          <w:rFonts w:ascii="Arial" w:eastAsia="MS Mincho" w:hAnsi="MS Mincho" w:cs="Arial"/>
          <w:sz w:val="22"/>
          <w:szCs w:val="22"/>
        </w:rPr>
        <w:t> </w:t>
      </w:r>
      <w:r w:rsidRPr="008A24AD">
        <w:rPr>
          <w:rFonts w:ascii="Arial" w:eastAsia="Calibri" w:hAnsi="Arial" w:cs="Arial"/>
          <w:sz w:val="22"/>
          <w:szCs w:val="22"/>
        </w:rPr>
        <w:t>(Figure 7). India</w:t>
      </w:r>
      <w:r w:rsidRPr="00460E50">
        <w:rPr>
          <w:rFonts w:ascii="Arial" w:eastAsia="Calibri" w:hAnsi="Arial" w:cs="Arial"/>
          <w:sz w:val="22"/>
          <w:szCs w:val="22"/>
        </w:rPr>
        <w:t>, Pakistan</w:t>
      </w:r>
      <w:r w:rsidRPr="00460E50">
        <w:rPr>
          <w:rFonts w:ascii="Arial" w:eastAsia="MS Mincho" w:hAnsi="MS Mincho" w:cs="Arial"/>
          <w:sz w:val="22"/>
          <w:szCs w:val="22"/>
        </w:rPr>
        <w:t> </w:t>
      </w:r>
      <w:r w:rsidRPr="00460E50">
        <w:rPr>
          <w:rFonts w:ascii="Arial" w:eastAsia="Calibri" w:hAnsi="Arial" w:cs="Arial"/>
          <w:sz w:val="22"/>
          <w:szCs w:val="22"/>
        </w:rPr>
        <w:t>and Nigeria have stunting</w:t>
      </w:r>
      <w:r w:rsidRPr="00460E50">
        <w:rPr>
          <w:rFonts w:ascii="Arial" w:eastAsia="MS Mincho" w:hAnsi="MS Mincho" w:cs="Arial"/>
          <w:sz w:val="22"/>
          <w:szCs w:val="22"/>
        </w:rPr>
        <w:t> </w:t>
      </w:r>
      <w:r w:rsidRPr="00460E50">
        <w:rPr>
          <w:rFonts w:ascii="Arial" w:eastAsia="Calibri" w:hAnsi="Arial" w:cs="Arial"/>
          <w:sz w:val="22"/>
          <w:szCs w:val="22"/>
        </w:rPr>
        <w:t>rates more than three and a</w:t>
      </w:r>
      <w:r w:rsidRPr="00460E50">
        <w:rPr>
          <w:rFonts w:ascii="Arial" w:eastAsia="MS Mincho" w:hAnsi="MS Mincho" w:cs="Arial"/>
          <w:sz w:val="22"/>
          <w:szCs w:val="22"/>
        </w:rPr>
        <w:t> </w:t>
      </w:r>
      <w:r w:rsidRPr="00460E50">
        <w:rPr>
          <w:rFonts w:ascii="Arial" w:eastAsia="Calibri" w:hAnsi="Arial" w:cs="Arial"/>
          <w:sz w:val="22"/>
          <w:szCs w:val="22"/>
        </w:rPr>
        <w:t>half times that of the West</w:t>
      </w:r>
      <w:r w:rsidRPr="00460E50">
        <w:rPr>
          <w:rFonts w:ascii="Arial" w:eastAsia="MS Mincho" w:hAnsi="MS Mincho" w:cs="Arial"/>
          <w:sz w:val="22"/>
          <w:szCs w:val="22"/>
        </w:rPr>
        <w:t> </w:t>
      </w:r>
      <w:r w:rsidRPr="00460E50">
        <w:rPr>
          <w:rFonts w:ascii="Arial" w:eastAsia="Calibri" w:hAnsi="Arial" w:cs="Arial"/>
          <w:sz w:val="22"/>
          <w:szCs w:val="22"/>
        </w:rPr>
        <w:t>Bank and Gaza. The</w:t>
      </w:r>
      <w:r w:rsidRPr="00460E50">
        <w:rPr>
          <w:rFonts w:ascii="Arial" w:eastAsia="MS Mincho" w:hAnsi="MS Mincho" w:cs="Arial"/>
          <w:sz w:val="22"/>
          <w:szCs w:val="22"/>
        </w:rPr>
        <w:t> </w:t>
      </w:r>
      <w:r w:rsidRPr="00460E50">
        <w:rPr>
          <w:rFonts w:ascii="Arial" w:eastAsia="Calibri" w:hAnsi="Arial" w:cs="Arial"/>
          <w:sz w:val="22"/>
          <w:szCs w:val="22"/>
        </w:rPr>
        <w:t>comparison is even starker</w:t>
      </w:r>
      <w:r w:rsidRPr="00460E50">
        <w:rPr>
          <w:rFonts w:ascii="Arial" w:eastAsia="MS Mincho" w:hAnsi="MS Mincho" w:cs="Arial"/>
          <w:sz w:val="22"/>
          <w:szCs w:val="22"/>
        </w:rPr>
        <w:t> </w:t>
      </w:r>
      <w:r w:rsidRPr="00460E50">
        <w:rPr>
          <w:rFonts w:ascii="Arial" w:eastAsia="Calibri" w:hAnsi="Arial" w:cs="Arial"/>
          <w:sz w:val="22"/>
          <w:szCs w:val="22"/>
        </w:rPr>
        <w:t>in wasting incidence, with</w:t>
      </w:r>
      <w:r w:rsidRPr="00460E50">
        <w:rPr>
          <w:rFonts w:ascii="Arial" w:eastAsia="MS Mincho" w:hAnsi="MS Mincho" w:cs="Arial"/>
          <w:sz w:val="22"/>
          <w:szCs w:val="22"/>
        </w:rPr>
        <w:t> </w:t>
      </w:r>
      <w:r w:rsidRPr="00460E50">
        <w:rPr>
          <w:rFonts w:ascii="Arial" w:eastAsia="Calibri" w:hAnsi="Arial" w:cs="Arial"/>
          <w:sz w:val="22"/>
          <w:szCs w:val="22"/>
        </w:rPr>
        <w:t>rates more than seven times</w:t>
      </w:r>
      <w:r w:rsidRPr="00460E50">
        <w:rPr>
          <w:rFonts w:ascii="Arial" w:eastAsia="MS Mincho" w:hAnsi="MS Mincho" w:cs="Arial"/>
          <w:sz w:val="22"/>
          <w:szCs w:val="22"/>
        </w:rPr>
        <w:t> </w:t>
      </w:r>
      <w:r w:rsidRPr="00460E50">
        <w:rPr>
          <w:rFonts w:ascii="Arial" w:eastAsia="Calibri" w:hAnsi="Arial" w:cs="Arial"/>
          <w:sz w:val="22"/>
          <w:szCs w:val="22"/>
        </w:rPr>
        <w:t>higher than in the</w:t>
      </w:r>
      <w:r w:rsidRPr="00460E50">
        <w:rPr>
          <w:rFonts w:ascii="Arial" w:eastAsia="MS Mincho" w:hAnsi="MS Mincho" w:cs="Arial"/>
          <w:sz w:val="22"/>
          <w:szCs w:val="22"/>
        </w:rPr>
        <w:t> </w:t>
      </w:r>
      <w:r w:rsidRPr="00460E50">
        <w:rPr>
          <w:rFonts w:ascii="Arial" w:eastAsia="Calibri" w:hAnsi="Arial" w:cs="Arial"/>
          <w:sz w:val="22"/>
          <w:szCs w:val="22"/>
        </w:rPr>
        <w:t>Palestinian territories. Again, the performance of</w:t>
      </w:r>
      <w:r w:rsidRPr="00460E50">
        <w:rPr>
          <w:rFonts w:ascii="Arial" w:eastAsia="MS Mincho" w:hAnsi="MS Mincho" w:cs="Arial"/>
          <w:sz w:val="22"/>
          <w:szCs w:val="22"/>
        </w:rPr>
        <w:t> </w:t>
      </w:r>
      <w:r w:rsidRPr="00460E50">
        <w:rPr>
          <w:rFonts w:ascii="Arial" w:eastAsia="Calibri" w:hAnsi="Arial" w:cs="Arial"/>
          <w:sz w:val="22"/>
          <w:szCs w:val="22"/>
        </w:rPr>
        <w:t>the West Bank and Gaza on</w:t>
      </w:r>
      <w:r w:rsidRPr="00460E50">
        <w:rPr>
          <w:rFonts w:ascii="Arial" w:eastAsia="MS Mincho" w:hAnsi="MS Mincho" w:cs="Arial"/>
          <w:sz w:val="22"/>
          <w:szCs w:val="22"/>
        </w:rPr>
        <w:t> </w:t>
      </w:r>
      <w:r w:rsidRPr="00460E50">
        <w:rPr>
          <w:rFonts w:ascii="Arial" w:eastAsia="Calibri" w:hAnsi="Arial" w:cs="Arial"/>
          <w:sz w:val="22"/>
          <w:szCs w:val="22"/>
        </w:rPr>
        <w:t>these measures of long term investments in human capital dimensions is in line with middle income countries rather than countries with similar per capita incomes.</w:t>
      </w:r>
    </w:p>
    <w:p w:rsidR="00B020F1" w:rsidRPr="00460E50" w:rsidRDefault="00B020F1" w:rsidP="008A24AD">
      <w:pPr>
        <w:widowControl w:val="0"/>
        <w:autoSpaceDE w:val="0"/>
        <w:autoSpaceDN w:val="0"/>
        <w:adjustRightInd w:val="0"/>
        <w:spacing w:before="0" w:after="0"/>
        <w:rPr>
          <w:rFonts w:ascii="Arial" w:eastAsia="Calibri" w:hAnsi="Arial" w:cs="Arial"/>
          <w:sz w:val="22"/>
          <w:szCs w:val="22"/>
        </w:rPr>
      </w:pPr>
    </w:p>
    <w:tbl>
      <w:tblPr>
        <w:tblStyle w:val="Grigliatabella"/>
        <w:tblW w:w="5000" w:type="pct"/>
        <w:tblBorders>
          <w:insideH w:val="none" w:sz="0" w:space="0" w:color="auto"/>
          <w:insideV w:val="none" w:sz="0" w:space="0" w:color="auto"/>
        </w:tblBorders>
        <w:tblLook w:val="04A0"/>
      </w:tblPr>
      <w:tblGrid>
        <w:gridCol w:w="5370"/>
        <w:gridCol w:w="4484"/>
      </w:tblGrid>
      <w:tr w:rsidR="00755471" w:rsidTr="00755471">
        <w:trPr>
          <w:trHeight w:val="2761"/>
        </w:trPr>
        <w:tc>
          <w:tcPr>
            <w:tcW w:w="2725" w:type="pct"/>
          </w:tcPr>
          <w:p w:rsidR="00755471" w:rsidRDefault="00755471" w:rsidP="00755471">
            <w:pPr>
              <w:pStyle w:val="Didascalia"/>
              <w:framePr w:hSpace="0" w:wrap="auto" w:vAnchor="margin" w:hAnchor="text" w:xAlign="left" w:yAlign="inline"/>
            </w:pPr>
            <w:r>
              <w:t>Figure 6: Life expectancy and literacy in the West Bank and Gaza compared to selected countries</w:t>
            </w:r>
          </w:p>
          <w:p w:rsidR="00755471" w:rsidRPr="00755471" w:rsidRDefault="00755471" w:rsidP="00755471">
            <w:pPr>
              <w:spacing w:before="0" w:after="0"/>
              <w:jc w:val="center"/>
              <w:rPr>
                <w:rFonts w:ascii="Arial" w:hAnsi="Arial" w:cs="Arial"/>
                <w:b/>
                <w:color w:val="1F497D" w:themeColor="text2"/>
                <w:sz w:val="18"/>
                <w:szCs w:val="18"/>
              </w:rPr>
            </w:pPr>
            <w:r w:rsidRPr="008A24AD">
              <w:rPr>
                <w:rFonts w:ascii="Times New Roman" w:hAnsi="Times New Roman"/>
                <w:b/>
                <w:noProof/>
                <w:sz w:val="20"/>
                <w:lang w:val="it-IT" w:eastAsia="it-IT"/>
              </w:rPr>
              <w:drawing>
                <wp:inline distT="0" distB="0" distL="0" distR="0">
                  <wp:extent cx="3038475" cy="2314575"/>
                  <wp:effectExtent l="19050" t="0" r="9525" b="0"/>
                  <wp:docPr id="288"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8" cstate="print"/>
                          <a:srcRect/>
                          <a:stretch>
                            <a:fillRect/>
                          </a:stretch>
                        </pic:blipFill>
                        <pic:spPr bwMode="auto">
                          <a:xfrm>
                            <a:off x="0" y="0"/>
                            <a:ext cx="3041710" cy="2317039"/>
                          </a:xfrm>
                          <a:prstGeom prst="rect">
                            <a:avLst/>
                          </a:prstGeom>
                          <a:noFill/>
                          <a:ln w="9525">
                            <a:noFill/>
                            <a:miter lim="800000"/>
                            <a:headEnd/>
                            <a:tailEnd/>
                          </a:ln>
                        </pic:spPr>
                      </pic:pic>
                    </a:graphicData>
                  </a:graphic>
                </wp:inline>
              </w:drawing>
            </w:r>
          </w:p>
        </w:tc>
        <w:tc>
          <w:tcPr>
            <w:tcW w:w="2275" w:type="pct"/>
          </w:tcPr>
          <w:p w:rsidR="00755471" w:rsidRDefault="00755471" w:rsidP="00755471">
            <w:pPr>
              <w:spacing w:before="0" w:after="0"/>
              <w:jc w:val="center"/>
              <w:rPr>
                <w:rFonts w:ascii="Arial" w:eastAsia="Calibri" w:hAnsi="Arial" w:cs="Arial"/>
                <w:sz w:val="22"/>
                <w:szCs w:val="22"/>
              </w:rPr>
            </w:pPr>
            <w:r w:rsidRPr="00755471">
              <w:rPr>
                <w:rFonts w:ascii="Arial" w:hAnsi="Arial" w:cs="Arial"/>
                <w:b/>
                <w:color w:val="1F497D" w:themeColor="text2"/>
                <w:sz w:val="18"/>
                <w:szCs w:val="18"/>
              </w:rPr>
              <w:t>Figure 7</w:t>
            </w:r>
            <w:r>
              <w:rPr>
                <w:rFonts w:ascii="Arial" w:hAnsi="Arial" w:cs="Arial"/>
                <w:b/>
                <w:color w:val="1F497D" w:themeColor="text2"/>
                <w:sz w:val="18"/>
                <w:szCs w:val="18"/>
              </w:rPr>
              <w:t>: S</w:t>
            </w:r>
            <w:r w:rsidRPr="00755471">
              <w:rPr>
                <w:rFonts w:ascii="Arial" w:hAnsi="Arial" w:cs="Arial"/>
                <w:b/>
                <w:color w:val="1F497D" w:themeColor="text2"/>
                <w:sz w:val="18"/>
                <w:szCs w:val="18"/>
              </w:rPr>
              <w:t xml:space="preserve">tunting and wasting in the </w:t>
            </w:r>
            <w:r>
              <w:rPr>
                <w:rFonts w:ascii="Arial" w:hAnsi="Arial" w:cs="Arial"/>
                <w:b/>
                <w:color w:val="1F497D" w:themeColor="text2"/>
                <w:sz w:val="18"/>
                <w:szCs w:val="18"/>
              </w:rPr>
              <w:t>WB&amp;GS</w:t>
            </w:r>
            <w:r w:rsidRPr="00755471">
              <w:rPr>
                <w:rFonts w:ascii="Arial" w:hAnsi="Arial" w:cs="Arial"/>
                <w:noProof/>
                <w:sz w:val="20"/>
                <w:lang w:val="it-IT" w:eastAsia="it-IT"/>
              </w:rPr>
              <w:drawing>
                <wp:inline distT="0" distB="0" distL="0" distR="0">
                  <wp:extent cx="2518410" cy="2049604"/>
                  <wp:effectExtent l="19050" t="0" r="0" b="0"/>
                  <wp:docPr id="287"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9" cstate="print"/>
                          <a:srcRect/>
                          <a:stretch>
                            <a:fillRect/>
                          </a:stretch>
                        </pic:blipFill>
                        <pic:spPr bwMode="auto">
                          <a:xfrm>
                            <a:off x="0" y="0"/>
                            <a:ext cx="2519764" cy="2050706"/>
                          </a:xfrm>
                          <a:prstGeom prst="rect">
                            <a:avLst/>
                          </a:prstGeom>
                          <a:noFill/>
                          <a:ln w="9525">
                            <a:noFill/>
                            <a:miter lim="800000"/>
                            <a:headEnd/>
                            <a:tailEnd/>
                          </a:ln>
                        </pic:spPr>
                      </pic:pic>
                    </a:graphicData>
                  </a:graphic>
                </wp:inline>
              </w:drawing>
            </w:r>
          </w:p>
        </w:tc>
      </w:tr>
      <w:tr w:rsidR="00755471" w:rsidTr="00755471">
        <w:trPr>
          <w:trHeight w:val="425"/>
        </w:trPr>
        <w:tc>
          <w:tcPr>
            <w:tcW w:w="5000" w:type="pct"/>
            <w:gridSpan w:val="2"/>
          </w:tcPr>
          <w:p w:rsidR="00755471" w:rsidRPr="00755471" w:rsidRDefault="00755471" w:rsidP="00755471">
            <w:pPr>
              <w:spacing w:before="0" w:after="0"/>
              <w:jc w:val="center"/>
              <w:rPr>
                <w:rFonts w:ascii="Arial" w:hAnsi="Arial" w:cs="Arial"/>
                <w:b/>
                <w:color w:val="1F497D" w:themeColor="text2"/>
                <w:sz w:val="18"/>
                <w:szCs w:val="18"/>
              </w:rPr>
            </w:pPr>
            <w:r w:rsidRPr="008A24AD">
              <w:rPr>
                <w:rFonts w:ascii="Arial" w:hAnsi="Arial" w:cs="Arial"/>
                <w:i/>
                <w:sz w:val="18"/>
                <w:szCs w:val="18"/>
              </w:rPr>
              <w:t>Source: West Bank and Gaza coping with conflict? Poverty and inclusion in the West Bank and Gaza - WB report No. 61293 – July 29 2011</w:t>
            </w:r>
          </w:p>
        </w:tc>
      </w:tr>
    </w:tbl>
    <w:p w:rsidR="00792401" w:rsidRDefault="00792401" w:rsidP="00792401">
      <w:pPr>
        <w:spacing w:after="0"/>
        <w:rPr>
          <w:rFonts w:ascii="Arial" w:hAnsi="Arial" w:cs="Arial"/>
          <w:sz w:val="22"/>
          <w:szCs w:val="22"/>
        </w:rPr>
      </w:pPr>
      <w:r w:rsidRPr="00460E50">
        <w:rPr>
          <w:rFonts w:ascii="Arial" w:hAnsi="Arial" w:cs="Arial"/>
          <w:sz w:val="22"/>
          <w:szCs w:val="22"/>
        </w:rPr>
        <w:t xml:space="preserve">In short, within its limited ambit of influence in sectors such as education, health and social protection, the Palestinian Authority has implemented policies that ensure service delivery, which bodes well for the formation of a future Palestinian state.  Rather than being linked to human development outcomes, poverty and unemployment are much more closely linked to labor market outcomes, themselves a product of the mobility of labor and goods and the consequent lack of </w:t>
      </w:r>
      <w:r w:rsidRPr="00460E50">
        <w:rPr>
          <w:rFonts w:ascii="Arial" w:hAnsi="Arial" w:cs="Arial"/>
          <w:sz w:val="22"/>
          <w:szCs w:val="22"/>
        </w:rPr>
        <w:lastRenderedPageBreak/>
        <w:t xml:space="preserve">dynamism of the private sector.  This relatively strong performance in the area of human development carries forward to WBG’s achievements with the </w:t>
      </w:r>
      <w:r w:rsidRPr="00755471">
        <w:rPr>
          <w:rFonts w:ascii="Arial" w:hAnsi="Arial" w:cs="Arial"/>
          <w:sz w:val="22"/>
          <w:szCs w:val="22"/>
        </w:rPr>
        <w:t>Millennium Development Goals.</w:t>
      </w:r>
      <w:r w:rsidRPr="00460E50">
        <w:rPr>
          <w:rFonts w:ascii="Arial" w:hAnsi="Arial" w:cs="Arial"/>
          <w:sz w:val="22"/>
          <w:szCs w:val="22"/>
        </w:rPr>
        <w:t xml:space="preserve"> These achievements are high in those areas where the PA has significant ability to influence outcomes (achieving universal primary education, promoting gender equality and empowering women, improving maternal health, and combating HIV/AIDs). It is doing less well on eradicating extreme poverty and ensuring environmental sustainability (over which it has only limited influence).  It is not clear why it has performed poorly in the area of reducing child mortality. </w:t>
      </w:r>
    </w:p>
    <w:p w:rsidR="00755471" w:rsidRDefault="00755471" w:rsidP="00792401">
      <w:pPr>
        <w:spacing w:after="0"/>
        <w:rPr>
          <w:rFonts w:ascii="Arial" w:hAnsi="Arial" w:cs="Arial"/>
          <w:sz w:val="22"/>
          <w:szCs w:val="22"/>
        </w:rPr>
      </w:pPr>
    </w:p>
    <w:tbl>
      <w:tblPr>
        <w:tblStyle w:val="Grigliatabella"/>
        <w:tblW w:w="5000" w:type="pct"/>
        <w:tblBorders>
          <w:insideH w:val="none" w:sz="0" w:space="0" w:color="auto"/>
        </w:tblBorders>
        <w:tblLook w:val="04A0"/>
      </w:tblPr>
      <w:tblGrid>
        <w:gridCol w:w="9854"/>
      </w:tblGrid>
      <w:tr w:rsidR="00755471" w:rsidTr="00755471">
        <w:trPr>
          <w:trHeight w:val="3900"/>
        </w:trPr>
        <w:tc>
          <w:tcPr>
            <w:tcW w:w="5000" w:type="pct"/>
          </w:tcPr>
          <w:p w:rsidR="00755471" w:rsidRPr="00755471" w:rsidRDefault="00755471" w:rsidP="00755471">
            <w:pPr>
              <w:spacing w:before="0" w:after="0"/>
              <w:jc w:val="center"/>
              <w:rPr>
                <w:rFonts w:ascii="Arial" w:hAnsi="Arial" w:cs="Arial"/>
                <w:b/>
                <w:color w:val="1F497D" w:themeColor="text2"/>
                <w:sz w:val="18"/>
                <w:szCs w:val="18"/>
              </w:rPr>
            </w:pPr>
            <w:r>
              <w:rPr>
                <w:rFonts w:ascii="Arial" w:hAnsi="Arial" w:cs="Arial"/>
                <w:b/>
                <w:color w:val="1F497D" w:themeColor="text2"/>
                <w:sz w:val="18"/>
                <w:szCs w:val="18"/>
              </w:rPr>
              <w:t>Figure 8</w:t>
            </w:r>
            <w:r w:rsidRPr="00755471">
              <w:rPr>
                <w:rFonts w:ascii="Arial" w:hAnsi="Arial" w:cs="Arial"/>
                <w:b/>
                <w:color w:val="1F497D" w:themeColor="text2"/>
                <w:sz w:val="18"/>
                <w:szCs w:val="18"/>
              </w:rPr>
              <w:t>: Incidence of stunting in Palestinian territories and around the world</w:t>
            </w:r>
          </w:p>
          <w:p w:rsidR="00755471" w:rsidRDefault="00755471" w:rsidP="00755471">
            <w:pPr>
              <w:spacing w:before="0" w:after="0"/>
              <w:rPr>
                <w:rFonts w:ascii="Arial" w:hAnsi="Arial" w:cs="Arial"/>
                <w:sz w:val="22"/>
                <w:szCs w:val="22"/>
              </w:rPr>
            </w:pPr>
            <w:r w:rsidRPr="006F52D5">
              <w:rPr>
                <w:rFonts w:ascii="Arial" w:hAnsi="Arial" w:cs="Arial"/>
                <w:noProof/>
                <w:sz w:val="18"/>
                <w:szCs w:val="18"/>
                <w:lang w:val="it-IT" w:eastAsia="it-IT"/>
              </w:rPr>
              <w:drawing>
                <wp:inline distT="0" distB="0" distL="0" distR="0">
                  <wp:extent cx="5867400" cy="2076450"/>
                  <wp:effectExtent l="19050" t="0" r="0" b="0"/>
                  <wp:docPr id="289" name="Picture 18" descr="Macintosh HD:Users:nicholaskrafft:Desktop:Screen Shot 2014-02-14 at 11.22.16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acintosh HD:Users:nicholaskrafft:Desktop:Screen Shot 2014-02-14 at 11.22.16 AM.png"/>
                          <pic:cNvPicPr>
                            <a:picLocks noChangeAspect="1" noChangeArrowheads="1"/>
                          </pic:cNvPicPr>
                        </pic:nvPicPr>
                        <pic:blipFill>
                          <a:blip r:embed="rId120"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403" t="15465" r="2649" b="7711"/>
                          <a:stretch>
                            <a:fillRect/>
                          </a:stretch>
                        </pic:blipFill>
                        <pic:spPr bwMode="auto">
                          <a:xfrm>
                            <a:off x="0" y="0"/>
                            <a:ext cx="5895550" cy="2086412"/>
                          </a:xfrm>
                          <a:prstGeom prst="rect">
                            <a:avLst/>
                          </a:prstGeom>
                          <a:noFill/>
                          <a:ln>
                            <a:noFill/>
                          </a:ln>
                        </pic:spPr>
                      </pic:pic>
                    </a:graphicData>
                  </a:graphic>
                </wp:inline>
              </w:drawing>
            </w:r>
            <w:r w:rsidRPr="006F52D5">
              <w:rPr>
                <w:rFonts w:ascii="Arial" w:hAnsi="Arial" w:cs="Arial"/>
                <w:sz w:val="18"/>
                <w:szCs w:val="18"/>
              </w:rPr>
              <w:t xml:space="preserve"> </w:t>
            </w:r>
          </w:p>
        </w:tc>
      </w:tr>
      <w:tr w:rsidR="00755471" w:rsidTr="00755471">
        <w:trPr>
          <w:trHeight w:val="3900"/>
        </w:trPr>
        <w:tc>
          <w:tcPr>
            <w:tcW w:w="5000" w:type="pct"/>
          </w:tcPr>
          <w:p w:rsidR="00755471" w:rsidRPr="00755471" w:rsidRDefault="00755471" w:rsidP="00755471">
            <w:pPr>
              <w:spacing w:before="0" w:after="0"/>
              <w:jc w:val="center"/>
              <w:rPr>
                <w:rFonts w:ascii="Arial" w:hAnsi="Arial" w:cs="Arial"/>
                <w:b/>
                <w:color w:val="1F497D" w:themeColor="text2"/>
                <w:sz w:val="18"/>
                <w:szCs w:val="18"/>
              </w:rPr>
            </w:pPr>
            <w:r>
              <w:rPr>
                <w:rFonts w:ascii="Arial" w:hAnsi="Arial" w:cs="Arial"/>
                <w:b/>
                <w:color w:val="1F497D" w:themeColor="text2"/>
                <w:sz w:val="18"/>
                <w:szCs w:val="18"/>
              </w:rPr>
              <w:t>Figure 9</w:t>
            </w:r>
            <w:r w:rsidRPr="00755471">
              <w:rPr>
                <w:rFonts w:ascii="Arial" w:hAnsi="Arial" w:cs="Arial"/>
                <w:b/>
                <w:color w:val="1F497D" w:themeColor="text2"/>
                <w:sz w:val="18"/>
                <w:szCs w:val="18"/>
              </w:rPr>
              <w:t>: Incidence of wasting in Palestinian territories and Around the World</w:t>
            </w:r>
          </w:p>
          <w:p w:rsidR="00755471" w:rsidRDefault="00755471" w:rsidP="00755471">
            <w:pPr>
              <w:spacing w:before="0" w:after="0"/>
              <w:rPr>
                <w:rFonts w:ascii="Arial" w:hAnsi="Arial" w:cs="Arial"/>
              </w:rPr>
            </w:pPr>
            <w:r>
              <w:rPr>
                <w:rFonts w:ascii="Arial" w:hAnsi="Arial" w:cs="Arial"/>
                <w:noProof/>
                <w:lang w:val="it-IT" w:eastAsia="it-IT"/>
              </w:rPr>
              <w:drawing>
                <wp:inline distT="0" distB="0" distL="0" distR="0">
                  <wp:extent cx="5772150" cy="2105025"/>
                  <wp:effectExtent l="19050" t="0" r="0" b="0"/>
                  <wp:docPr id="312"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1" cstate="print"/>
                          <a:srcRect/>
                          <a:stretch>
                            <a:fillRect/>
                          </a:stretch>
                        </pic:blipFill>
                        <pic:spPr bwMode="auto">
                          <a:xfrm>
                            <a:off x="0" y="0"/>
                            <a:ext cx="5767403" cy="2103294"/>
                          </a:xfrm>
                          <a:prstGeom prst="rect">
                            <a:avLst/>
                          </a:prstGeom>
                          <a:noFill/>
                          <a:ln w="9525">
                            <a:noFill/>
                            <a:miter lim="800000"/>
                            <a:headEnd/>
                            <a:tailEnd/>
                          </a:ln>
                        </pic:spPr>
                      </pic:pic>
                    </a:graphicData>
                  </a:graphic>
                </wp:inline>
              </w:drawing>
            </w:r>
          </w:p>
          <w:p w:rsidR="00755471" w:rsidRPr="00755471" w:rsidRDefault="00755471" w:rsidP="00755471">
            <w:pPr>
              <w:spacing w:before="0" w:after="0"/>
              <w:jc w:val="center"/>
              <w:rPr>
                <w:rFonts w:ascii="Arial" w:hAnsi="Arial" w:cs="Arial"/>
                <w:i/>
                <w:sz w:val="18"/>
                <w:szCs w:val="18"/>
              </w:rPr>
            </w:pPr>
            <w:r w:rsidRPr="00755471">
              <w:rPr>
                <w:rFonts w:ascii="Arial" w:hAnsi="Arial" w:cs="Arial"/>
                <w:i/>
                <w:sz w:val="18"/>
                <w:szCs w:val="18"/>
              </w:rPr>
              <w:t>Sources: World Health Organization, Global database on Child Growth and Malnutrition;</w:t>
            </w:r>
          </w:p>
          <w:p w:rsidR="00755471" w:rsidRDefault="00755471" w:rsidP="00755471">
            <w:pPr>
              <w:spacing w:before="0" w:after="0"/>
              <w:jc w:val="center"/>
              <w:rPr>
                <w:rFonts w:ascii="Arial" w:hAnsi="Arial" w:cs="Arial"/>
                <w:b/>
                <w:color w:val="1F497D" w:themeColor="text2"/>
                <w:sz w:val="18"/>
                <w:szCs w:val="18"/>
              </w:rPr>
            </w:pPr>
            <w:r w:rsidRPr="00755471">
              <w:rPr>
                <w:rFonts w:ascii="Arial" w:hAnsi="Arial" w:cs="Arial"/>
                <w:i/>
                <w:sz w:val="18"/>
                <w:szCs w:val="18"/>
              </w:rPr>
              <w:t>Size of bubbles proportional to total population.</w:t>
            </w:r>
          </w:p>
        </w:tc>
      </w:tr>
    </w:tbl>
    <w:p w:rsidR="00B020F1" w:rsidRPr="00460E50" w:rsidRDefault="00792401" w:rsidP="00B020F1">
      <w:pPr>
        <w:spacing w:after="0"/>
        <w:rPr>
          <w:rFonts w:ascii="Arial" w:hAnsi="Arial" w:cs="Arial"/>
          <w:sz w:val="22"/>
          <w:szCs w:val="22"/>
        </w:rPr>
      </w:pPr>
      <w:r w:rsidRPr="00B020F1">
        <w:rPr>
          <w:rFonts w:ascii="Arial" w:hAnsi="Arial" w:cs="Arial"/>
          <w:b/>
          <w:color w:val="1F497D" w:themeColor="text2"/>
          <w:sz w:val="22"/>
          <w:szCs w:val="22"/>
        </w:rPr>
        <w:t>Education</w:t>
      </w:r>
      <w:r w:rsidR="00755471" w:rsidRPr="00B020F1">
        <w:rPr>
          <w:rFonts w:ascii="Arial" w:hAnsi="Arial" w:cs="Arial"/>
          <w:b/>
          <w:color w:val="1F497D" w:themeColor="text2"/>
          <w:sz w:val="22"/>
          <w:szCs w:val="22"/>
        </w:rPr>
        <w:t>.</w:t>
      </w:r>
      <w:r w:rsidRPr="00460E50">
        <w:rPr>
          <w:rFonts w:ascii="Arial" w:hAnsi="Arial" w:cs="Arial"/>
          <w:b/>
          <w:sz w:val="22"/>
          <w:szCs w:val="22"/>
        </w:rPr>
        <w:t xml:space="preserve"> </w:t>
      </w:r>
      <w:r w:rsidRPr="00460E50">
        <w:rPr>
          <w:rFonts w:ascii="Arial" w:hAnsi="Arial" w:cs="Arial"/>
          <w:sz w:val="22"/>
          <w:szCs w:val="22"/>
        </w:rPr>
        <w:t xml:space="preserve">In West Bank and Gaza, school enrolment has always been high with an average of 90% enrolment </w:t>
      </w:r>
      <w:r w:rsidR="00B020F1">
        <w:rPr>
          <w:rFonts w:ascii="Arial" w:hAnsi="Arial" w:cs="Arial"/>
          <w:sz w:val="22"/>
          <w:szCs w:val="22"/>
        </w:rPr>
        <w:t xml:space="preserve">for the school age population, see figure 10. </w:t>
      </w:r>
      <w:r w:rsidRPr="00460E50">
        <w:rPr>
          <w:rFonts w:ascii="Arial" w:hAnsi="Arial" w:cs="Arial"/>
          <w:sz w:val="22"/>
          <w:szCs w:val="22"/>
        </w:rPr>
        <w:t>Access to primar</w:t>
      </w:r>
      <w:r w:rsidR="00B020F1">
        <w:rPr>
          <w:rFonts w:ascii="Arial" w:hAnsi="Arial" w:cs="Arial"/>
          <w:sz w:val="22"/>
          <w:szCs w:val="22"/>
        </w:rPr>
        <w:t xml:space="preserve">y education is near universal. </w:t>
      </w:r>
      <w:r w:rsidRPr="00460E50">
        <w:rPr>
          <w:rFonts w:ascii="Arial" w:hAnsi="Arial" w:cs="Arial"/>
          <w:sz w:val="22"/>
          <w:szCs w:val="22"/>
        </w:rPr>
        <w:t>The secondary gross enrolment rate is on the order of 20% percentage points higher than the rate in the average middle-income c</w:t>
      </w:r>
      <w:r w:rsidR="00B020F1">
        <w:rPr>
          <w:rFonts w:ascii="Arial" w:hAnsi="Arial" w:cs="Arial"/>
          <w:sz w:val="22"/>
          <w:szCs w:val="22"/>
        </w:rPr>
        <w:t xml:space="preserve">ountry. </w:t>
      </w:r>
      <w:r w:rsidRPr="00460E50">
        <w:rPr>
          <w:rFonts w:ascii="Arial" w:hAnsi="Arial" w:cs="Arial"/>
          <w:sz w:val="22"/>
          <w:szCs w:val="22"/>
        </w:rPr>
        <w:t>Also, as a result of a surge in enrolments in the last decade, enrolment rates in tertiary education are well above the average for the Middle East and North Africa Region. But access do</w:t>
      </w:r>
      <w:r w:rsidR="00B020F1">
        <w:rPr>
          <w:rFonts w:ascii="Arial" w:hAnsi="Arial" w:cs="Arial"/>
          <w:sz w:val="22"/>
          <w:szCs w:val="22"/>
        </w:rPr>
        <w:t xml:space="preserve">es not provide the full story. Students must learn. </w:t>
      </w:r>
      <w:r w:rsidRPr="00460E50">
        <w:rPr>
          <w:rFonts w:ascii="Arial" w:hAnsi="Arial" w:cs="Arial"/>
          <w:sz w:val="22"/>
          <w:szCs w:val="22"/>
        </w:rPr>
        <w:t>In this regard, the WB and Gaza’s performance on international stud</w:t>
      </w:r>
      <w:r w:rsidR="00B020F1">
        <w:rPr>
          <w:rFonts w:ascii="Arial" w:hAnsi="Arial" w:cs="Arial"/>
          <w:sz w:val="22"/>
          <w:szCs w:val="22"/>
        </w:rPr>
        <w:t>ent assessments has been mixed.</w:t>
      </w:r>
      <w:r w:rsidRPr="00460E50">
        <w:rPr>
          <w:rFonts w:ascii="Arial" w:hAnsi="Arial" w:cs="Arial"/>
          <w:sz w:val="22"/>
          <w:szCs w:val="22"/>
        </w:rPr>
        <w:t xml:space="preserve"> WB and Gaza participated in the 2003, 2007 and 2011 international comparative student assessment Trends in International and Science Study (</w:t>
      </w:r>
      <w:proofErr w:type="spellStart"/>
      <w:r w:rsidRPr="00460E50">
        <w:rPr>
          <w:rFonts w:ascii="Arial" w:hAnsi="Arial" w:cs="Arial"/>
          <w:sz w:val="22"/>
          <w:szCs w:val="22"/>
        </w:rPr>
        <w:t>TimSS</w:t>
      </w:r>
      <w:proofErr w:type="spellEnd"/>
      <w:r w:rsidRPr="00460E50">
        <w:rPr>
          <w:rFonts w:ascii="Arial" w:hAnsi="Arial" w:cs="Arial"/>
          <w:sz w:val="22"/>
          <w:szCs w:val="22"/>
        </w:rPr>
        <w:t>) which is designed to help countries all improve student learni</w:t>
      </w:r>
      <w:r w:rsidR="00B020F1">
        <w:rPr>
          <w:rFonts w:ascii="Arial" w:hAnsi="Arial" w:cs="Arial"/>
          <w:sz w:val="22"/>
          <w:szCs w:val="22"/>
        </w:rPr>
        <w:t xml:space="preserve">ng in mathematics and science. </w:t>
      </w:r>
      <w:r w:rsidRPr="00460E50">
        <w:rPr>
          <w:rFonts w:ascii="Arial" w:hAnsi="Arial" w:cs="Arial"/>
          <w:sz w:val="22"/>
          <w:szCs w:val="22"/>
        </w:rPr>
        <w:t>WB and Gaza scores dropped between 2003 and</w:t>
      </w:r>
      <w:r w:rsidR="00755471">
        <w:rPr>
          <w:rFonts w:ascii="Arial" w:hAnsi="Arial" w:cs="Arial"/>
          <w:sz w:val="22"/>
          <w:szCs w:val="22"/>
        </w:rPr>
        <w:t xml:space="preserve"> 2007 but increased in 2011. </w:t>
      </w:r>
      <w:r w:rsidRPr="00460E50">
        <w:rPr>
          <w:rFonts w:ascii="Arial" w:hAnsi="Arial" w:cs="Arial"/>
          <w:sz w:val="22"/>
          <w:szCs w:val="22"/>
        </w:rPr>
        <w:t>Around 50 countries</w:t>
      </w:r>
      <w:r w:rsidR="00755471">
        <w:rPr>
          <w:rFonts w:ascii="Arial" w:hAnsi="Arial" w:cs="Arial"/>
          <w:sz w:val="22"/>
          <w:szCs w:val="22"/>
        </w:rPr>
        <w:t xml:space="preserve"> participated in both studies. </w:t>
      </w:r>
      <w:r w:rsidRPr="00460E50">
        <w:rPr>
          <w:rFonts w:ascii="Arial" w:hAnsi="Arial" w:cs="Arial"/>
          <w:sz w:val="22"/>
          <w:szCs w:val="22"/>
        </w:rPr>
        <w:t>After weak performance in 2007, performance ranked reasonably we</w:t>
      </w:r>
      <w:r w:rsidR="00B020F1">
        <w:rPr>
          <w:rFonts w:ascii="Arial" w:hAnsi="Arial" w:cs="Arial"/>
          <w:sz w:val="22"/>
          <w:szCs w:val="22"/>
        </w:rPr>
        <w:t>ll compared to other countries.</w:t>
      </w:r>
      <w:r w:rsidRPr="00460E50">
        <w:rPr>
          <w:rFonts w:ascii="Arial" w:hAnsi="Arial" w:cs="Arial"/>
          <w:sz w:val="22"/>
          <w:szCs w:val="22"/>
        </w:rPr>
        <w:t xml:space="preserve"> Performance was much poorer in Gaza relative to West Bank; Gaza performance is a</w:t>
      </w:r>
      <w:r w:rsidR="00B020F1">
        <w:rPr>
          <w:rFonts w:ascii="Arial" w:hAnsi="Arial" w:cs="Arial"/>
          <w:sz w:val="22"/>
          <w:szCs w:val="22"/>
        </w:rPr>
        <w:t xml:space="preserve">lso getting weaker. </w:t>
      </w:r>
      <w:r w:rsidR="00B020F1">
        <w:rPr>
          <w:rStyle w:val="Rimandonotaapidipagina"/>
          <w:rFonts w:cs="Arial"/>
        </w:rPr>
        <w:footnoteReference w:id="15"/>
      </w:r>
      <w:r w:rsidR="00B020F1" w:rsidRPr="00460E50">
        <w:rPr>
          <w:rFonts w:ascii="Arial" w:hAnsi="Arial" w:cs="Arial"/>
          <w:sz w:val="22"/>
          <w:szCs w:val="22"/>
        </w:rPr>
        <w:t>.</w:t>
      </w:r>
    </w:p>
    <w:tbl>
      <w:tblPr>
        <w:tblStyle w:val="Grigliatabella"/>
        <w:tblW w:w="0" w:type="auto"/>
        <w:jc w:val="center"/>
        <w:tblLook w:val="04A0"/>
      </w:tblPr>
      <w:tblGrid>
        <w:gridCol w:w="6381"/>
      </w:tblGrid>
      <w:tr w:rsidR="00B020F1" w:rsidTr="006C435C">
        <w:trPr>
          <w:trHeight w:val="3571"/>
          <w:jc w:val="center"/>
        </w:trPr>
        <w:tc>
          <w:tcPr>
            <w:tcW w:w="6381" w:type="dxa"/>
          </w:tcPr>
          <w:p w:rsidR="00B020F1" w:rsidRPr="00B020F1" w:rsidRDefault="00B020F1" w:rsidP="00B020F1">
            <w:pPr>
              <w:spacing w:before="0" w:after="0"/>
              <w:jc w:val="center"/>
              <w:rPr>
                <w:rFonts w:ascii="Arial" w:hAnsi="Arial" w:cs="Arial"/>
                <w:b/>
                <w:color w:val="1F497D" w:themeColor="text2"/>
                <w:sz w:val="18"/>
                <w:szCs w:val="18"/>
              </w:rPr>
            </w:pPr>
            <w:r w:rsidRPr="00B020F1">
              <w:rPr>
                <w:rFonts w:ascii="Arial" w:hAnsi="Arial" w:cs="Arial"/>
                <w:b/>
                <w:color w:val="1F497D" w:themeColor="text2"/>
                <w:sz w:val="18"/>
                <w:szCs w:val="18"/>
              </w:rPr>
              <w:lastRenderedPageBreak/>
              <w:t>Figure 10: Enrollment ratios by age group, 1995-2011</w:t>
            </w:r>
          </w:p>
          <w:p w:rsidR="00B020F1" w:rsidRDefault="00B020F1" w:rsidP="00B020F1">
            <w:pPr>
              <w:spacing w:before="0" w:after="0"/>
              <w:jc w:val="center"/>
              <w:rPr>
                <w:rFonts w:ascii="Arial" w:hAnsi="Arial" w:cs="Arial"/>
              </w:rPr>
            </w:pPr>
            <w:r>
              <w:rPr>
                <w:rFonts w:ascii="Arial" w:hAnsi="Arial" w:cs="Arial"/>
                <w:noProof/>
                <w:lang w:val="it-IT" w:eastAsia="it-IT"/>
              </w:rPr>
              <w:drawing>
                <wp:inline distT="0" distB="0" distL="0" distR="0">
                  <wp:extent cx="3895685" cy="2152650"/>
                  <wp:effectExtent l="19050" t="0" r="0" b="0"/>
                  <wp:docPr id="313"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2" cstate="print"/>
                          <a:srcRect/>
                          <a:stretch>
                            <a:fillRect/>
                          </a:stretch>
                        </pic:blipFill>
                        <pic:spPr bwMode="auto">
                          <a:xfrm>
                            <a:off x="0" y="0"/>
                            <a:ext cx="3899244" cy="2154617"/>
                          </a:xfrm>
                          <a:prstGeom prst="rect">
                            <a:avLst/>
                          </a:prstGeom>
                          <a:noFill/>
                          <a:ln w="9525">
                            <a:noFill/>
                            <a:miter lim="800000"/>
                            <a:headEnd/>
                            <a:tailEnd/>
                          </a:ln>
                        </pic:spPr>
                      </pic:pic>
                    </a:graphicData>
                  </a:graphic>
                </wp:inline>
              </w:drawing>
            </w:r>
          </w:p>
          <w:p w:rsidR="00B020F1" w:rsidRDefault="00B020F1" w:rsidP="00B020F1">
            <w:pPr>
              <w:spacing w:before="0" w:after="0"/>
              <w:jc w:val="center"/>
              <w:rPr>
                <w:rFonts w:ascii="Times New Roman" w:hAnsi="Times New Roman"/>
                <w:sz w:val="24"/>
                <w:szCs w:val="24"/>
              </w:rPr>
            </w:pPr>
            <w:r w:rsidRPr="00B020F1">
              <w:rPr>
                <w:rFonts w:ascii="Arial" w:hAnsi="Arial" w:cs="Arial"/>
                <w:i/>
                <w:color w:val="000000" w:themeColor="text1"/>
                <w:sz w:val="18"/>
                <w:szCs w:val="18"/>
              </w:rPr>
              <w:t>Sources: Palestinian Central Bureau of statistics</w:t>
            </w:r>
          </w:p>
        </w:tc>
      </w:tr>
    </w:tbl>
    <w:p w:rsidR="00792401" w:rsidRDefault="00792401" w:rsidP="00792401">
      <w:pPr>
        <w:spacing w:after="0"/>
        <w:rPr>
          <w:rFonts w:ascii="Times New Roman" w:hAnsi="Times New Roman"/>
          <w:sz w:val="24"/>
          <w:szCs w:val="24"/>
        </w:rPr>
      </w:pPr>
    </w:p>
    <w:tbl>
      <w:tblPr>
        <w:tblStyle w:val="Grigliatabella"/>
        <w:tblW w:w="0" w:type="auto"/>
        <w:jc w:val="center"/>
        <w:tblLook w:val="04A0"/>
      </w:tblPr>
      <w:tblGrid>
        <w:gridCol w:w="5522"/>
      </w:tblGrid>
      <w:tr w:rsidR="006C435C" w:rsidTr="006C435C">
        <w:trPr>
          <w:trHeight w:val="2810"/>
          <w:jc w:val="center"/>
        </w:trPr>
        <w:tc>
          <w:tcPr>
            <w:tcW w:w="5522" w:type="dxa"/>
          </w:tcPr>
          <w:p w:rsidR="006C435C" w:rsidRPr="006C435C" w:rsidRDefault="00205969" w:rsidP="006C435C">
            <w:pPr>
              <w:spacing w:before="0" w:after="0"/>
              <w:jc w:val="center"/>
              <w:rPr>
                <w:rFonts w:ascii="Arial" w:hAnsi="Arial" w:cs="Arial"/>
                <w:b/>
                <w:color w:val="1F497D" w:themeColor="text2"/>
                <w:sz w:val="18"/>
                <w:szCs w:val="18"/>
              </w:rPr>
            </w:pPr>
            <w:r>
              <w:rPr>
                <w:rFonts w:ascii="Arial" w:hAnsi="Arial" w:cs="Arial"/>
                <w:b/>
                <w:color w:val="1F497D" w:themeColor="text2"/>
                <w:sz w:val="18"/>
                <w:szCs w:val="18"/>
              </w:rPr>
              <w:t xml:space="preserve">Figure 11: </w:t>
            </w:r>
            <w:r w:rsidR="006C435C" w:rsidRPr="006C435C">
              <w:rPr>
                <w:rFonts w:ascii="Arial" w:hAnsi="Arial" w:cs="Arial"/>
                <w:b/>
                <w:color w:val="1F497D" w:themeColor="text2"/>
                <w:sz w:val="18"/>
                <w:szCs w:val="18"/>
              </w:rPr>
              <w:t>TIMSS results, Mathematics, Gaza and West Bank, 2003, 2007 and 2011</w:t>
            </w:r>
          </w:p>
          <w:p w:rsidR="006C435C" w:rsidRDefault="006C435C" w:rsidP="006C435C">
            <w:pPr>
              <w:spacing w:before="0" w:after="0"/>
              <w:rPr>
                <w:rFonts w:ascii="Times New Roman" w:hAnsi="Times New Roman"/>
                <w:sz w:val="24"/>
                <w:szCs w:val="24"/>
              </w:rPr>
            </w:pPr>
            <w:r>
              <w:rPr>
                <w:rFonts w:ascii="Arial" w:hAnsi="Arial" w:cs="Arial"/>
                <w:noProof/>
                <w:lang w:val="it-IT" w:eastAsia="it-IT"/>
              </w:rPr>
              <w:drawing>
                <wp:inline distT="0" distB="0" distL="0" distR="0">
                  <wp:extent cx="3096895" cy="1552174"/>
                  <wp:effectExtent l="19050" t="0" r="8255" b="0"/>
                  <wp:docPr id="334" name="Im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3" cstate="print"/>
                          <a:srcRect/>
                          <a:stretch>
                            <a:fillRect/>
                          </a:stretch>
                        </pic:blipFill>
                        <pic:spPr bwMode="auto">
                          <a:xfrm>
                            <a:off x="0" y="0"/>
                            <a:ext cx="3096895" cy="1552174"/>
                          </a:xfrm>
                          <a:prstGeom prst="rect">
                            <a:avLst/>
                          </a:prstGeom>
                          <a:noFill/>
                          <a:ln w="9525">
                            <a:noFill/>
                            <a:miter lim="800000"/>
                            <a:headEnd/>
                            <a:tailEnd/>
                          </a:ln>
                        </pic:spPr>
                      </pic:pic>
                    </a:graphicData>
                  </a:graphic>
                </wp:inline>
              </w:drawing>
            </w:r>
          </w:p>
        </w:tc>
      </w:tr>
      <w:tr w:rsidR="006C435C" w:rsidTr="006C435C">
        <w:trPr>
          <w:trHeight w:val="2778"/>
          <w:jc w:val="center"/>
        </w:trPr>
        <w:tc>
          <w:tcPr>
            <w:tcW w:w="5522" w:type="dxa"/>
          </w:tcPr>
          <w:p w:rsidR="006C435C" w:rsidRPr="006C435C" w:rsidRDefault="00205969" w:rsidP="006C435C">
            <w:pPr>
              <w:spacing w:before="0" w:after="0"/>
              <w:jc w:val="center"/>
              <w:rPr>
                <w:rFonts w:ascii="Arial" w:hAnsi="Arial" w:cs="Arial"/>
                <w:b/>
                <w:color w:val="1F497D" w:themeColor="text2"/>
                <w:sz w:val="18"/>
                <w:szCs w:val="18"/>
              </w:rPr>
            </w:pPr>
            <w:r>
              <w:rPr>
                <w:rFonts w:ascii="Arial" w:hAnsi="Arial" w:cs="Arial"/>
                <w:b/>
                <w:color w:val="1F497D" w:themeColor="text2"/>
                <w:sz w:val="18"/>
                <w:szCs w:val="18"/>
              </w:rPr>
              <w:t xml:space="preserve">Figure 12: </w:t>
            </w:r>
            <w:r w:rsidR="006C435C" w:rsidRPr="006C435C">
              <w:rPr>
                <w:rFonts w:ascii="Arial" w:hAnsi="Arial" w:cs="Arial"/>
                <w:b/>
                <w:color w:val="1F497D" w:themeColor="text2"/>
                <w:sz w:val="18"/>
                <w:szCs w:val="18"/>
              </w:rPr>
              <w:t>TIMSS results, Science, Gaza and West Bank, 2003, 2007 and 2011</w:t>
            </w:r>
          </w:p>
          <w:p w:rsidR="006C435C" w:rsidRDefault="006C435C" w:rsidP="006C435C">
            <w:pPr>
              <w:spacing w:before="0" w:after="0"/>
              <w:rPr>
                <w:rFonts w:ascii="Times New Roman" w:hAnsi="Times New Roman"/>
                <w:sz w:val="24"/>
                <w:szCs w:val="24"/>
              </w:rPr>
            </w:pPr>
            <w:r>
              <w:rPr>
                <w:rFonts w:ascii="Arial" w:hAnsi="Arial" w:cs="Arial"/>
                <w:noProof/>
                <w:lang w:val="it-IT" w:eastAsia="it-IT"/>
              </w:rPr>
              <w:drawing>
                <wp:inline distT="0" distB="0" distL="0" distR="0">
                  <wp:extent cx="2914650" cy="1473594"/>
                  <wp:effectExtent l="19050" t="0" r="0" b="0"/>
                  <wp:docPr id="335" name="Im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24" cstate="print"/>
                          <a:srcRect/>
                          <a:stretch>
                            <a:fillRect/>
                          </a:stretch>
                        </pic:blipFill>
                        <pic:spPr bwMode="auto">
                          <a:xfrm>
                            <a:off x="0" y="0"/>
                            <a:ext cx="2914650" cy="1473594"/>
                          </a:xfrm>
                          <a:prstGeom prst="rect">
                            <a:avLst/>
                          </a:prstGeom>
                          <a:noFill/>
                          <a:ln w="9525">
                            <a:noFill/>
                            <a:miter lim="800000"/>
                            <a:headEnd/>
                            <a:tailEnd/>
                          </a:ln>
                        </pic:spPr>
                      </pic:pic>
                    </a:graphicData>
                  </a:graphic>
                </wp:inline>
              </w:drawing>
            </w:r>
          </w:p>
        </w:tc>
      </w:tr>
      <w:tr w:rsidR="006C435C" w:rsidTr="006C435C">
        <w:trPr>
          <w:trHeight w:val="3145"/>
          <w:jc w:val="center"/>
        </w:trPr>
        <w:tc>
          <w:tcPr>
            <w:tcW w:w="5522" w:type="dxa"/>
          </w:tcPr>
          <w:p w:rsidR="006C435C" w:rsidRPr="006C435C" w:rsidRDefault="00205969" w:rsidP="006C435C">
            <w:pPr>
              <w:spacing w:before="0" w:after="0"/>
              <w:jc w:val="center"/>
              <w:rPr>
                <w:rFonts w:ascii="Arial" w:hAnsi="Arial" w:cs="Arial"/>
                <w:b/>
                <w:color w:val="1F497D" w:themeColor="text2"/>
                <w:sz w:val="18"/>
                <w:szCs w:val="18"/>
              </w:rPr>
            </w:pPr>
            <w:r>
              <w:rPr>
                <w:rFonts w:ascii="Arial" w:hAnsi="Arial" w:cs="Arial"/>
                <w:b/>
                <w:color w:val="1F497D" w:themeColor="text2"/>
                <w:sz w:val="18"/>
                <w:szCs w:val="18"/>
              </w:rPr>
              <w:t xml:space="preserve">Figure 13: </w:t>
            </w:r>
            <w:r w:rsidR="006C435C" w:rsidRPr="006C435C">
              <w:rPr>
                <w:rFonts w:ascii="Arial" w:hAnsi="Arial" w:cs="Arial"/>
                <w:b/>
                <w:color w:val="1F497D" w:themeColor="text2"/>
                <w:sz w:val="18"/>
                <w:szCs w:val="18"/>
              </w:rPr>
              <w:t>Difference in TIMSS Scores – West Bank Compared to Gaza, Mathematics and Science, 2003, 2007 and 2011</w:t>
            </w:r>
          </w:p>
          <w:p w:rsidR="006C435C" w:rsidRPr="006C435C" w:rsidRDefault="006C435C" w:rsidP="006C435C">
            <w:pPr>
              <w:spacing w:before="0" w:after="0"/>
              <w:rPr>
                <w:rFonts w:ascii="Arial" w:hAnsi="Arial" w:cs="Arial"/>
                <w:i/>
                <w:sz w:val="18"/>
                <w:szCs w:val="18"/>
              </w:rPr>
            </w:pPr>
            <w:r>
              <w:rPr>
                <w:rFonts w:ascii="Arial" w:hAnsi="Arial" w:cs="Arial"/>
                <w:noProof/>
                <w:lang w:val="it-IT" w:eastAsia="it-IT"/>
              </w:rPr>
              <w:drawing>
                <wp:inline distT="0" distB="0" distL="0" distR="0">
                  <wp:extent cx="3096865" cy="1428750"/>
                  <wp:effectExtent l="19050" t="0" r="8285" b="0"/>
                  <wp:docPr id="336" name="Immagin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25" cstate="print"/>
                          <a:srcRect/>
                          <a:stretch>
                            <a:fillRect/>
                          </a:stretch>
                        </pic:blipFill>
                        <pic:spPr bwMode="auto">
                          <a:xfrm>
                            <a:off x="0" y="0"/>
                            <a:ext cx="3112367" cy="1435902"/>
                          </a:xfrm>
                          <a:prstGeom prst="rect">
                            <a:avLst/>
                          </a:prstGeom>
                          <a:noFill/>
                          <a:ln w="9525">
                            <a:noFill/>
                            <a:miter lim="800000"/>
                            <a:headEnd/>
                            <a:tailEnd/>
                          </a:ln>
                        </pic:spPr>
                      </pic:pic>
                    </a:graphicData>
                  </a:graphic>
                </wp:inline>
              </w:drawing>
            </w:r>
            <w:r w:rsidRPr="006C435C">
              <w:rPr>
                <w:rFonts w:ascii="Arial" w:hAnsi="Arial" w:cs="Arial"/>
                <w:i/>
                <w:sz w:val="18"/>
                <w:szCs w:val="18"/>
              </w:rPr>
              <w:t xml:space="preserve">Source: TIMSS and MOE, Department of Assessment </w:t>
            </w:r>
          </w:p>
          <w:p w:rsidR="006C435C" w:rsidRDefault="006C435C" w:rsidP="006C435C">
            <w:pPr>
              <w:spacing w:before="0" w:after="0"/>
              <w:rPr>
                <w:rFonts w:ascii="Times New Roman" w:hAnsi="Times New Roman"/>
                <w:sz w:val="24"/>
                <w:szCs w:val="24"/>
              </w:rPr>
            </w:pPr>
            <w:r w:rsidRPr="006C435C">
              <w:rPr>
                <w:rFonts w:ascii="Arial" w:hAnsi="Arial" w:cs="Arial"/>
                <w:i/>
                <w:sz w:val="18"/>
                <w:szCs w:val="18"/>
              </w:rPr>
              <w:t>and Evaluation, Ramallah</w:t>
            </w:r>
          </w:p>
        </w:tc>
      </w:tr>
    </w:tbl>
    <w:p w:rsidR="00792401" w:rsidRDefault="00792401" w:rsidP="00792401">
      <w:pPr>
        <w:spacing w:after="0"/>
        <w:rPr>
          <w:rFonts w:ascii="Times New Roman" w:hAnsi="Times New Roman"/>
          <w:sz w:val="24"/>
          <w:szCs w:val="24"/>
        </w:rPr>
      </w:pPr>
    </w:p>
    <w:p w:rsidR="00792401" w:rsidRDefault="00792401" w:rsidP="00792401">
      <w:pPr>
        <w:spacing w:after="0"/>
        <w:rPr>
          <w:rFonts w:ascii="Times New Roman" w:hAnsi="Times New Roman"/>
          <w:sz w:val="24"/>
          <w:szCs w:val="24"/>
        </w:rPr>
      </w:pPr>
    </w:p>
    <w:p w:rsidR="00792401" w:rsidRPr="00460E50" w:rsidRDefault="00792401" w:rsidP="00792401">
      <w:pPr>
        <w:spacing w:after="0"/>
        <w:rPr>
          <w:rFonts w:ascii="Arial" w:hAnsi="Arial" w:cs="Arial"/>
          <w:sz w:val="22"/>
          <w:szCs w:val="22"/>
        </w:rPr>
      </w:pPr>
      <w:r w:rsidRPr="006C435C">
        <w:rPr>
          <w:rFonts w:ascii="Arial" w:hAnsi="Arial" w:cs="Arial"/>
          <w:sz w:val="22"/>
          <w:szCs w:val="22"/>
        </w:rPr>
        <w:lastRenderedPageBreak/>
        <w:t xml:space="preserve">Table </w:t>
      </w:r>
      <w:r w:rsidR="006C435C" w:rsidRPr="006C435C">
        <w:rPr>
          <w:rFonts w:ascii="Arial" w:hAnsi="Arial" w:cs="Arial"/>
          <w:sz w:val="22"/>
          <w:szCs w:val="22"/>
        </w:rPr>
        <w:t>2</w:t>
      </w:r>
      <w:r w:rsidRPr="006C435C">
        <w:rPr>
          <w:rFonts w:ascii="Arial" w:hAnsi="Arial" w:cs="Arial"/>
          <w:sz w:val="22"/>
          <w:szCs w:val="22"/>
        </w:rPr>
        <w:t xml:space="preserve"> compares</w:t>
      </w:r>
      <w:r w:rsidRPr="00460E50">
        <w:rPr>
          <w:rFonts w:ascii="Arial" w:hAnsi="Arial" w:cs="Arial"/>
          <w:sz w:val="22"/>
          <w:szCs w:val="22"/>
        </w:rPr>
        <w:t xml:space="preserve"> performance in Gaza between UNRWA-run schools, those run by Government (P</w:t>
      </w:r>
      <w:r w:rsidR="006C435C">
        <w:rPr>
          <w:rFonts w:ascii="Arial" w:hAnsi="Arial" w:cs="Arial"/>
          <w:sz w:val="22"/>
          <w:szCs w:val="22"/>
        </w:rPr>
        <w:t xml:space="preserve">A/Hamas), and private schools. </w:t>
      </w:r>
      <w:r w:rsidRPr="00460E50">
        <w:rPr>
          <w:rFonts w:ascii="Arial" w:hAnsi="Arial" w:cs="Arial"/>
          <w:sz w:val="22"/>
          <w:szCs w:val="22"/>
        </w:rPr>
        <w:t>As can be seen, performance is consistently best in private schools, then in UNRWA-operated schools, and weakest in Government-operated schools.</w:t>
      </w:r>
    </w:p>
    <w:p w:rsidR="00792401" w:rsidRPr="006C435C" w:rsidRDefault="006C435C" w:rsidP="00792401">
      <w:pPr>
        <w:spacing w:after="0"/>
        <w:rPr>
          <w:rFonts w:ascii="Arial" w:hAnsi="Arial" w:cs="Arial"/>
          <w:b/>
          <w:color w:val="1F497D" w:themeColor="text2"/>
          <w:sz w:val="18"/>
          <w:szCs w:val="18"/>
        </w:rPr>
      </w:pPr>
      <w:r w:rsidRPr="006C435C">
        <w:rPr>
          <w:rFonts w:ascii="Arial" w:hAnsi="Arial" w:cs="Arial"/>
          <w:b/>
          <w:color w:val="1F497D" w:themeColor="text2"/>
          <w:sz w:val="18"/>
          <w:szCs w:val="18"/>
        </w:rPr>
        <w:t>Table 2: School performance in UNRWA schools, PA schools, and Private schools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74"/>
        <w:gridCol w:w="635"/>
        <w:gridCol w:w="725"/>
        <w:gridCol w:w="605"/>
        <w:gridCol w:w="756"/>
        <w:gridCol w:w="756"/>
        <w:gridCol w:w="756"/>
        <w:gridCol w:w="755"/>
        <w:gridCol w:w="757"/>
        <w:gridCol w:w="756"/>
        <w:gridCol w:w="756"/>
        <w:gridCol w:w="605"/>
        <w:gridCol w:w="605"/>
      </w:tblGrid>
      <w:tr w:rsidR="00792401" w:rsidRPr="00205969" w:rsidTr="00205969">
        <w:trPr>
          <w:trHeight w:val="270"/>
        </w:trPr>
        <w:tc>
          <w:tcPr>
            <w:tcW w:w="1174" w:type="dxa"/>
            <w:vMerge w:val="restart"/>
            <w:shd w:val="clear" w:color="auto" w:fill="1F497D" w:themeFill="text2"/>
            <w:tcMar>
              <w:top w:w="140" w:type="nil"/>
              <w:right w:w="140" w:type="nil"/>
            </w:tcMar>
            <w:vAlign w:val="center"/>
          </w:tcPr>
          <w:p w:rsidR="00792401" w:rsidRPr="00205969" w:rsidRDefault="00792401" w:rsidP="00205969">
            <w:pPr>
              <w:widowControl w:val="0"/>
              <w:autoSpaceDE w:val="0"/>
              <w:autoSpaceDN w:val="0"/>
              <w:adjustRightInd w:val="0"/>
              <w:spacing w:before="0" w:after="0"/>
              <w:jc w:val="center"/>
              <w:rPr>
                <w:rFonts w:ascii="Arial Narrow" w:hAnsi="Arial Narrow" w:cs="Arial"/>
                <w:b/>
                <w:color w:val="FFFFFF" w:themeColor="background1"/>
                <w:sz w:val="16"/>
                <w:szCs w:val="16"/>
              </w:rPr>
            </w:pPr>
            <w:r w:rsidRPr="00205969">
              <w:rPr>
                <w:rFonts w:ascii="Arial Narrow" w:hAnsi="Arial Narrow" w:cs="Arial"/>
                <w:b/>
                <w:color w:val="FFFFFF" w:themeColor="background1"/>
                <w:sz w:val="16"/>
                <w:szCs w:val="16"/>
              </w:rPr>
              <w:t>Area</w:t>
            </w:r>
          </w:p>
        </w:tc>
        <w:tc>
          <w:tcPr>
            <w:tcW w:w="2721" w:type="dxa"/>
            <w:gridSpan w:val="4"/>
            <w:shd w:val="clear" w:color="auto" w:fill="1F497D" w:themeFill="text2"/>
            <w:tcMar>
              <w:top w:w="140" w:type="nil"/>
              <w:right w:w="140" w:type="nil"/>
            </w:tcMar>
            <w:vAlign w:val="center"/>
          </w:tcPr>
          <w:p w:rsidR="00792401" w:rsidRPr="00205969" w:rsidRDefault="00792401" w:rsidP="00205969">
            <w:pPr>
              <w:widowControl w:val="0"/>
              <w:autoSpaceDE w:val="0"/>
              <w:autoSpaceDN w:val="0"/>
              <w:adjustRightInd w:val="0"/>
              <w:spacing w:before="0" w:after="0"/>
              <w:ind w:left="90" w:hanging="56"/>
              <w:jc w:val="center"/>
              <w:rPr>
                <w:rFonts w:ascii="Arial Narrow" w:hAnsi="Arial Narrow" w:cs="Arial"/>
                <w:b/>
                <w:color w:val="FFFFFF" w:themeColor="background1"/>
                <w:sz w:val="16"/>
                <w:szCs w:val="16"/>
              </w:rPr>
            </w:pPr>
            <w:r w:rsidRPr="00205969">
              <w:rPr>
                <w:rFonts w:ascii="Arial Narrow" w:hAnsi="Arial Narrow" w:cs="Arial"/>
                <w:b/>
                <w:color w:val="FFFFFF" w:themeColor="background1"/>
                <w:sz w:val="16"/>
                <w:szCs w:val="16"/>
              </w:rPr>
              <w:t>UNRWA</w:t>
            </w:r>
          </w:p>
        </w:tc>
        <w:tc>
          <w:tcPr>
            <w:tcW w:w="3024" w:type="dxa"/>
            <w:gridSpan w:val="4"/>
            <w:shd w:val="clear" w:color="auto" w:fill="1F497D" w:themeFill="text2"/>
            <w:tcMar>
              <w:top w:w="140" w:type="nil"/>
              <w:right w:w="140" w:type="nil"/>
            </w:tcMar>
            <w:vAlign w:val="center"/>
          </w:tcPr>
          <w:p w:rsidR="00792401" w:rsidRPr="00205969" w:rsidRDefault="00792401" w:rsidP="00205969">
            <w:pPr>
              <w:widowControl w:val="0"/>
              <w:autoSpaceDE w:val="0"/>
              <w:autoSpaceDN w:val="0"/>
              <w:adjustRightInd w:val="0"/>
              <w:spacing w:before="0" w:after="0"/>
              <w:ind w:left="90" w:hanging="16"/>
              <w:jc w:val="center"/>
              <w:rPr>
                <w:rFonts w:ascii="Arial Narrow" w:hAnsi="Arial Narrow" w:cs="Arial"/>
                <w:b/>
                <w:color w:val="FFFFFF" w:themeColor="background1"/>
                <w:sz w:val="16"/>
                <w:szCs w:val="16"/>
              </w:rPr>
            </w:pPr>
            <w:r w:rsidRPr="00205969">
              <w:rPr>
                <w:rFonts w:ascii="Arial Narrow" w:hAnsi="Arial Narrow" w:cs="Arial"/>
                <w:b/>
                <w:color w:val="FFFFFF" w:themeColor="background1"/>
                <w:sz w:val="16"/>
                <w:szCs w:val="16"/>
              </w:rPr>
              <w:t>PA</w:t>
            </w:r>
          </w:p>
        </w:tc>
        <w:tc>
          <w:tcPr>
            <w:tcW w:w="2722" w:type="dxa"/>
            <w:gridSpan w:val="4"/>
            <w:shd w:val="clear" w:color="auto" w:fill="1F497D" w:themeFill="text2"/>
            <w:tcMar>
              <w:top w:w="140" w:type="nil"/>
              <w:right w:w="140" w:type="nil"/>
            </w:tcMar>
            <w:vAlign w:val="center"/>
          </w:tcPr>
          <w:p w:rsidR="00792401" w:rsidRPr="00205969" w:rsidRDefault="00792401" w:rsidP="00205969">
            <w:pPr>
              <w:widowControl w:val="0"/>
              <w:autoSpaceDE w:val="0"/>
              <w:autoSpaceDN w:val="0"/>
              <w:adjustRightInd w:val="0"/>
              <w:spacing w:before="0" w:after="0"/>
              <w:ind w:left="90" w:hanging="37"/>
              <w:jc w:val="center"/>
              <w:rPr>
                <w:rFonts w:ascii="Arial Narrow" w:hAnsi="Arial Narrow" w:cs="Arial"/>
                <w:b/>
                <w:color w:val="FFFFFF" w:themeColor="background1"/>
                <w:sz w:val="16"/>
                <w:szCs w:val="16"/>
              </w:rPr>
            </w:pPr>
            <w:r w:rsidRPr="00205969">
              <w:rPr>
                <w:rFonts w:ascii="Arial Narrow" w:hAnsi="Arial Narrow" w:cs="Arial"/>
                <w:b/>
                <w:color w:val="FFFFFF" w:themeColor="background1"/>
                <w:sz w:val="16"/>
                <w:szCs w:val="16"/>
              </w:rPr>
              <w:t>Private</w:t>
            </w:r>
          </w:p>
        </w:tc>
      </w:tr>
      <w:tr w:rsidR="00792401" w:rsidRPr="00205969" w:rsidTr="00205969">
        <w:trPr>
          <w:trHeight w:val="144"/>
        </w:trPr>
        <w:tc>
          <w:tcPr>
            <w:tcW w:w="1174" w:type="dxa"/>
            <w:vMerge/>
            <w:shd w:val="clear" w:color="auto" w:fill="1F497D" w:themeFill="text2"/>
            <w:tcMar>
              <w:top w:w="140" w:type="nil"/>
              <w:right w:w="140" w:type="nil"/>
            </w:tcMar>
            <w:vAlign w:val="center"/>
          </w:tcPr>
          <w:p w:rsidR="00792401" w:rsidRPr="00205969" w:rsidRDefault="00792401" w:rsidP="00205969">
            <w:pPr>
              <w:widowControl w:val="0"/>
              <w:autoSpaceDE w:val="0"/>
              <w:autoSpaceDN w:val="0"/>
              <w:adjustRightInd w:val="0"/>
              <w:spacing w:before="0" w:after="0"/>
              <w:rPr>
                <w:rFonts w:ascii="Arial Narrow" w:hAnsi="Arial Narrow" w:cs="Arial"/>
                <w:b/>
                <w:color w:val="FFFFFF" w:themeColor="background1"/>
                <w:sz w:val="16"/>
                <w:szCs w:val="16"/>
              </w:rPr>
            </w:pPr>
          </w:p>
        </w:tc>
        <w:tc>
          <w:tcPr>
            <w:tcW w:w="1360" w:type="dxa"/>
            <w:gridSpan w:val="2"/>
            <w:shd w:val="clear" w:color="auto" w:fill="1F497D" w:themeFill="text2"/>
            <w:tcMar>
              <w:top w:w="140" w:type="nil"/>
              <w:right w:w="140" w:type="nil"/>
            </w:tcMar>
            <w:vAlign w:val="center"/>
          </w:tcPr>
          <w:p w:rsidR="00792401" w:rsidRPr="00205969" w:rsidRDefault="00792401" w:rsidP="00205969">
            <w:pPr>
              <w:widowControl w:val="0"/>
              <w:autoSpaceDE w:val="0"/>
              <w:autoSpaceDN w:val="0"/>
              <w:adjustRightInd w:val="0"/>
              <w:spacing w:before="0" w:after="0"/>
              <w:ind w:left="90" w:hanging="56"/>
              <w:jc w:val="center"/>
              <w:rPr>
                <w:rFonts w:ascii="Arial Narrow" w:hAnsi="Arial Narrow" w:cs="Arial"/>
                <w:b/>
                <w:color w:val="FFFFFF" w:themeColor="background1"/>
                <w:sz w:val="16"/>
                <w:szCs w:val="16"/>
              </w:rPr>
            </w:pPr>
            <w:r w:rsidRPr="00205969">
              <w:rPr>
                <w:rFonts w:ascii="Arial Narrow" w:hAnsi="Arial Narrow" w:cs="Arial"/>
                <w:b/>
                <w:color w:val="FFFFFF" w:themeColor="background1"/>
                <w:sz w:val="16"/>
                <w:szCs w:val="16"/>
              </w:rPr>
              <w:t>Arabic</w:t>
            </w:r>
          </w:p>
        </w:tc>
        <w:tc>
          <w:tcPr>
            <w:tcW w:w="1361" w:type="dxa"/>
            <w:gridSpan w:val="2"/>
            <w:shd w:val="clear" w:color="auto" w:fill="1F497D" w:themeFill="text2"/>
            <w:tcMar>
              <w:top w:w="140" w:type="nil"/>
              <w:right w:w="140" w:type="nil"/>
            </w:tcMar>
            <w:vAlign w:val="center"/>
          </w:tcPr>
          <w:p w:rsidR="00792401" w:rsidRPr="00205969" w:rsidRDefault="00792401" w:rsidP="00205969">
            <w:pPr>
              <w:widowControl w:val="0"/>
              <w:autoSpaceDE w:val="0"/>
              <w:autoSpaceDN w:val="0"/>
              <w:adjustRightInd w:val="0"/>
              <w:spacing w:before="0" w:after="0"/>
              <w:ind w:left="90" w:firstLine="20"/>
              <w:jc w:val="center"/>
              <w:rPr>
                <w:rFonts w:ascii="Arial Narrow" w:hAnsi="Arial Narrow" w:cs="Arial"/>
                <w:b/>
                <w:color w:val="FFFFFF" w:themeColor="background1"/>
                <w:sz w:val="16"/>
                <w:szCs w:val="16"/>
              </w:rPr>
            </w:pPr>
            <w:r w:rsidRPr="00205969">
              <w:rPr>
                <w:rFonts w:ascii="Arial Narrow" w:hAnsi="Arial Narrow" w:cs="Arial"/>
                <w:b/>
                <w:color w:val="FFFFFF" w:themeColor="background1"/>
                <w:sz w:val="16"/>
                <w:szCs w:val="16"/>
              </w:rPr>
              <w:t>Math.</w:t>
            </w:r>
          </w:p>
        </w:tc>
        <w:tc>
          <w:tcPr>
            <w:tcW w:w="1512" w:type="dxa"/>
            <w:gridSpan w:val="2"/>
            <w:shd w:val="clear" w:color="auto" w:fill="1F497D" w:themeFill="text2"/>
            <w:tcMar>
              <w:top w:w="140" w:type="nil"/>
              <w:right w:w="140" w:type="nil"/>
            </w:tcMar>
            <w:vAlign w:val="center"/>
          </w:tcPr>
          <w:p w:rsidR="00792401" w:rsidRPr="00205969" w:rsidRDefault="00792401" w:rsidP="00205969">
            <w:pPr>
              <w:widowControl w:val="0"/>
              <w:autoSpaceDE w:val="0"/>
              <w:autoSpaceDN w:val="0"/>
              <w:adjustRightInd w:val="0"/>
              <w:spacing w:before="0" w:after="0"/>
              <w:ind w:left="90" w:hanging="16"/>
              <w:jc w:val="center"/>
              <w:rPr>
                <w:rFonts w:ascii="Arial Narrow" w:hAnsi="Arial Narrow" w:cs="Arial"/>
                <w:b/>
                <w:color w:val="FFFFFF" w:themeColor="background1"/>
                <w:sz w:val="16"/>
                <w:szCs w:val="16"/>
              </w:rPr>
            </w:pPr>
            <w:r w:rsidRPr="00205969">
              <w:rPr>
                <w:rFonts w:ascii="Arial Narrow" w:hAnsi="Arial Narrow" w:cs="Arial"/>
                <w:b/>
                <w:color w:val="FFFFFF" w:themeColor="background1"/>
                <w:sz w:val="16"/>
                <w:szCs w:val="16"/>
              </w:rPr>
              <w:t>Arabic</w:t>
            </w:r>
          </w:p>
        </w:tc>
        <w:tc>
          <w:tcPr>
            <w:tcW w:w="1512" w:type="dxa"/>
            <w:gridSpan w:val="2"/>
            <w:shd w:val="clear" w:color="auto" w:fill="1F497D" w:themeFill="text2"/>
            <w:tcMar>
              <w:top w:w="140" w:type="nil"/>
              <w:right w:w="140" w:type="nil"/>
            </w:tcMar>
            <w:vAlign w:val="center"/>
          </w:tcPr>
          <w:p w:rsidR="00792401" w:rsidRPr="00205969" w:rsidRDefault="00792401" w:rsidP="00205969">
            <w:pPr>
              <w:widowControl w:val="0"/>
              <w:autoSpaceDE w:val="0"/>
              <w:autoSpaceDN w:val="0"/>
              <w:adjustRightInd w:val="0"/>
              <w:spacing w:before="0" w:after="0"/>
              <w:ind w:left="90" w:hanging="52"/>
              <w:jc w:val="center"/>
              <w:rPr>
                <w:rFonts w:ascii="Arial Narrow" w:hAnsi="Arial Narrow" w:cs="Arial"/>
                <w:b/>
                <w:color w:val="FFFFFF" w:themeColor="background1"/>
                <w:sz w:val="16"/>
                <w:szCs w:val="16"/>
              </w:rPr>
            </w:pPr>
            <w:r w:rsidRPr="00205969">
              <w:rPr>
                <w:rFonts w:ascii="Arial Narrow" w:hAnsi="Arial Narrow" w:cs="Arial"/>
                <w:b/>
                <w:color w:val="FFFFFF" w:themeColor="background1"/>
                <w:sz w:val="16"/>
                <w:szCs w:val="16"/>
              </w:rPr>
              <w:t>Math.</w:t>
            </w:r>
          </w:p>
        </w:tc>
        <w:tc>
          <w:tcPr>
            <w:tcW w:w="1512" w:type="dxa"/>
            <w:gridSpan w:val="2"/>
            <w:shd w:val="clear" w:color="auto" w:fill="1F497D" w:themeFill="text2"/>
            <w:tcMar>
              <w:top w:w="140" w:type="nil"/>
              <w:right w:w="140" w:type="nil"/>
            </w:tcMar>
            <w:vAlign w:val="center"/>
          </w:tcPr>
          <w:p w:rsidR="00792401" w:rsidRPr="00205969" w:rsidRDefault="00792401" w:rsidP="00205969">
            <w:pPr>
              <w:widowControl w:val="0"/>
              <w:autoSpaceDE w:val="0"/>
              <w:autoSpaceDN w:val="0"/>
              <w:adjustRightInd w:val="0"/>
              <w:spacing w:before="0" w:after="0"/>
              <w:ind w:left="90" w:hanging="37"/>
              <w:jc w:val="center"/>
              <w:rPr>
                <w:rFonts w:ascii="Arial Narrow" w:hAnsi="Arial Narrow" w:cs="Arial"/>
                <w:b/>
                <w:color w:val="FFFFFF" w:themeColor="background1"/>
                <w:sz w:val="16"/>
                <w:szCs w:val="16"/>
              </w:rPr>
            </w:pPr>
            <w:r w:rsidRPr="00205969">
              <w:rPr>
                <w:rFonts w:ascii="Arial Narrow" w:hAnsi="Arial Narrow" w:cs="Arial"/>
                <w:b/>
                <w:color w:val="FFFFFF" w:themeColor="background1"/>
                <w:sz w:val="16"/>
                <w:szCs w:val="16"/>
              </w:rPr>
              <w:t>Arabic</w:t>
            </w:r>
          </w:p>
        </w:tc>
        <w:tc>
          <w:tcPr>
            <w:tcW w:w="1210" w:type="dxa"/>
            <w:gridSpan w:val="2"/>
            <w:shd w:val="clear" w:color="auto" w:fill="1F497D" w:themeFill="text2"/>
            <w:tcMar>
              <w:top w:w="140" w:type="nil"/>
              <w:right w:w="140" w:type="nil"/>
            </w:tcMar>
            <w:vAlign w:val="center"/>
          </w:tcPr>
          <w:p w:rsidR="00792401" w:rsidRPr="00205969" w:rsidRDefault="00792401" w:rsidP="00205969">
            <w:pPr>
              <w:widowControl w:val="0"/>
              <w:autoSpaceDE w:val="0"/>
              <w:autoSpaceDN w:val="0"/>
              <w:adjustRightInd w:val="0"/>
              <w:spacing w:before="0" w:after="0"/>
              <w:ind w:left="90" w:hanging="91"/>
              <w:jc w:val="center"/>
              <w:rPr>
                <w:rFonts w:ascii="Arial Narrow" w:hAnsi="Arial Narrow" w:cs="Arial"/>
                <w:b/>
                <w:color w:val="FFFFFF" w:themeColor="background1"/>
                <w:sz w:val="16"/>
                <w:szCs w:val="16"/>
              </w:rPr>
            </w:pPr>
            <w:r w:rsidRPr="00205969">
              <w:rPr>
                <w:rFonts w:ascii="Arial Narrow" w:hAnsi="Arial Narrow" w:cs="Arial"/>
                <w:b/>
                <w:color w:val="FFFFFF" w:themeColor="background1"/>
                <w:sz w:val="16"/>
                <w:szCs w:val="16"/>
              </w:rPr>
              <w:t>Math.</w:t>
            </w:r>
          </w:p>
        </w:tc>
      </w:tr>
      <w:tr w:rsidR="00792401" w:rsidRPr="00205969" w:rsidTr="00205969">
        <w:trPr>
          <w:trHeight w:val="144"/>
        </w:trPr>
        <w:tc>
          <w:tcPr>
            <w:tcW w:w="1174" w:type="dxa"/>
            <w:vMerge/>
            <w:tcMar>
              <w:top w:w="140" w:type="nil"/>
              <w:right w:w="140" w:type="nil"/>
            </w:tcMar>
            <w:vAlign w:val="center"/>
          </w:tcPr>
          <w:p w:rsidR="00792401" w:rsidRPr="00205969" w:rsidRDefault="00792401" w:rsidP="00205969">
            <w:pPr>
              <w:widowControl w:val="0"/>
              <w:autoSpaceDE w:val="0"/>
              <w:autoSpaceDN w:val="0"/>
              <w:adjustRightInd w:val="0"/>
              <w:spacing w:before="0" w:after="0"/>
              <w:rPr>
                <w:rFonts w:ascii="Arial Narrow" w:hAnsi="Arial Narrow" w:cs="Arial"/>
                <w:color w:val="1A1A1A"/>
                <w:sz w:val="16"/>
                <w:szCs w:val="16"/>
              </w:rPr>
            </w:pPr>
          </w:p>
        </w:tc>
        <w:tc>
          <w:tcPr>
            <w:tcW w:w="635" w:type="dxa"/>
            <w:shd w:val="clear" w:color="auto" w:fill="F2F2F2" w:themeFill="background1" w:themeFillShade="F2"/>
            <w:tcMar>
              <w:top w:w="140" w:type="nil"/>
              <w:right w:w="140" w:type="nil"/>
            </w:tcMar>
            <w:vAlign w:val="center"/>
          </w:tcPr>
          <w:p w:rsidR="00792401" w:rsidRPr="00205969" w:rsidRDefault="00792401" w:rsidP="00205969">
            <w:pPr>
              <w:widowControl w:val="0"/>
              <w:autoSpaceDE w:val="0"/>
              <w:autoSpaceDN w:val="0"/>
              <w:adjustRightInd w:val="0"/>
              <w:spacing w:before="0" w:after="0"/>
              <w:ind w:left="90" w:hanging="56"/>
              <w:jc w:val="center"/>
              <w:rPr>
                <w:rFonts w:ascii="Arial Narrow" w:hAnsi="Arial Narrow" w:cs="Arial"/>
                <w:b/>
                <w:color w:val="1A1A1A"/>
                <w:sz w:val="16"/>
                <w:szCs w:val="16"/>
              </w:rPr>
            </w:pPr>
            <w:r w:rsidRPr="00205969">
              <w:rPr>
                <w:rFonts w:ascii="Arial Narrow" w:hAnsi="Arial Narrow" w:cs="Arial"/>
                <w:b/>
                <w:color w:val="1A1A1A"/>
                <w:sz w:val="16"/>
                <w:szCs w:val="16"/>
              </w:rPr>
              <w:t>Pass %</w:t>
            </w:r>
          </w:p>
        </w:tc>
        <w:tc>
          <w:tcPr>
            <w:tcW w:w="725" w:type="dxa"/>
            <w:shd w:val="clear" w:color="auto" w:fill="F2F2F2" w:themeFill="background1" w:themeFillShade="F2"/>
            <w:tcMar>
              <w:top w:w="140" w:type="nil"/>
              <w:right w:w="140" w:type="nil"/>
            </w:tcMar>
            <w:vAlign w:val="center"/>
          </w:tcPr>
          <w:p w:rsidR="00792401" w:rsidRPr="00205969" w:rsidRDefault="00792401" w:rsidP="00205969">
            <w:pPr>
              <w:widowControl w:val="0"/>
              <w:autoSpaceDE w:val="0"/>
              <w:autoSpaceDN w:val="0"/>
              <w:adjustRightInd w:val="0"/>
              <w:spacing w:before="0" w:after="0"/>
              <w:ind w:left="90" w:firstLine="27"/>
              <w:jc w:val="center"/>
              <w:rPr>
                <w:rFonts w:ascii="Arial Narrow" w:hAnsi="Arial Narrow" w:cs="Arial"/>
                <w:b/>
                <w:color w:val="1A1A1A"/>
                <w:sz w:val="16"/>
                <w:szCs w:val="16"/>
              </w:rPr>
            </w:pPr>
            <w:r w:rsidRPr="00205969">
              <w:rPr>
                <w:rFonts w:ascii="Arial Narrow" w:hAnsi="Arial Narrow" w:cs="Arial"/>
                <w:b/>
                <w:color w:val="1A1A1A"/>
                <w:sz w:val="16"/>
                <w:szCs w:val="16"/>
              </w:rPr>
              <w:t>Mean 50</w:t>
            </w:r>
          </w:p>
        </w:tc>
        <w:tc>
          <w:tcPr>
            <w:tcW w:w="605" w:type="dxa"/>
            <w:shd w:val="clear" w:color="auto" w:fill="F2F2F2" w:themeFill="background1" w:themeFillShade="F2"/>
            <w:tcMar>
              <w:top w:w="140" w:type="nil"/>
              <w:right w:w="140" w:type="nil"/>
            </w:tcMar>
            <w:vAlign w:val="center"/>
          </w:tcPr>
          <w:p w:rsidR="00792401" w:rsidRPr="00205969" w:rsidRDefault="00792401" w:rsidP="00205969">
            <w:pPr>
              <w:widowControl w:val="0"/>
              <w:autoSpaceDE w:val="0"/>
              <w:autoSpaceDN w:val="0"/>
              <w:adjustRightInd w:val="0"/>
              <w:spacing w:before="0" w:after="0"/>
              <w:ind w:left="93" w:hanging="122"/>
              <w:jc w:val="center"/>
              <w:rPr>
                <w:rFonts w:ascii="Arial Narrow" w:hAnsi="Arial Narrow" w:cs="Arial"/>
                <w:b/>
                <w:color w:val="1A1A1A"/>
                <w:sz w:val="16"/>
                <w:szCs w:val="16"/>
              </w:rPr>
            </w:pPr>
            <w:r w:rsidRPr="00205969">
              <w:rPr>
                <w:rFonts w:ascii="Arial Narrow" w:hAnsi="Arial Narrow" w:cs="Arial"/>
                <w:b/>
                <w:color w:val="1A1A1A"/>
                <w:sz w:val="16"/>
                <w:szCs w:val="16"/>
              </w:rPr>
              <w:t>Pass %</w:t>
            </w:r>
          </w:p>
        </w:tc>
        <w:tc>
          <w:tcPr>
            <w:tcW w:w="756" w:type="dxa"/>
            <w:shd w:val="clear" w:color="auto" w:fill="F2F2F2" w:themeFill="background1" w:themeFillShade="F2"/>
            <w:tcMar>
              <w:top w:w="140" w:type="nil"/>
              <w:right w:w="140" w:type="nil"/>
            </w:tcMar>
            <w:vAlign w:val="center"/>
          </w:tcPr>
          <w:p w:rsidR="00205969" w:rsidRPr="00205969" w:rsidRDefault="00792401" w:rsidP="00205969">
            <w:pPr>
              <w:widowControl w:val="0"/>
              <w:autoSpaceDE w:val="0"/>
              <w:autoSpaceDN w:val="0"/>
              <w:adjustRightInd w:val="0"/>
              <w:spacing w:before="0" w:after="0"/>
              <w:ind w:left="90" w:hanging="19"/>
              <w:jc w:val="center"/>
              <w:rPr>
                <w:rFonts w:ascii="Arial Narrow" w:hAnsi="Arial Narrow" w:cs="Arial"/>
                <w:b/>
                <w:color w:val="1A1A1A"/>
                <w:sz w:val="16"/>
                <w:szCs w:val="16"/>
              </w:rPr>
            </w:pPr>
            <w:r w:rsidRPr="00205969">
              <w:rPr>
                <w:rFonts w:ascii="Arial Narrow" w:hAnsi="Arial Narrow" w:cs="Arial"/>
                <w:b/>
                <w:color w:val="1A1A1A"/>
                <w:sz w:val="16"/>
                <w:szCs w:val="16"/>
              </w:rPr>
              <w:t>Mean</w:t>
            </w:r>
          </w:p>
          <w:p w:rsidR="00792401" w:rsidRPr="00205969" w:rsidRDefault="00792401" w:rsidP="00205969">
            <w:pPr>
              <w:widowControl w:val="0"/>
              <w:autoSpaceDE w:val="0"/>
              <w:autoSpaceDN w:val="0"/>
              <w:adjustRightInd w:val="0"/>
              <w:spacing w:before="0" w:after="0"/>
              <w:ind w:left="90" w:hanging="19"/>
              <w:jc w:val="center"/>
              <w:rPr>
                <w:rFonts w:ascii="Arial Narrow" w:hAnsi="Arial Narrow" w:cs="Arial"/>
                <w:b/>
                <w:color w:val="1A1A1A"/>
                <w:sz w:val="16"/>
                <w:szCs w:val="16"/>
              </w:rPr>
            </w:pPr>
            <w:r w:rsidRPr="00205969">
              <w:rPr>
                <w:rFonts w:ascii="Arial Narrow" w:hAnsi="Arial Narrow" w:cs="Arial"/>
                <w:b/>
                <w:color w:val="1A1A1A"/>
                <w:sz w:val="16"/>
                <w:szCs w:val="16"/>
              </w:rPr>
              <w:t>50</w:t>
            </w:r>
          </w:p>
        </w:tc>
        <w:tc>
          <w:tcPr>
            <w:tcW w:w="756" w:type="dxa"/>
            <w:shd w:val="clear" w:color="auto" w:fill="F2F2F2" w:themeFill="background1" w:themeFillShade="F2"/>
            <w:tcMar>
              <w:top w:w="140" w:type="nil"/>
              <w:right w:w="140" w:type="nil"/>
            </w:tcMar>
            <w:vAlign w:val="center"/>
          </w:tcPr>
          <w:p w:rsidR="00792401" w:rsidRPr="00205969" w:rsidRDefault="00792401" w:rsidP="00205969">
            <w:pPr>
              <w:widowControl w:val="0"/>
              <w:autoSpaceDE w:val="0"/>
              <w:autoSpaceDN w:val="0"/>
              <w:adjustRightInd w:val="0"/>
              <w:spacing w:before="0" w:after="0"/>
              <w:ind w:left="90" w:firstLine="22"/>
              <w:jc w:val="center"/>
              <w:rPr>
                <w:rFonts w:ascii="Arial Narrow" w:hAnsi="Arial Narrow" w:cs="Arial"/>
                <w:b/>
                <w:color w:val="1A1A1A"/>
                <w:sz w:val="16"/>
                <w:szCs w:val="16"/>
              </w:rPr>
            </w:pPr>
            <w:r w:rsidRPr="00205969">
              <w:rPr>
                <w:rFonts w:ascii="Arial Narrow" w:hAnsi="Arial Narrow" w:cs="Arial"/>
                <w:b/>
                <w:color w:val="1A1A1A"/>
                <w:sz w:val="16"/>
                <w:szCs w:val="16"/>
              </w:rPr>
              <w:t>Pass %</w:t>
            </w:r>
          </w:p>
        </w:tc>
        <w:tc>
          <w:tcPr>
            <w:tcW w:w="756" w:type="dxa"/>
            <w:shd w:val="clear" w:color="auto" w:fill="F2F2F2" w:themeFill="background1" w:themeFillShade="F2"/>
            <w:tcMar>
              <w:top w:w="140" w:type="nil"/>
              <w:right w:w="140" w:type="nil"/>
            </w:tcMar>
            <w:vAlign w:val="center"/>
          </w:tcPr>
          <w:p w:rsidR="00205969" w:rsidRPr="00205969" w:rsidRDefault="00792401" w:rsidP="00205969">
            <w:pPr>
              <w:widowControl w:val="0"/>
              <w:autoSpaceDE w:val="0"/>
              <w:autoSpaceDN w:val="0"/>
              <w:adjustRightInd w:val="0"/>
              <w:spacing w:before="0" w:after="0"/>
              <w:ind w:left="90" w:hanging="90"/>
              <w:jc w:val="center"/>
              <w:rPr>
                <w:rFonts w:ascii="Arial Narrow" w:hAnsi="Arial Narrow" w:cs="Arial"/>
                <w:b/>
                <w:color w:val="1A1A1A"/>
                <w:sz w:val="16"/>
                <w:szCs w:val="16"/>
              </w:rPr>
            </w:pPr>
            <w:r w:rsidRPr="00205969">
              <w:rPr>
                <w:rFonts w:ascii="Arial Narrow" w:hAnsi="Arial Narrow" w:cs="Arial"/>
                <w:b/>
                <w:color w:val="1A1A1A"/>
                <w:sz w:val="16"/>
                <w:szCs w:val="16"/>
              </w:rPr>
              <w:t xml:space="preserve">Mean </w:t>
            </w:r>
          </w:p>
          <w:p w:rsidR="00792401" w:rsidRPr="00205969" w:rsidRDefault="00792401" w:rsidP="00205969">
            <w:pPr>
              <w:widowControl w:val="0"/>
              <w:autoSpaceDE w:val="0"/>
              <w:autoSpaceDN w:val="0"/>
              <w:adjustRightInd w:val="0"/>
              <w:spacing w:before="0" w:after="0"/>
              <w:ind w:left="90" w:hanging="90"/>
              <w:jc w:val="center"/>
              <w:rPr>
                <w:rFonts w:ascii="Arial Narrow" w:hAnsi="Arial Narrow" w:cs="Arial"/>
                <w:b/>
                <w:color w:val="1A1A1A"/>
                <w:sz w:val="16"/>
                <w:szCs w:val="16"/>
              </w:rPr>
            </w:pPr>
            <w:r w:rsidRPr="00205969">
              <w:rPr>
                <w:rFonts w:ascii="Arial Narrow" w:hAnsi="Arial Narrow" w:cs="Arial"/>
                <w:b/>
                <w:color w:val="1A1A1A"/>
                <w:sz w:val="16"/>
                <w:szCs w:val="16"/>
              </w:rPr>
              <w:t>50</w:t>
            </w:r>
          </w:p>
        </w:tc>
        <w:tc>
          <w:tcPr>
            <w:tcW w:w="755" w:type="dxa"/>
            <w:shd w:val="clear" w:color="auto" w:fill="F2F2F2" w:themeFill="background1" w:themeFillShade="F2"/>
            <w:tcMar>
              <w:top w:w="140" w:type="nil"/>
              <w:right w:w="140" w:type="nil"/>
            </w:tcMar>
            <w:vAlign w:val="center"/>
          </w:tcPr>
          <w:p w:rsidR="00792401" w:rsidRPr="00205969" w:rsidRDefault="00792401" w:rsidP="00205969">
            <w:pPr>
              <w:widowControl w:val="0"/>
              <w:autoSpaceDE w:val="0"/>
              <w:autoSpaceDN w:val="0"/>
              <w:adjustRightInd w:val="0"/>
              <w:spacing w:before="0" w:after="0"/>
              <w:ind w:left="90" w:firstLine="32"/>
              <w:jc w:val="center"/>
              <w:rPr>
                <w:rFonts w:ascii="Arial Narrow" w:hAnsi="Arial Narrow" w:cs="Arial"/>
                <w:b/>
                <w:color w:val="1A1A1A"/>
                <w:sz w:val="16"/>
                <w:szCs w:val="16"/>
              </w:rPr>
            </w:pPr>
            <w:r w:rsidRPr="00205969">
              <w:rPr>
                <w:rFonts w:ascii="Arial Narrow" w:hAnsi="Arial Narrow" w:cs="Arial"/>
                <w:b/>
                <w:color w:val="1A1A1A"/>
                <w:sz w:val="16"/>
                <w:szCs w:val="16"/>
              </w:rPr>
              <w:t>Pass %</w:t>
            </w:r>
          </w:p>
        </w:tc>
        <w:tc>
          <w:tcPr>
            <w:tcW w:w="757" w:type="dxa"/>
            <w:shd w:val="clear" w:color="auto" w:fill="F2F2F2" w:themeFill="background1" w:themeFillShade="F2"/>
            <w:tcMar>
              <w:top w:w="140" w:type="nil"/>
              <w:right w:w="140" w:type="nil"/>
            </w:tcMar>
            <w:vAlign w:val="center"/>
          </w:tcPr>
          <w:p w:rsidR="00792401" w:rsidRPr="00205969" w:rsidRDefault="00792401" w:rsidP="00205969">
            <w:pPr>
              <w:widowControl w:val="0"/>
              <w:autoSpaceDE w:val="0"/>
              <w:autoSpaceDN w:val="0"/>
              <w:adjustRightInd w:val="0"/>
              <w:spacing w:before="0" w:after="0"/>
              <w:ind w:left="90" w:firstLine="26"/>
              <w:jc w:val="center"/>
              <w:rPr>
                <w:rFonts w:ascii="Arial Narrow" w:hAnsi="Arial Narrow" w:cs="Arial"/>
                <w:b/>
                <w:color w:val="1A1A1A"/>
                <w:sz w:val="16"/>
                <w:szCs w:val="16"/>
              </w:rPr>
            </w:pPr>
            <w:r w:rsidRPr="00205969">
              <w:rPr>
                <w:rFonts w:ascii="Arial Narrow" w:hAnsi="Arial Narrow" w:cs="Arial"/>
                <w:b/>
                <w:color w:val="1A1A1A"/>
                <w:sz w:val="16"/>
                <w:szCs w:val="16"/>
              </w:rPr>
              <w:t>Mean 50</w:t>
            </w:r>
          </w:p>
        </w:tc>
        <w:tc>
          <w:tcPr>
            <w:tcW w:w="756" w:type="dxa"/>
            <w:shd w:val="clear" w:color="auto" w:fill="F2F2F2" w:themeFill="background1" w:themeFillShade="F2"/>
            <w:tcMar>
              <w:top w:w="140" w:type="nil"/>
              <w:right w:w="140" w:type="nil"/>
            </w:tcMar>
            <w:vAlign w:val="center"/>
          </w:tcPr>
          <w:p w:rsidR="00792401" w:rsidRPr="00205969" w:rsidRDefault="00792401" w:rsidP="00205969">
            <w:pPr>
              <w:widowControl w:val="0"/>
              <w:autoSpaceDE w:val="0"/>
              <w:autoSpaceDN w:val="0"/>
              <w:adjustRightInd w:val="0"/>
              <w:spacing w:before="0" w:after="0"/>
              <w:ind w:left="90" w:hanging="39"/>
              <w:jc w:val="center"/>
              <w:rPr>
                <w:rFonts w:ascii="Arial Narrow" w:hAnsi="Arial Narrow" w:cs="Arial"/>
                <w:b/>
                <w:color w:val="1A1A1A"/>
                <w:sz w:val="16"/>
                <w:szCs w:val="16"/>
              </w:rPr>
            </w:pPr>
            <w:r w:rsidRPr="00205969">
              <w:rPr>
                <w:rFonts w:ascii="Arial Narrow" w:hAnsi="Arial Narrow" w:cs="Arial"/>
                <w:b/>
                <w:color w:val="1A1A1A"/>
                <w:sz w:val="16"/>
                <w:szCs w:val="16"/>
              </w:rPr>
              <w:t>Pass %</w:t>
            </w:r>
          </w:p>
        </w:tc>
        <w:tc>
          <w:tcPr>
            <w:tcW w:w="756" w:type="dxa"/>
            <w:shd w:val="clear" w:color="auto" w:fill="F2F2F2" w:themeFill="background1" w:themeFillShade="F2"/>
            <w:tcMar>
              <w:top w:w="140" w:type="nil"/>
              <w:right w:w="140" w:type="nil"/>
            </w:tcMar>
            <w:vAlign w:val="center"/>
          </w:tcPr>
          <w:p w:rsidR="00792401" w:rsidRPr="00205969" w:rsidRDefault="00792401" w:rsidP="00205969">
            <w:pPr>
              <w:widowControl w:val="0"/>
              <w:autoSpaceDE w:val="0"/>
              <w:autoSpaceDN w:val="0"/>
              <w:adjustRightInd w:val="0"/>
              <w:spacing w:before="0" w:after="0"/>
              <w:ind w:left="90" w:hanging="33"/>
              <w:jc w:val="center"/>
              <w:rPr>
                <w:rFonts w:ascii="Arial Narrow" w:hAnsi="Arial Narrow" w:cs="Arial"/>
                <w:b/>
                <w:color w:val="1A1A1A"/>
                <w:sz w:val="16"/>
                <w:szCs w:val="16"/>
              </w:rPr>
            </w:pPr>
            <w:r w:rsidRPr="00205969">
              <w:rPr>
                <w:rFonts w:ascii="Arial Narrow" w:hAnsi="Arial Narrow" w:cs="Arial"/>
                <w:b/>
                <w:color w:val="1A1A1A"/>
                <w:sz w:val="16"/>
                <w:szCs w:val="16"/>
              </w:rPr>
              <w:t>Mean 50</w:t>
            </w:r>
          </w:p>
        </w:tc>
        <w:tc>
          <w:tcPr>
            <w:tcW w:w="605" w:type="dxa"/>
            <w:shd w:val="clear" w:color="auto" w:fill="F2F2F2" w:themeFill="background1" w:themeFillShade="F2"/>
            <w:tcMar>
              <w:top w:w="140" w:type="nil"/>
              <w:right w:w="140" w:type="nil"/>
            </w:tcMar>
            <w:vAlign w:val="center"/>
          </w:tcPr>
          <w:p w:rsidR="00792401" w:rsidRPr="00205969" w:rsidRDefault="00792401" w:rsidP="00205969">
            <w:pPr>
              <w:widowControl w:val="0"/>
              <w:autoSpaceDE w:val="0"/>
              <w:autoSpaceDN w:val="0"/>
              <w:adjustRightInd w:val="0"/>
              <w:spacing w:before="0" w:after="0"/>
              <w:ind w:left="90" w:hanging="90"/>
              <w:jc w:val="center"/>
              <w:rPr>
                <w:rFonts w:ascii="Arial Narrow" w:hAnsi="Arial Narrow" w:cs="Arial"/>
                <w:b/>
                <w:color w:val="1A1A1A"/>
                <w:sz w:val="16"/>
                <w:szCs w:val="16"/>
              </w:rPr>
            </w:pPr>
            <w:r w:rsidRPr="00205969">
              <w:rPr>
                <w:rFonts w:ascii="Arial Narrow" w:hAnsi="Arial Narrow" w:cs="Arial"/>
                <w:b/>
                <w:color w:val="1A1A1A"/>
                <w:sz w:val="16"/>
                <w:szCs w:val="16"/>
              </w:rPr>
              <w:t>Pass %</w:t>
            </w:r>
          </w:p>
        </w:tc>
        <w:tc>
          <w:tcPr>
            <w:tcW w:w="605" w:type="dxa"/>
            <w:shd w:val="clear" w:color="auto" w:fill="F2F2F2" w:themeFill="background1" w:themeFillShade="F2"/>
            <w:tcMar>
              <w:top w:w="140" w:type="nil"/>
              <w:right w:w="140" w:type="nil"/>
            </w:tcMar>
            <w:vAlign w:val="center"/>
          </w:tcPr>
          <w:p w:rsidR="00792401" w:rsidRPr="00205969" w:rsidRDefault="00792401" w:rsidP="00205969">
            <w:pPr>
              <w:widowControl w:val="0"/>
              <w:autoSpaceDE w:val="0"/>
              <w:autoSpaceDN w:val="0"/>
              <w:adjustRightInd w:val="0"/>
              <w:spacing w:before="0" w:after="0"/>
              <w:ind w:left="90" w:hanging="90"/>
              <w:jc w:val="center"/>
              <w:rPr>
                <w:rFonts w:ascii="Arial Narrow" w:hAnsi="Arial Narrow" w:cs="Arial"/>
                <w:b/>
                <w:color w:val="1A1A1A"/>
                <w:sz w:val="16"/>
                <w:szCs w:val="16"/>
              </w:rPr>
            </w:pPr>
            <w:r w:rsidRPr="00205969">
              <w:rPr>
                <w:rFonts w:ascii="Arial Narrow" w:hAnsi="Arial Narrow" w:cs="Arial"/>
                <w:b/>
                <w:color w:val="1A1A1A"/>
                <w:sz w:val="16"/>
                <w:szCs w:val="16"/>
              </w:rPr>
              <w:t>Mean 50</w:t>
            </w:r>
          </w:p>
        </w:tc>
      </w:tr>
      <w:tr w:rsidR="00792401" w:rsidRPr="00205969" w:rsidTr="00205969">
        <w:trPr>
          <w:trHeight w:val="435"/>
        </w:trPr>
        <w:tc>
          <w:tcPr>
            <w:tcW w:w="1174" w:type="dxa"/>
            <w:shd w:val="clear" w:color="auto" w:fill="F2F2F2" w:themeFill="background1" w:themeFillShade="F2"/>
            <w:tcMar>
              <w:top w:w="140" w:type="nil"/>
              <w:right w:w="140" w:type="nil"/>
            </w:tcMar>
            <w:vAlign w:val="center"/>
          </w:tcPr>
          <w:p w:rsidR="00792401" w:rsidRPr="00205969" w:rsidRDefault="00792401" w:rsidP="00205969">
            <w:pPr>
              <w:widowControl w:val="0"/>
              <w:autoSpaceDE w:val="0"/>
              <w:autoSpaceDN w:val="0"/>
              <w:adjustRightInd w:val="0"/>
              <w:spacing w:before="0" w:after="0"/>
              <w:rPr>
                <w:rFonts w:ascii="Arial Narrow" w:hAnsi="Arial Narrow" w:cs="Arial"/>
                <w:b/>
                <w:color w:val="1A1A1A"/>
                <w:sz w:val="16"/>
                <w:szCs w:val="16"/>
              </w:rPr>
            </w:pPr>
            <w:r w:rsidRPr="00205969">
              <w:rPr>
                <w:rFonts w:ascii="Arial Narrow" w:hAnsi="Arial Narrow" w:cs="Arial"/>
                <w:b/>
                <w:color w:val="1A1A1A"/>
                <w:sz w:val="16"/>
                <w:szCs w:val="16"/>
              </w:rPr>
              <w:t>1st Semester 2010-2011</w:t>
            </w:r>
          </w:p>
        </w:tc>
        <w:tc>
          <w:tcPr>
            <w:tcW w:w="635"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hanging="56"/>
              <w:jc w:val="center"/>
              <w:rPr>
                <w:rFonts w:ascii="Arial Narrow" w:hAnsi="Arial Narrow" w:cs="Arial"/>
                <w:color w:val="1A1A1A"/>
                <w:sz w:val="16"/>
                <w:szCs w:val="16"/>
              </w:rPr>
            </w:pPr>
            <w:r w:rsidRPr="00205969">
              <w:rPr>
                <w:rFonts w:ascii="Arial Narrow" w:hAnsi="Arial Narrow" w:cs="Arial"/>
                <w:color w:val="1A1A1A"/>
                <w:sz w:val="16"/>
                <w:szCs w:val="16"/>
              </w:rPr>
              <w:t>72.9</w:t>
            </w:r>
          </w:p>
        </w:tc>
        <w:tc>
          <w:tcPr>
            <w:tcW w:w="725"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firstLine="27"/>
              <w:jc w:val="center"/>
              <w:rPr>
                <w:rFonts w:ascii="Arial Narrow" w:hAnsi="Arial Narrow" w:cs="Arial"/>
                <w:color w:val="1A1A1A"/>
                <w:sz w:val="16"/>
                <w:szCs w:val="16"/>
              </w:rPr>
            </w:pPr>
            <w:r w:rsidRPr="00205969">
              <w:rPr>
                <w:rFonts w:ascii="Arial Narrow" w:hAnsi="Arial Narrow" w:cs="Arial"/>
                <w:color w:val="1A1A1A"/>
                <w:sz w:val="16"/>
                <w:szCs w:val="16"/>
              </w:rPr>
              <w:t>33.1</w:t>
            </w:r>
          </w:p>
        </w:tc>
        <w:tc>
          <w:tcPr>
            <w:tcW w:w="605"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hanging="90"/>
              <w:jc w:val="center"/>
              <w:rPr>
                <w:rFonts w:ascii="Arial Narrow" w:hAnsi="Arial Narrow" w:cs="Arial"/>
                <w:color w:val="1A1A1A"/>
                <w:sz w:val="16"/>
                <w:szCs w:val="16"/>
              </w:rPr>
            </w:pPr>
            <w:r w:rsidRPr="00205969">
              <w:rPr>
                <w:rFonts w:ascii="Arial Narrow" w:hAnsi="Arial Narrow" w:cs="Arial"/>
                <w:color w:val="1A1A1A"/>
                <w:sz w:val="16"/>
                <w:szCs w:val="16"/>
              </w:rPr>
              <w:t>65.9</w:t>
            </w:r>
          </w:p>
        </w:tc>
        <w:tc>
          <w:tcPr>
            <w:tcW w:w="756"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hanging="19"/>
              <w:jc w:val="center"/>
              <w:rPr>
                <w:rFonts w:ascii="Arial Narrow" w:hAnsi="Arial Narrow" w:cs="Arial"/>
                <w:color w:val="1A1A1A"/>
                <w:sz w:val="16"/>
                <w:szCs w:val="16"/>
              </w:rPr>
            </w:pPr>
            <w:r w:rsidRPr="00205969">
              <w:rPr>
                <w:rFonts w:ascii="Arial Narrow" w:hAnsi="Arial Narrow" w:cs="Arial"/>
                <w:color w:val="1A1A1A"/>
                <w:sz w:val="16"/>
                <w:szCs w:val="16"/>
              </w:rPr>
              <w:t>29.3</w:t>
            </w:r>
          </w:p>
        </w:tc>
        <w:tc>
          <w:tcPr>
            <w:tcW w:w="756"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firstLine="22"/>
              <w:jc w:val="center"/>
              <w:rPr>
                <w:rFonts w:ascii="Arial Narrow" w:hAnsi="Arial Narrow" w:cs="Arial"/>
                <w:color w:val="1A1A1A"/>
                <w:sz w:val="16"/>
                <w:szCs w:val="16"/>
              </w:rPr>
            </w:pPr>
            <w:r w:rsidRPr="00205969">
              <w:rPr>
                <w:rFonts w:ascii="Arial Narrow" w:hAnsi="Arial Narrow" w:cs="Arial"/>
                <w:color w:val="1A1A1A"/>
                <w:sz w:val="16"/>
                <w:szCs w:val="16"/>
              </w:rPr>
              <w:t>59.8</w:t>
            </w:r>
          </w:p>
        </w:tc>
        <w:tc>
          <w:tcPr>
            <w:tcW w:w="756"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hanging="90"/>
              <w:jc w:val="center"/>
              <w:rPr>
                <w:rFonts w:ascii="Arial Narrow" w:hAnsi="Arial Narrow" w:cs="Arial"/>
                <w:color w:val="1A1A1A"/>
                <w:sz w:val="16"/>
                <w:szCs w:val="16"/>
              </w:rPr>
            </w:pPr>
            <w:r w:rsidRPr="00205969">
              <w:rPr>
                <w:rFonts w:ascii="Arial Narrow" w:hAnsi="Arial Narrow" w:cs="Arial"/>
                <w:color w:val="1A1A1A"/>
                <w:sz w:val="16"/>
                <w:szCs w:val="16"/>
              </w:rPr>
              <w:t>28.0</w:t>
            </w:r>
          </w:p>
        </w:tc>
        <w:tc>
          <w:tcPr>
            <w:tcW w:w="755"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firstLine="32"/>
              <w:jc w:val="center"/>
              <w:rPr>
                <w:rFonts w:ascii="Arial Narrow" w:hAnsi="Arial Narrow" w:cs="Arial"/>
                <w:color w:val="1A1A1A"/>
                <w:sz w:val="16"/>
                <w:szCs w:val="16"/>
              </w:rPr>
            </w:pPr>
            <w:r w:rsidRPr="00205969">
              <w:rPr>
                <w:rFonts w:ascii="Arial Narrow" w:hAnsi="Arial Narrow" w:cs="Arial"/>
                <w:color w:val="1A1A1A"/>
                <w:sz w:val="16"/>
                <w:szCs w:val="16"/>
              </w:rPr>
              <w:t>53.2</w:t>
            </w:r>
          </w:p>
        </w:tc>
        <w:tc>
          <w:tcPr>
            <w:tcW w:w="757"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firstLine="26"/>
              <w:jc w:val="center"/>
              <w:rPr>
                <w:rFonts w:ascii="Arial Narrow" w:hAnsi="Arial Narrow" w:cs="Arial"/>
                <w:color w:val="1A1A1A"/>
                <w:sz w:val="16"/>
                <w:szCs w:val="16"/>
              </w:rPr>
            </w:pPr>
            <w:r w:rsidRPr="00205969">
              <w:rPr>
                <w:rFonts w:ascii="Arial Narrow" w:hAnsi="Arial Narrow" w:cs="Arial"/>
                <w:color w:val="1A1A1A"/>
                <w:sz w:val="16"/>
                <w:szCs w:val="16"/>
              </w:rPr>
              <w:t>25.6</w:t>
            </w:r>
          </w:p>
        </w:tc>
        <w:tc>
          <w:tcPr>
            <w:tcW w:w="756"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hanging="39"/>
              <w:jc w:val="center"/>
              <w:rPr>
                <w:rFonts w:ascii="Arial Narrow" w:hAnsi="Arial Narrow" w:cs="Arial"/>
                <w:color w:val="1A1A1A"/>
                <w:sz w:val="16"/>
                <w:szCs w:val="16"/>
              </w:rPr>
            </w:pPr>
            <w:r w:rsidRPr="00205969">
              <w:rPr>
                <w:rFonts w:ascii="Arial Narrow" w:hAnsi="Arial Narrow" w:cs="Arial"/>
                <w:color w:val="1A1A1A"/>
                <w:sz w:val="16"/>
                <w:szCs w:val="16"/>
              </w:rPr>
              <w:t>87.8</w:t>
            </w:r>
          </w:p>
        </w:tc>
        <w:tc>
          <w:tcPr>
            <w:tcW w:w="756"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hanging="33"/>
              <w:jc w:val="center"/>
              <w:rPr>
                <w:rFonts w:ascii="Arial Narrow" w:hAnsi="Arial Narrow" w:cs="Arial"/>
                <w:color w:val="1A1A1A"/>
                <w:sz w:val="16"/>
                <w:szCs w:val="16"/>
              </w:rPr>
            </w:pPr>
            <w:r w:rsidRPr="00205969">
              <w:rPr>
                <w:rFonts w:ascii="Arial Narrow" w:hAnsi="Arial Narrow" w:cs="Arial"/>
                <w:color w:val="1A1A1A"/>
                <w:sz w:val="16"/>
                <w:szCs w:val="16"/>
              </w:rPr>
              <w:t>38.9</w:t>
            </w:r>
          </w:p>
        </w:tc>
        <w:tc>
          <w:tcPr>
            <w:tcW w:w="605"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hanging="90"/>
              <w:jc w:val="center"/>
              <w:rPr>
                <w:rFonts w:ascii="Arial Narrow" w:hAnsi="Arial Narrow" w:cs="Arial"/>
                <w:color w:val="1A1A1A"/>
                <w:sz w:val="16"/>
                <w:szCs w:val="16"/>
              </w:rPr>
            </w:pPr>
            <w:r w:rsidRPr="00205969">
              <w:rPr>
                <w:rFonts w:ascii="Arial Narrow" w:hAnsi="Arial Narrow" w:cs="Arial"/>
                <w:color w:val="1A1A1A"/>
                <w:sz w:val="16"/>
                <w:szCs w:val="16"/>
              </w:rPr>
              <w:t>84.5</w:t>
            </w:r>
          </w:p>
        </w:tc>
        <w:tc>
          <w:tcPr>
            <w:tcW w:w="605"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hanging="90"/>
              <w:jc w:val="center"/>
              <w:rPr>
                <w:rFonts w:ascii="Arial Narrow" w:hAnsi="Arial Narrow" w:cs="Arial"/>
                <w:color w:val="1A1A1A"/>
                <w:sz w:val="16"/>
                <w:szCs w:val="16"/>
              </w:rPr>
            </w:pPr>
            <w:r w:rsidRPr="00205969">
              <w:rPr>
                <w:rFonts w:ascii="Arial Narrow" w:hAnsi="Arial Narrow" w:cs="Arial"/>
                <w:color w:val="1A1A1A"/>
                <w:sz w:val="16"/>
                <w:szCs w:val="16"/>
              </w:rPr>
              <w:t>34.5</w:t>
            </w:r>
          </w:p>
        </w:tc>
      </w:tr>
      <w:tr w:rsidR="00792401" w:rsidRPr="00205969" w:rsidTr="00205969">
        <w:trPr>
          <w:trHeight w:val="435"/>
        </w:trPr>
        <w:tc>
          <w:tcPr>
            <w:tcW w:w="1174" w:type="dxa"/>
            <w:shd w:val="clear" w:color="auto" w:fill="F2F2F2" w:themeFill="background1" w:themeFillShade="F2"/>
            <w:tcMar>
              <w:top w:w="140" w:type="nil"/>
              <w:right w:w="140" w:type="nil"/>
            </w:tcMar>
            <w:vAlign w:val="center"/>
          </w:tcPr>
          <w:p w:rsidR="00792401" w:rsidRPr="00205969" w:rsidRDefault="00792401" w:rsidP="00205969">
            <w:pPr>
              <w:widowControl w:val="0"/>
              <w:autoSpaceDE w:val="0"/>
              <w:autoSpaceDN w:val="0"/>
              <w:adjustRightInd w:val="0"/>
              <w:spacing w:before="0" w:after="0"/>
              <w:rPr>
                <w:rFonts w:ascii="Arial Narrow" w:hAnsi="Arial Narrow" w:cs="Arial"/>
                <w:b/>
                <w:color w:val="1A1A1A"/>
                <w:sz w:val="16"/>
                <w:szCs w:val="16"/>
              </w:rPr>
            </w:pPr>
            <w:r w:rsidRPr="00205969">
              <w:rPr>
                <w:rFonts w:ascii="Arial Narrow" w:hAnsi="Arial Narrow" w:cs="Arial"/>
                <w:b/>
                <w:color w:val="1A1A1A"/>
                <w:sz w:val="16"/>
                <w:szCs w:val="16"/>
              </w:rPr>
              <w:t>2nd Semester 2010-2011</w:t>
            </w:r>
          </w:p>
        </w:tc>
        <w:tc>
          <w:tcPr>
            <w:tcW w:w="635"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hanging="56"/>
              <w:jc w:val="center"/>
              <w:rPr>
                <w:rFonts w:ascii="Arial Narrow" w:hAnsi="Arial Narrow" w:cs="Arial"/>
                <w:color w:val="1A1A1A"/>
                <w:sz w:val="16"/>
                <w:szCs w:val="16"/>
              </w:rPr>
            </w:pPr>
            <w:r w:rsidRPr="00205969">
              <w:rPr>
                <w:rFonts w:ascii="Arial Narrow" w:hAnsi="Arial Narrow" w:cs="Arial"/>
                <w:color w:val="1A1A1A"/>
                <w:sz w:val="16"/>
                <w:szCs w:val="16"/>
              </w:rPr>
              <w:t>76.0</w:t>
            </w:r>
          </w:p>
        </w:tc>
        <w:tc>
          <w:tcPr>
            <w:tcW w:w="725"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firstLine="27"/>
              <w:jc w:val="center"/>
              <w:rPr>
                <w:rFonts w:ascii="Arial Narrow" w:hAnsi="Arial Narrow" w:cs="Arial"/>
                <w:color w:val="1A1A1A"/>
                <w:sz w:val="16"/>
                <w:szCs w:val="16"/>
              </w:rPr>
            </w:pPr>
            <w:r w:rsidRPr="00205969">
              <w:rPr>
                <w:rFonts w:ascii="Arial Narrow" w:hAnsi="Arial Narrow" w:cs="Arial"/>
                <w:color w:val="1A1A1A"/>
                <w:sz w:val="16"/>
                <w:szCs w:val="16"/>
              </w:rPr>
              <w:t>33.7</w:t>
            </w:r>
          </w:p>
        </w:tc>
        <w:tc>
          <w:tcPr>
            <w:tcW w:w="605"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hanging="90"/>
              <w:jc w:val="center"/>
              <w:rPr>
                <w:rFonts w:ascii="Arial Narrow" w:hAnsi="Arial Narrow" w:cs="Arial"/>
                <w:color w:val="1A1A1A"/>
                <w:sz w:val="16"/>
                <w:szCs w:val="16"/>
              </w:rPr>
            </w:pPr>
            <w:r w:rsidRPr="00205969">
              <w:rPr>
                <w:rFonts w:ascii="Arial Narrow" w:hAnsi="Arial Narrow" w:cs="Arial"/>
                <w:color w:val="1A1A1A"/>
                <w:sz w:val="16"/>
                <w:szCs w:val="16"/>
              </w:rPr>
              <w:t>83.4</w:t>
            </w:r>
          </w:p>
        </w:tc>
        <w:tc>
          <w:tcPr>
            <w:tcW w:w="756"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hanging="19"/>
              <w:jc w:val="center"/>
              <w:rPr>
                <w:rFonts w:ascii="Arial Narrow" w:hAnsi="Arial Narrow" w:cs="Arial"/>
                <w:color w:val="1A1A1A"/>
                <w:sz w:val="16"/>
                <w:szCs w:val="16"/>
              </w:rPr>
            </w:pPr>
            <w:r w:rsidRPr="00205969">
              <w:rPr>
                <w:rFonts w:ascii="Arial Narrow" w:hAnsi="Arial Narrow" w:cs="Arial"/>
                <w:color w:val="1A1A1A"/>
                <w:sz w:val="16"/>
                <w:szCs w:val="16"/>
              </w:rPr>
              <w:t>34.6</w:t>
            </w:r>
          </w:p>
        </w:tc>
        <w:tc>
          <w:tcPr>
            <w:tcW w:w="756"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firstLine="22"/>
              <w:jc w:val="center"/>
              <w:rPr>
                <w:rFonts w:ascii="Arial Narrow" w:hAnsi="Arial Narrow" w:cs="Arial"/>
                <w:color w:val="1A1A1A"/>
                <w:sz w:val="16"/>
                <w:szCs w:val="16"/>
              </w:rPr>
            </w:pPr>
            <w:r w:rsidRPr="00205969">
              <w:rPr>
                <w:rFonts w:ascii="Arial Narrow" w:hAnsi="Arial Narrow" w:cs="Arial"/>
                <w:color w:val="1A1A1A"/>
                <w:sz w:val="16"/>
                <w:szCs w:val="16"/>
              </w:rPr>
              <w:t>67.1</w:t>
            </w:r>
          </w:p>
        </w:tc>
        <w:tc>
          <w:tcPr>
            <w:tcW w:w="756"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hanging="90"/>
              <w:jc w:val="center"/>
              <w:rPr>
                <w:rFonts w:ascii="Arial Narrow" w:hAnsi="Arial Narrow" w:cs="Arial"/>
                <w:color w:val="1A1A1A"/>
                <w:sz w:val="16"/>
                <w:szCs w:val="16"/>
              </w:rPr>
            </w:pPr>
            <w:r w:rsidRPr="00205969">
              <w:rPr>
                <w:rFonts w:ascii="Arial Narrow" w:hAnsi="Arial Narrow" w:cs="Arial"/>
                <w:color w:val="1A1A1A"/>
                <w:sz w:val="16"/>
                <w:szCs w:val="16"/>
              </w:rPr>
              <w:t>30.4</w:t>
            </w:r>
          </w:p>
        </w:tc>
        <w:tc>
          <w:tcPr>
            <w:tcW w:w="755"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firstLine="32"/>
              <w:jc w:val="center"/>
              <w:rPr>
                <w:rFonts w:ascii="Arial Narrow" w:hAnsi="Arial Narrow" w:cs="Arial"/>
                <w:color w:val="1A1A1A"/>
                <w:sz w:val="16"/>
                <w:szCs w:val="16"/>
              </w:rPr>
            </w:pPr>
            <w:r w:rsidRPr="00205969">
              <w:rPr>
                <w:rFonts w:ascii="Arial Narrow" w:hAnsi="Arial Narrow" w:cs="Arial"/>
                <w:color w:val="1A1A1A"/>
                <w:sz w:val="16"/>
                <w:szCs w:val="16"/>
              </w:rPr>
              <w:t>75.0</w:t>
            </w:r>
          </w:p>
        </w:tc>
        <w:tc>
          <w:tcPr>
            <w:tcW w:w="757"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firstLine="26"/>
              <w:jc w:val="center"/>
              <w:rPr>
                <w:rFonts w:ascii="Arial Narrow" w:hAnsi="Arial Narrow" w:cs="Arial"/>
                <w:color w:val="1A1A1A"/>
                <w:sz w:val="16"/>
                <w:szCs w:val="16"/>
              </w:rPr>
            </w:pPr>
            <w:r w:rsidRPr="00205969">
              <w:rPr>
                <w:rFonts w:ascii="Arial Narrow" w:hAnsi="Arial Narrow" w:cs="Arial"/>
                <w:color w:val="1A1A1A"/>
                <w:sz w:val="16"/>
                <w:szCs w:val="16"/>
              </w:rPr>
              <w:t>32.3</w:t>
            </w:r>
          </w:p>
        </w:tc>
        <w:tc>
          <w:tcPr>
            <w:tcW w:w="756"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hanging="39"/>
              <w:jc w:val="center"/>
              <w:rPr>
                <w:rFonts w:ascii="Arial Narrow" w:hAnsi="Arial Narrow" w:cs="Arial"/>
                <w:color w:val="1A1A1A"/>
                <w:sz w:val="16"/>
                <w:szCs w:val="16"/>
              </w:rPr>
            </w:pPr>
            <w:r w:rsidRPr="00205969">
              <w:rPr>
                <w:rFonts w:ascii="Arial Narrow" w:hAnsi="Arial Narrow" w:cs="Arial"/>
                <w:color w:val="1A1A1A"/>
                <w:sz w:val="16"/>
                <w:szCs w:val="16"/>
              </w:rPr>
              <w:t> </w:t>
            </w:r>
          </w:p>
        </w:tc>
        <w:tc>
          <w:tcPr>
            <w:tcW w:w="756"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hanging="33"/>
              <w:jc w:val="center"/>
              <w:rPr>
                <w:rFonts w:ascii="Arial Narrow" w:hAnsi="Arial Narrow" w:cs="Arial"/>
                <w:color w:val="1A1A1A"/>
                <w:sz w:val="16"/>
                <w:szCs w:val="16"/>
              </w:rPr>
            </w:pPr>
            <w:r w:rsidRPr="00205969">
              <w:rPr>
                <w:rFonts w:ascii="Arial Narrow" w:hAnsi="Arial Narrow" w:cs="Arial"/>
                <w:color w:val="1A1A1A"/>
                <w:sz w:val="16"/>
                <w:szCs w:val="16"/>
              </w:rPr>
              <w:t> </w:t>
            </w:r>
          </w:p>
        </w:tc>
        <w:tc>
          <w:tcPr>
            <w:tcW w:w="605"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hanging="90"/>
              <w:jc w:val="center"/>
              <w:rPr>
                <w:rFonts w:ascii="Arial Narrow" w:hAnsi="Arial Narrow" w:cs="Arial"/>
                <w:color w:val="1A1A1A"/>
                <w:sz w:val="16"/>
                <w:szCs w:val="16"/>
              </w:rPr>
            </w:pPr>
            <w:r w:rsidRPr="00205969">
              <w:rPr>
                <w:rFonts w:ascii="Arial Narrow" w:hAnsi="Arial Narrow" w:cs="Arial"/>
                <w:color w:val="1A1A1A"/>
                <w:sz w:val="16"/>
                <w:szCs w:val="16"/>
              </w:rPr>
              <w:t> </w:t>
            </w:r>
          </w:p>
        </w:tc>
        <w:tc>
          <w:tcPr>
            <w:tcW w:w="605"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hanging="90"/>
              <w:jc w:val="center"/>
              <w:rPr>
                <w:rFonts w:ascii="Arial Narrow" w:hAnsi="Arial Narrow" w:cs="Arial"/>
                <w:color w:val="1A1A1A"/>
                <w:sz w:val="16"/>
                <w:szCs w:val="16"/>
              </w:rPr>
            </w:pPr>
            <w:r w:rsidRPr="00205969">
              <w:rPr>
                <w:rFonts w:ascii="Arial Narrow" w:hAnsi="Arial Narrow" w:cs="Arial"/>
                <w:color w:val="1A1A1A"/>
                <w:sz w:val="16"/>
                <w:szCs w:val="16"/>
              </w:rPr>
              <w:t> </w:t>
            </w:r>
          </w:p>
        </w:tc>
      </w:tr>
      <w:tr w:rsidR="00792401" w:rsidRPr="00205969" w:rsidTr="00205969">
        <w:trPr>
          <w:trHeight w:val="435"/>
        </w:trPr>
        <w:tc>
          <w:tcPr>
            <w:tcW w:w="1174" w:type="dxa"/>
            <w:shd w:val="clear" w:color="auto" w:fill="F2F2F2" w:themeFill="background1" w:themeFillShade="F2"/>
            <w:tcMar>
              <w:top w:w="140" w:type="nil"/>
              <w:right w:w="140" w:type="nil"/>
            </w:tcMar>
            <w:vAlign w:val="center"/>
          </w:tcPr>
          <w:p w:rsidR="00792401" w:rsidRPr="00205969" w:rsidRDefault="00792401" w:rsidP="00205969">
            <w:pPr>
              <w:widowControl w:val="0"/>
              <w:autoSpaceDE w:val="0"/>
              <w:autoSpaceDN w:val="0"/>
              <w:adjustRightInd w:val="0"/>
              <w:spacing w:before="0" w:after="0"/>
              <w:rPr>
                <w:rFonts w:ascii="Arial Narrow" w:hAnsi="Arial Narrow" w:cs="Arial"/>
                <w:b/>
                <w:color w:val="1A1A1A"/>
                <w:sz w:val="16"/>
                <w:szCs w:val="16"/>
              </w:rPr>
            </w:pPr>
            <w:r w:rsidRPr="00205969">
              <w:rPr>
                <w:rFonts w:ascii="Arial Narrow" w:hAnsi="Arial Narrow" w:cs="Arial"/>
                <w:b/>
                <w:color w:val="1A1A1A"/>
                <w:sz w:val="16"/>
                <w:szCs w:val="16"/>
              </w:rPr>
              <w:t>1st Semester 2011-2012</w:t>
            </w:r>
          </w:p>
        </w:tc>
        <w:tc>
          <w:tcPr>
            <w:tcW w:w="635"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hanging="56"/>
              <w:jc w:val="center"/>
              <w:rPr>
                <w:rFonts w:ascii="Arial Narrow" w:hAnsi="Arial Narrow" w:cs="Arial"/>
                <w:color w:val="1A1A1A"/>
                <w:sz w:val="16"/>
                <w:szCs w:val="16"/>
              </w:rPr>
            </w:pPr>
            <w:r w:rsidRPr="00205969">
              <w:rPr>
                <w:rFonts w:ascii="Arial Narrow" w:hAnsi="Arial Narrow" w:cs="Arial"/>
                <w:color w:val="1A1A1A"/>
                <w:sz w:val="16"/>
                <w:szCs w:val="16"/>
              </w:rPr>
              <w:t>71.1</w:t>
            </w:r>
          </w:p>
        </w:tc>
        <w:tc>
          <w:tcPr>
            <w:tcW w:w="725"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firstLine="27"/>
              <w:jc w:val="center"/>
              <w:rPr>
                <w:rFonts w:ascii="Arial Narrow" w:hAnsi="Arial Narrow" w:cs="Arial"/>
                <w:color w:val="1A1A1A"/>
                <w:sz w:val="16"/>
                <w:szCs w:val="16"/>
              </w:rPr>
            </w:pPr>
            <w:r w:rsidRPr="00205969">
              <w:rPr>
                <w:rFonts w:ascii="Arial Narrow" w:hAnsi="Arial Narrow" w:cs="Arial"/>
                <w:color w:val="1A1A1A"/>
                <w:sz w:val="16"/>
                <w:szCs w:val="16"/>
              </w:rPr>
              <w:t>30.5</w:t>
            </w:r>
          </w:p>
        </w:tc>
        <w:tc>
          <w:tcPr>
            <w:tcW w:w="605"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hanging="90"/>
              <w:jc w:val="center"/>
              <w:rPr>
                <w:rFonts w:ascii="Arial Narrow" w:hAnsi="Arial Narrow" w:cs="Arial"/>
                <w:color w:val="1A1A1A"/>
                <w:sz w:val="16"/>
                <w:szCs w:val="16"/>
              </w:rPr>
            </w:pPr>
            <w:r w:rsidRPr="00205969">
              <w:rPr>
                <w:rFonts w:ascii="Arial Narrow" w:hAnsi="Arial Narrow" w:cs="Arial"/>
                <w:color w:val="1A1A1A"/>
                <w:sz w:val="16"/>
                <w:szCs w:val="16"/>
              </w:rPr>
              <w:t>71.0</w:t>
            </w:r>
          </w:p>
        </w:tc>
        <w:tc>
          <w:tcPr>
            <w:tcW w:w="756"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hanging="19"/>
              <w:jc w:val="center"/>
              <w:rPr>
                <w:rFonts w:ascii="Arial Narrow" w:hAnsi="Arial Narrow" w:cs="Arial"/>
                <w:color w:val="1A1A1A"/>
                <w:sz w:val="16"/>
                <w:szCs w:val="16"/>
              </w:rPr>
            </w:pPr>
            <w:r w:rsidRPr="00205969">
              <w:rPr>
                <w:rFonts w:ascii="Arial Narrow" w:hAnsi="Arial Narrow" w:cs="Arial"/>
                <w:color w:val="1A1A1A"/>
                <w:sz w:val="16"/>
                <w:szCs w:val="16"/>
              </w:rPr>
              <w:t>31.5</w:t>
            </w:r>
          </w:p>
        </w:tc>
        <w:tc>
          <w:tcPr>
            <w:tcW w:w="756"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firstLine="22"/>
              <w:jc w:val="center"/>
              <w:rPr>
                <w:rFonts w:ascii="Arial Narrow" w:hAnsi="Arial Narrow" w:cs="Arial"/>
                <w:color w:val="1A1A1A"/>
                <w:sz w:val="16"/>
                <w:szCs w:val="16"/>
              </w:rPr>
            </w:pPr>
            <w:r w:rsidRPr="00205969">
              <w:rPr>
                <w:rFonts w:ascii="Arial Narrow" w:hAnsi="Arial Narrow" w:cs="Arial"/>
                <w:color w:val="1A1A1A"/>
                <w:sz w:val="16"/>
                <w:szCs w:val="16"/>
              </w:rPr>
              <w:t>56.6</w:t>
            </w:r>
          </w:p>
        </w:tc>
        <w:tc>
          <w:tcPr>
            <w:tcW w:w="756"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hanging="90"/>
              <w:jc w:val="center"/>
              <w:rPr>
                <w:rFonts w:ascii="Arial Narrow" w:hAnsi="Arial Narrow" w:cs="Arial"/>
                <w:color w:val="1A1A1A"/>
                <w:sz w:val="16"/>
                <w:szCs w:val="16"/>
              </w:rPr>
            </w:pPr>
            <w:r w:rsidRPr="00205969">
              <w:rPr>
                <w:rFonts w:ascii="Arial Narrow" w:hAnsi="Arial Narrow" w:cs="Arial"/>
                <w:color w:val="1A1A1A"/>
                <w:sz w:val="16"/>
                <w:szCs w:val="16"/>
              </w:rPr>
              <w:t>25.8</w:t>
            </w:r>
          </w:p>
        </w:tc>
        <w:tc>
          <w:tcPr>
            <w:tcW w:w="755"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firstLine="32"/>
              <w:jc w:val="center"/>
              <w:rPr>
                <w:rFonts w:ascii="Arial Narrow" w:hAnsi="Arial Narrow" w:cs="Arial"/>
                <w:color w:val="1A1A1A"/>
                <w:sz w:val="16"/>
                <w:szCs w:val="16"/>
              </w:rPr>
            </w:pPr>
            <w:r w:rsidRPr="00205969">
              <w:rPr>
                <w:rFonts w:ascii="Arial Narrow" w:hAnsi="Arial Narrow" w:cs="Arial"/>
                <w:color w:val="1A1A1A"/>
                <w:sz w:val="16"/>
                <w:szCs w:val="16"/>
              </w:rPr>
              <w:t>57.9</w:t>
            </w:r>
          </w:p>
        </w:tc>
        <w:tc>
          <w:tcPr>
            <w:tcW w:w="757"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firstLine="26"/>
              <w:jc w:val="center"/>
              <w:rPr>
                <w:rFonts w:ascii="Arial Narrow" w:hAnsi="Arial Narrow" w:cs="Arial"/>
                <w:color w:val="1A1A1A"/>
                <w:sz w:val="16"/>
                <w:szCs w:val="16"/>
              </w:rPr>
            </w:pPr>
            <w:r w:rsidRPr="00205969">
              <w:rPr>
                <w:rFonts w:ascii="Arial Narrow" w:hAnsi="Arial Narrow" w:cs="Arial"/>
                <w:color w:val="1A1A1A"/>
                <w:sz w:val="16"/>
                <w:szCs w:val="16"/>
              </w:rPr>
              <w:t>27.4</w:t>
            </w:r>
          </w:p>
        </w:tc>
        <w:tc>
          <w:tcPr>
            <w:tcW w:w="756"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hanging="39"/>
              <w:jc w:val="center"/>
              <w:rPr>
                <w:rFonts w:ascii="Arial Narrow" w:hAnsi="Arial Narrow" w:cs="Arial"/>
                <w:color w:val="1A1A1A"/>
                <w:sz w:val="16"/>
                <w:szCs w:val="16"/>
              </w:rPr>
            </w:pPr>
            <w:r w:rsidRPr="00205969">
              <w:rPr>
                <w:rFonts w:ascii="Arial Narrow" w:hAnsi="Arial Narrow" w:cs="Arial"/>
                <w:color w:val="1A1A1A"/>
                <w:sz w:val="16"/>
                <w:szCs w:val="16"/>
              </w:rPr>
              <w:t>90.5</w:t>
            </w:r>
          </w:p>
        </w:tc>
        <w:tc>
          <w:tcPr>
            <w:tcW w:w="756"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hanging="33"/>
              <w:jc w:val="center"/>
              <w:rPr>
                <w:rFonts w:ascii="Arial Narrow" w:hAnsi="Arial Narrow" w:cs="Arial"/>
                <w:color w:val="1A1A1A"/>
                <w:sz w:val="16"/>
                <w:szCs w:val="16"/>
              </w:rPr>
            </w:pPr>
            <w:r w:rsidRPr="00205969">
              <w:rPr>
                <w:rFonts w:ascii="Arial Narrow" w:hAnsi="Arial Narrow" w:cs="Arial"/>
                <w:color w:val="1A1A1A"/>
                <w:sz w:val="16"/>
                <w:szCs w:val="16"/>
              </w:rPr>
              <w:t>36.7</w:t>
            </w:r>
          </w:p>
        </w:tc>
        <w:tc>
          <w:tcPr>
            <w:tcW w:w="605"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hanging="90"/>
              <w:jc w:val="center"/>
              <w:rPr>
                <w:rFonts w:ascii="Arial Narrow" w:hAnsi="Arial Narrow" w:cs="Arial"/>
                <w:color w:val="1A1A1A"/>
                <w:sz w:val="16"/>
                <w:szCs w:val="16"/>
              </w:rPr>
            </w:pPr>
            <w:r w:rsidRPr="00205969">
              <w:rPr>
                <w:rFonts w:ascii="Arial Narrow" w:hAnsi="Arial Narrow" w:cs="Arial"/>
                <w:color w:val="1A1A1A"/>
                <w:sz w:val="16"/>
                <w:szCs w:val="16"/>
              </w:rPr>
              <w:t>89.5</w:t>
            </w:r>
          </w:p>
        </w:tc>
        <w:tc>
          <w:tcPr>
            <w:tcW w:w="605"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hanging="90"/>
              <w:jc w:val="center"/>
              <w:rPr>
                <w:rFonts w:ascii="Arial Narrow" w:hAnsi="Arial Narrow" w:cs="Arial"/>
                <w:color w:val="1A1A1A"/>
                <w:sz w:val="16"/>
                <w:szCs w:val="16"/>
              </w:rPr>
            </w:pPr>
            <w:r w:rsidRPr="00205969">
              <w:rPr>
                <w:rFonts w:ascii="Arial Narrow" w:hAnsi="Arial Narrow" w:cs="Arial"/>
                <w:color w:val="1A1A1A"/>
                <w:sz w:val="16"/>
                <w:szCs w:val="16"/>
              </w:rPr>
              <w:t>37.9</w:t>
            </w:r>
          </w:p>
        </w:tc>
      </w:tr>
      <w:tr w:rsidR="00792401" w:rsidRPr="00205969" w:rsidTr="00205969">
        <w:trPr>
          <w:trHeight w:val="435"/>
        </w:trPr>
        <w:tc>
          <w:tcPr>
            <w:tcW w:w="1174" w:type="dxa"/>
            <w:shd w:val="clear" w:color="auto" w:fill="F2F2F2" w:themeFill="background1" w:themeFillShade="F2"/>
            <w:tcMar>
              <w:top w:w="140" w:type="nil"/>
              <w:right w:w="140" w:type="nil"/>
            </w:tcMar>
            <w:vAlign w:val="center"/>
          </w:tcPr>
          <w:p w:rsidR="00792401" w:rsidRPr="00205969" w:rsidRDefault="00792401" w:rsidP="00205969">
            <w:pPr>
              <w:widowControl w:val="0"/>
              <w:autoSpaceDE w:val="0"/>
              <w:autoSpaceDN w:val="0"/>
              <w:adjustRightInd w:val="0"/>
              <w:spacing w:before="0" w:after="0"/>
              <w:rPr>
                <w:rFonts w:ascii="Arial Narrow" w:hAnsi="Arial Narrow" w:cs="Arial"/>
                <w:b/>
                <w:color w:val="1A1A1A"/>
                <w:sz w:val="16"/>
                <w:szCs w:val="16"/>
              </w:rPr>
            </w:pPr>
            <w:r w:rsidRPr="00205969">
              <w:rPr>
                <w:rFonts w:ascii="Arial Narrow" w:hAnsi="Arial Narrow" w:cs="Arial"/>
                <w:b/>
                <w:color w:val="1A1A1A"/>
                <w:sz w:val="16"/>
                <w:szCs w:val="16"/>
              </w:rPr>
              <w:t>2nd semester 2011-2012</w:t>
            </w:r>
          </w:p>
        </w:tc>
        <w:tc>
          <w:tcPr>
            <w:tcW w:w="635"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hanging="56"/>
              <w:jc w:val="center"/>
              <w:rPr>
                <w:rFonts w:ascii="Arial Narrow" w:hAnsi="Arial Narrow" w:cs="Arial"/>
                <w:color w:val="1A1A1A"/>
                <w:sz w:val="16"/>
                <w:szCs w:val="16"/>
              </w:rPr>
            </w:pPr>
            <w:r w:rsidRPr="00205969">
              <w:rPr>
                <w:rFonts w:ascii="Arial Narrow" w:hAnsi="Arial Narrow" w:cs="Arial"/>
                <w:color w:val="1A1A1A"/>
                <w:sz w:val="16"/>
                <w:szCs w:val="16"/>
              </w:rPr>
              <w:t>76.7</w:t>
            </w:r>
          </w:p>
        </w:tc>
        <w:tc>
          <w:tcPr>
            <w:tcW w:w="725"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firstLine="27"/>
              <w:jc w:val="center"/>
              <w:rPr>
                <w:rFonts w:ascii="Arial Narrow" w:hAnsi="Arial Narrow" w:cs="Arial"/>
                <w:color w:val="1A1A1A"/>
                <w:sz w:val="16"/>
                <w:szCs w:val="16"/>
              </w:rPr>
            </w:pPr>
            <w:r w:rsidRPr="00205969">
              <w:rPr>
                <w:rFonts w:ascii="Arial Narrow" w:hAnsi="Arial Narrow" w:cs="Arial"/>
                <w:color w:val="1A1A1A"/>
                <w:sz w:val="16"/>
                <w:szCs w:val="16"/>
              </w:rPr>
              <w:t>32.5</w:t>
            </w:r>
          </w:p>
        </w:tc>
        <w:tc>
          <w:tcPr>
            <w:tcW w:w="605"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hanging="90"/>
              <w:jc w:val="center"/>
              <w:rPr>
                <w:rFonts w:ascii="Arial Narrow" w:hAnsi="Arial Narrow" w:cs="Arial"/>
                <w:color w:val="1A1A1A"/>
                <w:sz w:val="16"/>
                <w:szCs w:val="16"/>
              </w:rPr>
            </w:pPr>
            <w:r w:rsidRPr="00205969">
              <w:rPr>
                <w:rFonts w:ascii="Arial Narrow" w:hAnsi="Arial Narrow" w:cs="Arial"/>
                <w:color w:val="1A1A1A"/>
                <w:sz w:val="16"/>
                <w:szCs w:val="16"/>
              </w:rPr>
              <w:t>80.5</w:t>
            </w:r>
          </w:p>
        </w:tc>
        <w:tc>
          <w:tcPr>
            <w:tcW w:w="756"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hanging="19"/>
              <w:jc w:val="center"/>
              <w:rPr>
                <w:rFonts w:ascii="Arial Narrow" w:hAnsi="Arial Narrow" w:cs="Arial"/>
                <w:color w:val="1A1A1A"/>
                <w:sz w:val="16"/>
                <w:szCs w:val="16"/>
              </w:rPr>
            </w:pPr>
            <w:r w:rsidRPr="00205969">
              <w:rPr>
                <w:rFonts w:ascii="Arial Narrow" w:hAnsi="Arial Narrow" w:cs="Arial"/>
                <w:color w:val="1A1A1A"/>
                <w:sz w:val="16"/>
                <w:szCs w:val="16"/>
              </w:rPr>
              <w:t>33.8</w:t>
            </w:r>
          </w:p>
        </w:tc>
        <w:tc>
          <w:tcPr>
            <w:tcW w:w="756"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firstLine="22"/>
              <w:jc w:val="center"/>
              <w:rPr>
                <w:rFonts w:ascii="Arial Narrow" w:hAnsi="Arial Narrow" w:cs="Arial"/>
                <w:color w:val="1A1A1A"/>
                <w:sz w:val="16"/>
                <w:szCs w:val="16"/>
              </w:rPr>
            </w:pPr>
            <w:r w:rsidRPr="00205969">
              <w:rPr>
                <w:rFonts w:ascii="Arial Narrow" w:hAnsi="Arial Narrow" w:cs="Arial"/>
                <w:color w:val="1A1A1A"/>
                <w:sz w:val="16"/>
                <w:szCs w:val="16"/>
              </w:rPr>
              <w:t>67.4</w:t>
            </w:r>
          </w:p>
        </w:tc>
        <w:tc>
          <w:tcPr>
            <w:tcW w:w="756"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hanging="90"/>
              <w:jc w:val="center"/>
              <w:rPr>
                <w:rFonts w:ascii="Arial Narrow" w:hAnsi="Arial Narrow" w:cs="Arial"/>
                <w:color w:val="1A1A1A"/>
                <w:sz w:val="16"/>
                <w:szCs w:val="16"/>
              </w:rPr>
            </w:pPr>
            <w:r w:rsidRPr="00205969">
              <w:rPr>
                <w:rFonts w:ascii="Arial Narrow" w:hAnsi="Arial Narrow" w:cs="Arial"/>
                <w:color w:val="1A1A1A"/>
                <w:sz w:val="16"/>
                <w:szCs w:val="16"/>
              </w:rPr>
              <w:t>29.2</w:t>
            </w:r>
          </w:p>
        </w:tc>
        <w:tc>
          <w:tcPr>
            <w:tcW w:w="755"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firstLine="32"/>
              <w:jc w:val="center"/>
              <w:rPr>
                <w:rFonts w:ascii="Arial Narrow" w:hAnsi="Arial Narrow" w:cs="Arial"/>
                <w:color w:val="1A1A1A"/>
                <w:sz w:val="16"/>
                <w:szCs w:val="16"/>
              </w:rPr>
            </w:pPr>
            <w:r w:rsidRPr="00205969">
              <w:rPr>
                <w:rFonts w:ascii="Arial Narrow" w:hAnsi="Arial Narrow" w:cs="Arial"/>
                <w:color w:val="1A1A1A"/>
                <w:sz w:val="16"/>
                <w:szCs w:val="16"/>
              </w:rPr>
              <w:t>71.5</w:t>
            </w:r>
          </w:p>
        </w:tc>
        <w:tc>
          <w:tcPr>
            <w:tcW w:w="757"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firstLine="26"/>
              <w:jc w:val="center"/>
              <w:rPr>
                <w:rFonts w:ascii="Arial Narrow" w:hAnsi="Arial Narrow" w:cs="Arial"/>
                <w:color w:val="1A1A1A"/>
                <w:sz w:val="16"/>
                <w:szCs w:val="16"/>
              </w:rPr>
            </w:pPr>
            <w:r w:rsidRPr="00205969">
              <w:rPr>
                <w:rFonts w:ascii="Arial Narrow" w:hAnsi="Arial Narrow" w:cs="Arial"/>
                <w:color w:val="1A1A1A"/>
                <w:sz w:val="16"/>
                <w:szCs w:val="16"/>
              </w:rPr>
              <w:t>31.1</w:t>
            </w:r>
          </w:p>
        </w:tc>
        <w:tc>
          <w:tcPr>
            <w:tcW w:w="756"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hanging="39"/>
              <w:jc w:val="center"/>
              <w:rPr>
                <w:rFonts w:ascii="Arial Narrow" w:hAnsi="Arial Narrow" w:cs="Arial"/>
                <w:color w:val="1A1A1A"/>
                <w:sz w:val="16"/>
                <w:szCs w:val="16"/>
              </w:rPr>
            </w:pPr>
            <w:r w:rsidRPr="00205969">
              <w:rPr>
                <w:rFonts w:ascii="Arial Narrow" w:hAnsi="Arial Narrow" w:cs="Arial"/>
                <w:color w:val="1A1A1A"/>
                <w:sz w:val="16"/>
                <w:szCs w:val="16"/>
              </w:rPr>
              <w:t>95.7</w:t>
            </w:r>
          </w:p>
        </w:tc>
        <w:tc>
          <w:tcPr>
            <w:tcW w:w="756"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hanging="33"/>
              <w:jc w:val="center"/>
              <w:rPr>
                <w:rFonts w:ascii="Arial Narrow" w:hAnsi="Arial Narrow" w:cs="Arial"/>
                <w:color w:val="1A1A1A"/>
                <w:sz w:val="16"/>
                <w:szCs w:val="16"/>
              </w:rPr>
            </w:pPr>
            <w:r w:rsidRPr="00205969">
              <w:rPr>
                <w:rFonts w:ascii="Arial Narrow" w:hAnsi="Arial Narrow" w:cs="Arial"/>
                <w:color w:val="1A1A1A"/>
                <w:sz w:val="16"/>
                <w:szCs w:val="16"/>
              </w:rPr>
              <w:t>41.1</w:t>
            </w:r>
          </w:p>
        </w:tc>
        <w:tc>
          <w:tcPr>
            <w:tcW w:w="605"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hanging="90"/>
              <w:jc w:val="center"/>
              <w:rPr>
                <w:rFonts w:ascii="Arial Narrow" w:hAnsi="Arial Narrow" w:cs="Arial"/>
                <w:color w:val="1A1A1A"/>
                <w:sz w:val="16"/>
                <w:szCs w:val="16"/>
              </w:rPr>
            </w:pPr>
            <w:r w:rsidRPr="00205969">
              <w:rPr>
                <w:rFonts w:ascii="Arial Narrow" w:hAnsi="Arial Narrow" w:cs="Arial"/>
                <w:color w:val="1A1A1A"/>
                <w:sz w:val="16"/>
                <w:szCs w:val="16"/>
              </w:rPr>
              <w:t>96.8</w:t>
            </w:r>
          </w:p>
        </w:tc>
        <w:tc>
          <w:tcPr>
            <w:tcW w:w="605"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hanging="90"/>
              <w:jc w:val="center"/>
              <w:rPr>
                <w:rFonts w:ascii="Arial Narrow" w:hAnsi="Arial Narrow" w:cs="Arial"/>
                <w:color w:val="1A1A1A"/>
                <w:sz w:val="16"/>
                <w:szCs w:val="16"/>
              </w:rPr>
            </w:pPr>
            <w:r w:rsidRPr="00205969">
              <w:rPr>
                <w:rFonts w:ascii="Arial Narrow" w:hAnsi="Arial Narrow" w:cs="Arial"/>
                <w:color w:val="1A1A1A"/>
                <w:sz w:val="16"/>
                <w:szCs w:val="16"/>
              </w:rPr>
              <w:t>41.6</w:t>
            </w:r>
          </w:p>
        </w:tc>
      </w:tr>
      <w:tr w:rsidR="00792401" w:rsidRPr="00205969" w:rsidTr="00205969">
        <w:trPr>
          <w:trHeight w:val="435"/>
        </w:trPr>
        <w:tc>
          <w:tcPr>
            <w:tcW w:w="1174" w:type="dxa"/>
            <w:shd w:val="clear" w:color="auto" w:fill="F2F2F2" w:themeFill="background1" w:themeFillShade="F2"/>
            <w:tcMar>
              <w:top w:w="140" w:type="nil"/>
              <w:right w:w="140" w:type="nil"/>
            </w:tcMar>
            <w:vAlign w:val="center"/>
          </w:tcPr>
          <w:p w:rsidR="00792401" w:rsidRPr="00205969" w:rsidRDefault="00792401" w:rsidP="00205969">
            <w:pPr>
              <w:widowControl w:val="0"/>
              <w:autoSpaceDE w:val="0"/>
              <w:autoSpaceDN w:val="0"/>
              <w:adjustRightInd w:val="0"/>
              <w:spacing w:before="0" w:after="0"/>
              <w:rPr>
                <w:rFonts w:ascii="Arial Narrow" w:hAnsi="Arial Narrow" w:cs="Arial"/>
                <w:b/>
                <w:color w:val="1A1A1A"/>
                <w:sz w:val="16"/>
                <w:szCs w:val="16"/>
              </w:rPr>
            </w:pPr>
            <w:r w:rsidRPr="00205969">
              <w:rPr>
                <w:rFonts w:ascii="Arial Narrow" w:hAnsi="Arial Narrow" w:cs="Arial"/>
                <w:b/>
                <w:color w:val="1A1A1A"/>
                <w:sz w:val="16"/>
                <w:szCs w:val="16"/>
              </w:rPr>
              <w:t>1st Semester 2012-2013</w:t>
            </w:r>
          </w:p>
        </w:tc>
        <w:tc>
          <w:tcPr>
            <w:tcW w:w="635"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hanging="56"/>
              <w:jc w:val="center"/>
              <w:rPr>
                <w:rFonts w:ascii="Arial Narrow" w:hAnsi="Arial Narrow" w:cs="Arial"/>
                <w:color w:val="1A1A1A"/>
                <w:sz w:val="16"/>
                <w:szCs w:val="16"/>
              </w:rPr>
            </w:pPr>
            <w:r w:rsidRPr="00205969">
              <w:rPr>
                <w:rFonts w:ascii="Arial Narrow" w:hAnsi="Arial Narrow" w:cs="Arial"/>
                <w:color w:val="1A1A1A"/>
                <w:sz w:val="16"/>
                <w:szCs w:val="16"/>
              </w:rPr>
              <w:t>71.0</w:t>
            </w:r>
          </w:p>
        </w:tc>
        <w:tc>
          <w:tcPr>
            <w:tcW w:w="725"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firstLine="27"/>
              <w:jc w:val="center"/>
              <w:rPr>
                <w:rFonts w:ascii="Arial Narrow" w:hAnsi="Arial Narrow" w:cs="Arial"/>
                <w:color w:val="1A1A1A"/>
                <w:sz w:val="16"/>
                <w:szCs w:val="16"/>
              </w:rPr>
            </w:pPr>
            <w:r w:rsidRPr="00205969">
              <w:rPr>
                <w:rFonts w:ascii="Arial Narrow" w:hAnsi="Arial Narrow" w:cs="Arial"/>
                <w:color w:val="1A1A1A"/>
                <w:sz w:val="16"/>
                <w:szCs w:val="16"/>
              </w:rPr>
              <w:t>30.7</w:t>
            </w:r>
          </w:p>
        </w:tc>
        <w:tc>
          <w:tcPr>
            <w:tcW w:w="605"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hanging="90"/>
              <w:jc w:val="center"/>
              <w:rPr>
                <w:rFonts w:ascii="Arial Narrow" w:hAnsi="Arial Narrow" w:cs="Arial"/>
                <w:color w:val="1A1A1A"/>
                <w:sz w:val="16"/>
                <w:szCs w:val="16"/>
              </w:rPr>
            </w:pPr>
            <w:r w:rsidRPr="00205969">
              <w:rPr>
                <w:rFonts w:ascii="Arial Narrow" w:hAnsi="Arial Narrow" w:cs="Arial"/>
                <w:color w:val="1A1A1A"/>
                <w:sz w:val="16"/>
                <w:szCs w:val="16"/>
              </w:rPr>
              <w:t>69.7</w:t>
            </w:r>
          </w:p>
        </w:tc>
        <w:tc>
          <w:tcPr>
            <w:tcW w:w="756"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hanging="19"/>
              <w:jc w:val="center"/>
              <w:rPr>
                <w:rFonts w:ascii="Arial Narrow" w:hAnsi="Arial Narrow" w:cs="Arial"/>
                <w:color w:val="1A1A1A"/>
                <w:sz w:val="16"/>
                <w:szCs w:val="16"/>
              </w:rPr>
            </w:pPr>
            <w:r w:rsidRPr="00205969">
              <w:rPr>
                <w:rFonts w:ascii="Arial Narrow" w:hAnsi="Arial Narrow" w:cs="Arial"/>
                <w:color w:val="1A1A1A"/>
                <w:sz w:val="16"/>
                <w:szCs w:val="16"/>
              </w:rPr>
              <w:t>31.0</w:t>
            </w:r>
          </w:p>
        </w:tc>
        <w:tc>
          <w:tcPr>
            <w:tcW w:w="756"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firstLine="22"/>
              <w:jc w:val="center"/>
              <w:rPr>
                <w:rFonts w:ascii="Arial Narrow" w:hAnsi="Arial Narrow" w:cs="Arial"/>
                <w:color w:val="1A1A1A"/>
                <w:sz w:val="16"/>
                <w:szCs w:val="16"/>
              </w:rPr>
            </w:pPr>
            <w:r w:rsidRPr="00205969">
              <w:rPr>
                <w:rFonts w:ascii="Arial Narrow" w:hAnsi="Arial Narrow" w:cs="Arial"/>
                <w:color w:val="1A1A1A"/>
                <w:sz w:val="16"/>
                <w:szCs w:val="16"/>
              </w:rPr>
              <w:t>62.0</w:t>
            </w:r>
          </w:p>
        </w:tc>
        <w:tc>
          <w:tcPr>
            <w:tcW w:w="756"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hanging="90"/>
              <w:jc w:val="center"/>
              <w:rPr>
                <w:rFonts w:ascii="Arial Narrow" w:hAnsi="Arial Narrow" w:cs="Arial"/>
                <w:color w:val="1A1A1A"/>
                <w:sz w:val="16"/>
                <w:szCs w:val="16"/>
              </w:rPr>
            </w:pPr>
            <w:r w:rsidRPr="00205969">
              <w:rPr>
                <w:rFonts w:ascii="Arial Narrow" w:hAnsi="Arial Narrow" w:cs="Arial"/>
                <w:color w:val="1A1A1A"/>
                <w:sz w:val="16"/>
                <w:szCs w:val="16"/>
              </w:rPr>
              <w:t>27.5</w:t>
            </w:r>
          </w:p>
        </w:tc>
        <w:tc>
          <w:tcPr>
            <w:tcW w:w="755"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firstLine="32"/>
              <w:jc w:val="center"/>
              <w:rPr>
                <w:rFonts w:ascii="Arial Narrow" w:hAnsi="Arial Narrow" w:cs="Arial"/>
                <w:color w:val="1A1A1A"/>
                <w:sz w:val="16"/>
                <w:szCs w:val="16"/>
              </w:rPr>
            </w:pPr>
            <w:r w:rsidRPr="00205969">
              <w:rPr>
                <w:rFonts w:ascii="Arial Narrow" w:hAnsi="Arial Narrow" w:cs="Arial"/>
                <w:color w:val="1A1A1A"/>
                <w:sz w:val="16"/>
                <w:szCs w:val="16"/>
              </w:rPr>
              <w:t>63.0</w:t>
            </w:r>
          </w:p>
        </w:tc>
        <w:tc>
          <w:tcPr>
            <w:tcW w:w="757"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firstLine="26"/>
              <w:jc w:val="center"/>
              <w:rPr>
                <w:rFonts w:ascii="Arial Narrow" w:hAnsi="Arial Narrow" w:cs="Arial"/>
                <w:color w:val="1A1A1A"/>
                <w:sz w:val="16"/>
                <w:szCs w:val="16"/>
              </w:rPr>
            </w:pPr>
            <w:r w:rsidRPr="00205969">
              <w:rPr>
                <w:rFonts w:ascii="Arial Narrow" w:hAnsi="Arial Narrow" w:cs="Arial"/>
                <w:color w:val="1A1A1A"/>
                <w:sz w:val="16"/>
                <w:szCs w:val="16"/>
              </w:rPr>
              <w:t>28.6</w:t>
            </w:r>
          </w:p>
        </w:tc>
        <w:tc>
          <w:tcPr>
            <w:tcW w:w="756"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hanging="39"/>
              <w:jc w:val="center"/>
              <w:rPr>
                <w:rFonts w:ascii="Arial Narrow" w:hAnsi="Arial Narrow" w:cs="Arial"/>
                <w:color w:val="1A1A1A"/>
                <w:sz w:val="16"/>
                <w:szCs w:val="16"/>
              </w:rPr>
            </w:pPr>
            <w:r w:rsidRPr="00205969">
              <w:rPr>
                <w:rFonts w:ascii="Arial Narrow" w:hAnsi="Arial Narrow" w:cs="Arial"/>
                <w:color w:val="1A1A1A"/>
                <w:sz w:val="16"/>
                <w:szCs w:val="16"/>
              </w:rPr>
              <w:t>90.5</w:t>
            </w:r>
          </w:p>
        </w:tc>
        <w:tc>
          <w:tcPr>
            <w:tcW w:w="756"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hanging="33"/>
              <w:jc w:val="center"/>
              <w:rPr>
                <w:rFonts w:ascii="Arial Narrow" w:hAnsi="Arial Narrow" w:cs="Arial"/>
                <w:color w:val="1A1A1A"/>
                <w:sz w:val="16"/>
                <w:szCs w:val="16"/>
              </w:rPr>
            </w:pPr>
            <w:r w:rsidRPr="00205969">
              <w:rPr>
                <w:rFonts w:ascii="Arial Narrow" w:hAnsi="Arial Narrow" w:cs="Arial"/>
                <w:color w:val="1A1A1A"/>
                <w:sz w:val="16"/>
                <w:szCs w:val="16"/>
              </w:rPr>
              <w:t>38.2</w:t>
            </w:r>
          </w:p>
        </w:tc>
        <w:tc>
          <w:tcPr>
            <w:tcW w:w="605"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hanging="90"/>
              <w:jc w:val="center"/>
              <w:rPr>
                <w:rFonts w:ascii="Arial Narrow" w:hAnsi="Arial Narrow" w:cs="Arial"/>
                <w:color w:val="1A1A1A"/>
                <w:sz w:val="16"/>
                <w:szCs w:val="16"/>
              </w:rPr>
            </w:pPr>
            <w:r w:rsidRPr="00205969">
              <w:rPr>
                <w:rFonts w:ascii="Arial Narrow" w:hAnsi="Arial Narrow" w:cs="Arial"/>
                <w:color w:val="1A1A1A"/>
                <w:sz w:val="16"/>
                <w:szCs w:val="16"/>
              </w:rPr>
              <w:t>90.5</w:t>
            </w:r>
          </w:p>
        </w:tc>
        <w:tc>
          <w:tcPr>
            <w:tcW w:w="605"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hanging="90"/>
              <w:jc w:val="center"/>
              <w:rPr>
                <w:rFonts w:ascii="Arial Narrow" w:hAnsi="Arial Narrow" w:cs="Arial"/>
                <w:color w:val="1A1A1A"/>
                <w:sz w:val="16"/>
                <w:szCs w:val="16"/>
              </w:rPr>
            </w:pPr>
            <w:r w:rsidRPr="00205969">
              <w:rPr>
                <w:rFonts w:ascii="Arial Narrow" w:hAnsi="Arial Narrow" w:cs="Arial"/>
                <w:color w:val="1A1A1A"/>
                <w:sz w:val="16"/>
                <w:szCs w:val="16"/>
              </w:rPr>
              <w:t>38.0</w:t>
            </w:r>
          </w:p>
        </w:tc>
      </w:tr>
      <w:tr w:rsidR="00792401" w:rsidRPr="00205969" w:rsidTr="00205969">
        <w:trPr>
          <w:trHeight w:val="450"/>
        </w:trPr>
        <w:tc>
          <w:tcPr>
            <w:tcW w:w="1174" w:type="dxa"/>
            <w:shd w:val="clear" w:color="auto" w:fill="F2F2F2" w:themeFill="background1" w:themeFillShade="F2"/>
            <w:tcMar>
              <w:top w:w="140" w:type="nil"/>
              <w:right w:w="140" w:type="nil"/>
            </w:tcMar>
            <w:vAlign w:val="center"/>
          </w:tcPr>
          <w:p w:rsidR="00792401" w:rsidRPr="00205969" w:rsidRDefault="00792401" w:rsidP="00205969">
            <w:pPr>
              <w:widowControl w:val="0"/>
              <w:autoSpaceDE w:val="0"/>
              <w:autoSpaceDN w:val="0"/>
              <w:adjustRightInd w:val="0"/>
              <w:spacing w:before="0" w:after="0"/>
              <w:rPr>
                <w:rFonts w:ascii="Arial Narrow" w:hAnsi="Arial Narrow" w:cs="Arial"/>
                <w:b/>
                <w:color w:val="1A1A1A"/>
                <w:sz w:val="16"/>
                <w:szCs w:val="16"/>
              </w:rPr>
            </w:pPr>
            <w:r w:rsidRPr="00205969">
              <w:rPr>
                <w:rFonts w:ascii="Arial Narrow" w:hAnsi="Arial Narrow" w:cs="Arial"/>
                <w:b/>
                <w:color w:val="1A1A1A"/>
                <w:sz w:val="16"/>
                <w:szCs w:val="16"/>
              </w:rPr>
              <w:t>2nd semester 2012-2013</w:t>
            </w:r>
          </w:p>
        </w:tc>
        <w:tc>
          <w:tcPr>
            <w:tcW w:w="635"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hanging="56"/>
              <w:jc w:val="center"/>
              <w:rPr>
                <w:rFonts w:ascii="Arial Narrow" w:hAnsi="Arial Narrow" w:cs="Arial"/>
                <w:color w:val="1A1A1A"/>
                <w:sz w:val="16"/>
                <w:szCs w:val="16"/>
              </w:rPr>
            </w:pPr>
            <w:r w:rsidRPr="00205969">
              <w:rPr>
                <w:rFonts w:ascii="Arial Narrow" w:hAnsi="Arial Narrow" w:cs="Arial"/>
                <w:color w:val="1A1A1A"/>
                <w:sz w:val="16"/>
                <w:szCs w:val="16"/>
              </w:rPr>
              <w:t>79.8</w:t>
            </w:r>
          </w:p>
        </w:tc>
        <w:tc>
          <w:tcPr>
            <w:tcW w:w="725"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firstLine="27"/>
              <w:jc w:val="center"/>
              <w:rPr>
                <w:rFonts w:ascii="Arial Narrow" w:hAnsi="Arial Narrow" w:cs="Arial"/>
                <w:color w:val="1A1A1A"/>
                <w:sz w:val="16"/>
                <w:szCs w:val="16"/>
              </w:rPr>
            </w:pPr>
            <w:r w:rsidRPr="00205969">
              <w:rPr>
                <w:rFonts w:ascii="Arial Narrow" w:hAnsi="Arial Narrow" w:cs="Arial"/>
                <w:color w:val="1A1A1A"/>
                <w:sz w:val="16"/>
                <w:szCs w:val="16"/>
              </w:rPr>
              <w:t>34.9</w:t>
            </w:r>
          </w:p>
        </w:tc>
        <w:tc>
          <w:tcPr>
            <w:tcW w:w="605"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hanging="90"/>
              <w:jc w:val="center"/>
              <w:rPr>
                <w:rFonts w:ascii="Arial Narrow" w:hAnsi="Arial Narrow" w:cs="Arial"/>
                <w:color w:val="1A1A1A"/>
                <w:sz w:val="16"/>
                <w:szCs w:val="16"/>
              </w:rPr>
            </w:pPr>
            <w:r w:rsidRPr="00205969">
              <w:rPr>
                <w:rFonts w:ascii="Arial Narrow" w:hAnsi="Arial Narrow" w:cs="Arial"/>
                <w:color w:val="1A1A1A"/>
                <w:sz w:val="16"/>
                <w:szCs w:val="16"/>
              </w:rPr>
              <w:t>76.0</w:t>
            </w:r>
          </w:p>
        </w:tc>
        <w:tc>
          <w:tcPr>
            <w:tcW w:w="756"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hanging="19"/>
              <w:jc w:val="center"/>
              <w:rPr>
                <w:rFonts w:ascii="Arial Narrow" w:hAnsi="Arial Narrow" w:cs="Arial"/>
                <w:color w:val="1A1A1A"/>
                <w:sz w:val="16"/>
                <w:szCs w:val="16"/>
              </w:rPr>
            </w:pPr>
            <w:r w:rsidRPr="00205969">
              <w:rPr>
                <w:rFonts w:ascii="Arial Narrow" w:hAnsi="Arial Narrow" w:cs="Arial"/>
                <w:color w:val="1A1A1A"/>
                <w:sz w:val="16"/>
                <w:szCs w:val="16"/>
              </w:rPr>
              <w:t>32.9</w:t>
            </w:r>
          </w:p>
        </w:tc>
        <w:tc>
          <w:tcPr>
            <w:tcW w:w="756"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firstLine="22"/>
              <w:jc w:val="center"/>
              <w:rPr>
                <w:rFonts w:ascii="Arial Narrow" w:hAnsi="Arial Narrow" w:cs="Arial"/>
                <w:color w:val="1A1A1A"/>
                <w:sz w:val="16"/>
                <w:szCs w:val="16"/>
              </w:rPr>
            </w:pPr>
            <w:r w:rsidRPr="00205969">
              <w:rPr>
                <w:rFonts w:ascii="Arial Narrow" w:hAnsi="Arial Narrow" w:cs="Arial"/>
                <w:color w:val="1A1A1A"/>
                <w:sz w:val="16"/>
                <w:szCs w:val="16"/>
              </w:rPr>
              <w:t>73.0</w:t>
            </w:r>
          </w:p>
        </w:tc>
        <w:tc>
          <w:tcPr>
            <w:tcW w:w="756"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hanging="90"/>
              <w:jc w:val="center"/>
              <w:rPr>
                <w:rFonts w:ascii="Arial Narrow" w:hAnsi="Arial Narrow" w:cs="Arial"/>
                <w:color w:val="1A1A1A"/>
                <w:sz w:val="16"/>
                <w:szCs w:val="16"/>
              </w:rPr>
            </w:pPr>
            <w:r w:rsidRPr="00205969">
              <w:rPr>
                <w:rFonts w:ascii="Arial Narrow" w:hAnsi="Arial Narrow" w:cs="Arial"/>
                <w:color w:val="1A1A1A"/>
                <w:sz w:val="16"/>
                <w:szCs w:val="16"/>
              </w:rPr>
              <w:t>32.1</w:t>
            </w:r>
          </w:p>
        </w:tc>
        <w:tc>
          <w:tcPr>
            <w:tcW w:w="755"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firstLine="32"/>
              <w:jc w:val="center"/>
              <w:rPr>
                <w:rFonts w:ascii="Arial Narrow" w:hAnsi="Arial Narrow" w:cs="Arial"/>
                <w:color w:val="1A1A1A"/>
                <w:sz w:val="16"/>
                <w:szCs w:val="16"/>
              </w:rPr>
            </w:pPr>
            <w:r w:rsidRPr="00205969">
              <w:rPr>
                <w:rFonts w:ascii="Arial Narrow" w:hAnsi="Arial Narrow" w:cs="Arial"/>
                <w:color w:val="1A1A1A"/>
                <w:sz w:val="16"/>
                <w:szCs w:val="16"/>
              </w:rPr>
              <w:t>68.7</w:t>
            </w:r>
          </w:p>
        </w:tc>
        <w:tc>
          <w:tcPr>
            <w:tcW w:w="757"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firstLine="26"/>
              <w:jc w:val="center"/>
              <w:rPr>
                <w:rFonts w:ascii="Arial Narrow" w:hAnsi="Arial Narrow" w:cs="Arial"/>
                <w:color w:val="1A1A1A"/>
                <w:sz w:val="16"/>
                <w:szCs w:val="16"/>
              </w:rPr>
            </w:pPr>
            <w:r w:rsidRPr="00205969">
              <w:rPr>
                <w:rFonts w:ascii="Arial Narrow" w:hAnsi="Arial Narrow" w:cs="Arial"/>
                <w:color w:val="1A1A1A"/>
                <w:sz w:val="16"/>
                <w:szCs w:val="16"/>
              </w:rPr>
              <w:t>30.3</w:t>
            </w:r>
          </w:p>
        </w:tc>
        <w:tc>
          <w:tcPr>
            <w:tcW w:w="756"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hanging="39"/>
              <w:jc w:val="center"/>
              <w:rPr>
                <w:rFonts w:ascii="Arial Narrow" w:hAnsi="Arial Narrow" w:cs="Arial"/>
                <w:color w:val="1A1A1A"/>
                <w:sz w:val="16"/>
                <w:szCs w:val="16"/>
              </w:rPr>
            </w:pPr>
            <w:r w:rsidRPr="00205969">
              <w:rPr>
                <w:rFonts w:ascii="Arial Narrow" w:hAnsi="Arial Narrow" w:cs="Arial"/>
                <w:color w:val="1A1A1A"/>
                <w:sz w:val="16"/>
                <w:szCs w:val="16"/>
              </w:rPr>
              <w:t>94.6</w:t>
            </w:r>
          </w:p>
        </w:tc>
        <w:tc>
          <w:tcPr>
            <w:tcW w:w="756"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hanging="33"/>
              <w:jc w:val="center"/>
              <w:rPr>
                <w:rFonts w:ascii="Arial Narrow" w:hAnsi="Arial Narrow" w:cs="Arial"/>
                <w:color w:val="1A1A1A"/>
                <w:sz w:val="16"/>
                <w:szCs w:val="16"/>
              </w:rPr>
            </w:pPr>
            <w:r w:rsidRPr="00205969">
              <w:rPr>
                <w:rFonts w:ascii="Arial Narrow" w:hAnsi="Arial Narrow" w:cs="Arial"/>
                <w:color w:val="1A1A1A"/>
                <w:sz w:val="16"/>
                <w:szCs w:val="16"/>
              </w:rPr>
              <w:t>41.5</w:t>
            </w:r>
          </w:p>
        </w:tc>
        <w:tc>
          <w:tcPr>
            <w:tcW w:w="605"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hanging="90"/>
              <w:jc w:val="center"/>
              <w:rPr>
                <w:rFonts w:ascii="Arial Narrow" w:hAnsi="Arial Narrow" w:cs="Arial"/>
                <w:color w:val="1A1A1A"/>
                <w:sz w:val="16"/>
                <w:szCs w:val="16"/>
              </w:rPr>
            </w:pPr>
            <w:r w:rsidRPr="00205969">
              <w:rPr>
                <w:rFonts w:ascii="Arial Narrow" w:hAnsi="Arial Narrow" w:cs="Arial"/>
                <w:color w:val="1A1A1A"/>
                <w:sz w:val="16"/>
                <w:szCs w:val="16"/>
              </w:rPr>
              <w:t>92.7</w:t>
            </w:r>
          </w:p>
        </w:tc>
        <w:tc>
          <w:tcPr>
            <w:tcW w:w="605" w:type="dxa"/>
            <w:tcMar>
              <w:top w:w="140" w:type="nil"/>
              <w:right w:w="140" w:type="nil"/>
            </w:tcMar>
            <w:vAlign w:val="center"/>
          </w:tcPr>
          <w:p w:rsidR="00792401" w:rsidRPr="00205969" w:rsidRDefault="00792401" w:rsidP="00205969">
            <w:pPr>
              <w:widowControl w:val="0"/>
              <w:autoSpaceDE w:val="0"/>
              <w:autoSpaceDN w:val="0"/>
              <w:adjustRightInd w:val="0"/>
              <w:spacing w:before="0" w:after="0"/>
              <w:ind w:left="90" w:hanging="90"/>
              <w:jc w:val="center"/>
              <w:rPr>
                <w:rFonts w:ascii="Arial Narrow" w:hAnsi="Arial Narrow" w:cs="Arial"/>
                <w:color w:val="1A1A1A"/>
                <w:sz w:val="16"/>
                <w:szCs w:val="16"/>
              </w:rPr>
            </w:pPr>
            <w:r w:rsidRPr="00205969">
              <w:rPr>
                <w:rFonts w:ascii="Arial Narrow" w:hAnsi="Arial Narrow" w:cs="Arial"/>
                <w:color w:val="1A1A1A"/>
                <w:sz w:val="16"/>
                <w:szCs w:val="16"/>
              </w:rPr>
              <w:t>39.2</w:t>
            </w:r>
          </w:p>
        </w:tc>
      </w:tr>
    </w:tbl>
    <w:p w:rsidR="00792401" w:rsidRPr="00CE086F" w:rsidRDefault="00792401" w:rsidP="00205969">
      <w:pPr>
        <w:spacing w:before="0" w:after="0"/>
        <w:ind w:left="-1710" w:right="450"/>
        <w:rPr>
          <w:sz w:val="14"/>
          <w:szCs w:val="14"/>
        </w:rPr>
      </w:pPr>
      <w:r w:rsidRPr="00CE086F">
        <w:rPr>
          <w:rFonts w:ascii="Calibri" w:hAnsi="Calibri" w:cs="Calibri"/>
          <w:color w:val="1A1A1A"/>
          <w:sz w:val="14"/>
          <w:szCs w:val="14"/>
        </w:rPr>
        <w:t> </w:t>
      </w:r>
    </w:p>
    <w:p w:rsidR="00792401" w:rsidRPr="00460E50" w:rsidRDefault="00792401" w:rsidP="00205969">
      <w:pPr>
        <w:spacing w:before="0" w:after="0"/>
        <w:rPr>
          <w:rFonts w:ascii="Arial" w:hAnsi="Arial" w:cs="Arial"/>
          <w:sz w:val="22"/>
          <w:szCs w:val="22"/>
        </w:rPr>
      </w:pPr>
      <w:r w:rsidRPr="00460E50">
        <w:rPr>
          <w:rFonts w:ascii="Arial" w:hAnsi="Arial" w:cs="Arial"/>
          <w:sz w:val="22"/>
          <w:szCs w:val="22"/>
        </w:rPr>
        <w:t>In short, as the March 2013 UNICEF report notes, Gaza has a number of stre</w:t>
      </w:r>
      <w:r w:rsidR="00205969">
        <w:rPr>
          <w:rFonts w:ascii="Arial" w:hAnsi="Arial" w:cs="Arial"/>
          <w:sz w:val="22"/>
          <w:szCs w:val="22"/>
        </w:rPr>
        <w:t xml:space="preserve">ngths in its education system: </w:t>
      </w:r>
      <w:r w:rsidRPr="00460E50">
        <w:rPr>
          <w:rFonts w:ascii="Arial" w:hAnsi="Arial" w:cs="Arial"/>
          <w:sz w:val="22"/>
          <w:szCs w:val="22"/>
        </w:rPr>
        <w:t>high enrolment, gender equality, widespread availability of textbooks, high proportion of qualified teachers, and reasonable a</w:t>
      </w:r>
      <w:r w:rsidR="00205969">
        <w:rPr>
          <w:rFonts w:ascii="Arial" w:hAnsi="Arial" w:cs="Arial"/>
          <w:sz w:val="22"/>
          <w:szCs w:val="22"/>
        </w:rPr>
        <w:t xml:space="preserve">ssessment of student learning. </w:t>
      </w:r>
      <w:r w:rsidRPr="00460E50">
        <w:rPr>
          <w:rFonts w:ascii="Arial" w:hAnsi="Arial" w:cs="Arial"/>
          <w:sz w:val="22"/>
          <w:szCs w:val="22"/>
        </w:rPr>
        <w:t xml:space="preserve">Many of these activities are or have been supported </w:t>
      </w:r>
      <w:r w:rsidR="00205969">
        <w:rPr>
          <w:rFonts w:ascii="Arial" w:hAnsi="Arial" w:cs="Arial"/>
          <w:sz w:val="22"/>
          <w:szCs w:val="22"/>
        </w:rPr>
        <w:t xml:space="preserve">by the EU and/or other donors. </w:t>
      </w:r>
      <w:r w:rsidRPr="00460E50">
        <w:rPr>
          <w:rFonts w:ascii="Arial" w:hAnsi="Arial" w:cs="Arial"/>
          <w:sz w:val="22"/>
          <w:szCs w:val="22"/>
        </w:rPr>
        <w:t>The main weakness is related to low and une</w:t>
      </w:r>
      <w:r w:rsidR="00205969">
        <w:rPr>
          <w:rFonts w:ascii="Arial" w:hAnsi="Arial" w:cs="Arial"/>
          <w:sz w:val="22"/>
          <w:szCs w:val="22"/>
        </w:rPr>
        <w:t xml:space="preserve">qual educational achievements. </w:t>
      </w:r>
      <w:r w:rsidRPr="00460E50">
        <w:rPr>
          <w:rFonts w:ascii="Arial" w:hAnsi="Arial" w:cs="Arial"/>
          <w:sz w:val="22"/>
          <w:szCs w:val="22"/>
        </w:rPr>
        <w:t xml:space="preserve">Moreover its performance is falling relative to the West Bank. </w:t>
      </w:r>
    </w:p>
    <w:p w:rsidR="00792401" w:rsidRPr="00460E50" w:rsidRDefault="00792401" w:rsidP="00205969">
      <w:pPr>
        <w:spacing w:before="0" w:after="0"/>
        <w:rPr>
          <w:rFonts w:ascii="Arial" w:hAnsi="Arial" w:cs="Arial"/>
          <w:sz w:val="22"/>
          <w:szCs w:val="22"/>
        </w:rPr>
      </w:pPr>
    </w:p>
    <w:p w:rsidR="00792401" w:rsidRPr="00460E50" w:rsidRDefault="00792401" w:rsidP="00205969">
      <w:pPr>
        <w:spacing w:before="0" w:after="0"/>
        <w:rPr>
          <w:rFonts w:ascii="Arial" w:hAnsi="Arial" w:cs="Arial"/>
          <w:sz w:val="22"/>
          <w:szCs w:val="22"/>
        </w:rPr>
      </w:pPr>
      <w:r w:rsidRPr="00460E50">
        <w:rPr>
          <w:rFonts w:ascii="Arial" w:hAnsi="Arial" w:cs="Arial"/>
          <w:sz w:val="22"/>
          <w:szCs w:val="22"/>
        </w:rPr>
        <w:t>UNICEF concludes that low education achievement is the product of multiple factors.  Environmental (or non-school) factors include the effects of border closure, socio-psychological effects of military conflicts, high unemployment and slow economic growth etc.  A compounding effect may be the content and qual</w:t>
      </w:r>
      <w:r w:rsidR="00205969">
        <w:rPr>
          <w:rFonts w:ascii="Arial" w:hAnsi="Arial" w:cs="Arial"/>
          <w:sz w:val="22"/>
          <w:szCs w:val="22"/>
        </w:rPr>
        <w:t xml:space="preserve">ity of what is taught. </w:t>
      </w:r>
      <w:r w:rsidRPr="00460E50">
        <w:rPr>
          <w:rFonts w:ascii="Arial" w:hAnsi="Arial" w:cs="Arial"/>
          <w:sz w:val="22"/>
          <w:szCs w:val="22"/>
        </w:rPr>
        <w:t>For example, despite the large number of unemployed youth, employers report that it is difficult to hire qualified job applicants – there is a mismatch between skills of the unemployed, many with university degrees, and those skills demanded by the labor market.  Recent focus groups clearly identified the lack of relevant skills as well as the low level of competencies and experience of graduates to be among the most important constraints to employment for youth in the Territory</w:t>
      </w:r>
      <w:r w:rsidRPr="00460E50">
        <w:rPr>
          <w:rStyle w:val="Rimandonotaapidipagina"/>
          <w:rFonts w:ascii="Arial" w:hAnsi="Arial" w:cs="Arial"/>
          <w:sz w:val="22"/>
          <w:szCs w:val="22"/>
        </w:rPr>
        <w:footnoteReference w:id="16"/>
      </w:r>
      <w:r w:rsidRPr="00460E50">
        <w:rPr>
          <w:rFonts w:ascii="Arial" w:hAnsi="Arial" w:cs="Arial"/>
          <w:sz w:val="22"/>
          <w:szCs w:val="22"/>
        </w:rPr>
        <w:t xml:space="preserve">.  </w:t>
      </w:r>
    </w:p>
    <w:p w:rsidR="00792401" w:rsidRPr="00460E50" w:rsidRDefault="00792401" w:rsidP="00205969">
      <w:pPr>
        <w:spacing w:before="0" w:after="0"/>
        <w:rPr>
          <w:rFonts w:ascii="Arial" w:hAnsi="Arial" w:cs="Arial"/>
          <w:sz w:val="22"/>
          <w:szCs w:val="22"/>
        </w:rPr>
      </w:pPr>
    </w:p>
    <w:p w:rsidR="00792401" w:rsidRDefault="00792401" w:rsidP="00205969">
      <w:pPr>
        <w:spacing w:before="0" w:after="0"/>
        <w:rPr>
          <w:rFonts w:ascii="Arial" w:hAnsi="Arial" w:cs="Arial"/>
          <w:sz w:val="22"/>
          <w:szCs w:val="22"/>
        </w:rPr>
      </w:pPr>
      <w:r w:rsidRPr="00460E50">
        <w:rPr>
          <w:rFonts w:ascii="Arial" w:hAnsi="Arial" w:cs="Arial"/>
          <w:sz w:val="22"/>
          <w:szCs w:val="22"/>
        </w:rPr>
        <w:t>In the same vein, the Technical and Vocational Education and Training (TVET) institutions are criticized for producing graduates, year after year, with little regard to the labor market signals.   According to the private sector, the education system does not well prepare students for the dema</w:t>
      </w:r>
      <w:r w:rsidR="00205969">
        <w:rPr>
          <w:rFonts w:ascii="Arial" w:hAnsi="Arial" w:cs="Arial"/>
          <w:sz w:val="22"/>
          <w:szCs w:val="22"/>
        </w:rPr>
        <w:t xml:space="preserve">nds of the modern work-place. </w:t>
      </w:r>
      <w:r w:rsidRPr="00460E50">
        <w:rPr>
          <w:rFonts w:ascii="Arial" w:hAnsi="Arial" w:cs="Arial"/>
          <w:sz w:val="22"/>
          <w:szCs w:val="22"/>
        </w:rPr>
        <w:t>Most topics are taught using traditional methods of lectures, memorization, and examinations with less emphasis on critical thinking, problem solving, and hands on learning experiences.</w:t>
      </w:r>
      <w:r w:rsidR="00205969">
        <w:rPr>
          <w:rFonts w:ascii="Arial" w:hAnsi="Arial" w:cs="Arial"/>
          <w:sz w:val="22"/>
          <w:szCs w:val="22"/>
        </w:rPr>
        <w:t xml:space="preserve"> </w:t>
      </w:r>
      <w:r w:rsidRPr="00460E50">
        <w:rPr>
          <w:rFonts w:ascii="Arial" w:hAnsi="Arial" w:cs="Arial"/>
          <w:sz w:val="22"/>
          <w:szCs w:val="22"/>
        </w:rPr>
        <w:t>Though the TVET institutions have in recent</w:t>
      </w:r>
      <w:r w:rsidRPr="00CE086F">
        <w:rPr>
          <w:rFonts w:ascii="Times New Roman" w:hAnsi="Times New Roman"/>
          <w:sz w:val="24"/>
          <w:szCs w:val="24"/>
        </w:rPr>
        <w:t xml:space="preserve"> </w:t>
      </w:r>
      <w:r w:rsidRPr="00460E50">
        <w:rPr>
          <w:rFonts w:ascii="Arial" w:hAnsi="Arial" w:cs="Arial"/>
          <w:sz w:val="22"/>
          <w:szCs w:val="22"/>
        </w:rPr>
        <w:t>years embraced more rigorous and professionally oriented curricula, the same World Bank report notes that the system does not begin to reach its potential. This is an area in which the EU has sunk considerable resources and may require a re-look.</w:t>
      </w:r>
    </w:p>
    <w:p w:rsidR="00205969" w:rsidRPr="00460E50" w:rsidRDefault="00205969" w:rsidP="00205969">
      <w:pPr>
        <w:spacing w:after="0"/>
        <w:rPr>
          <w:rFonts w:ascii="Arial" w:hAnsi="Arial" w:cs="Arial"/>
          <w:sz w:val="22"/>
          <w:szCs w:val="22"/>
        </w:rPr>
      </w:pPr>
      <w:r w:rsidRPr="00205969">
        <w:rPr>
          <w:rFonts w:ascii="Arial" w:hAnsi="Arial" w:cs="Arial"/>
          <w:b/>
          <w:color w:val="1F497D" w:themeColor="text2"/>
          <w:sz w:val="22"/>
          <w:szCs w:val="22"/>
        </w:rPr>
        <w:t>Health.</w:t>
      </w:r>
      <w:r w:rsidRPr="00460E50">
        <w:rPr>
          <w:rFonts w:ascii="Arial" w:hAnsi="Arial" w:cs="Arial"/>
          <w:b/>
          <w:sz w:val="22"/>
          <w:szCs w:val="22"/>
        </w:rPr>
        <w:t xml:space="preserve"> </w:t>
      </w:r>
      <w:r w:rsidRPr="00460E50">
        <w:rPr>
          <w:rFonts w:ascii="Arial" w:hAnsi="Arial" w:cs="Arial"/>
          <w:sz w:val="22"/>
          <w:szCs w:val="22"/>
        </w:rPr>
        <w:t>Despite high unemployment, high poverty, and chronic conflict, child nutrition indicators in Palestine are extraordinarily high</w:t>
      </w:r>
      <w:r w:rsidRPr="00460E50">
        <w:rPr>
          <w:rStyle w:val="Rimandonotaapidipagina"/>
          <w:rFonts w:ascii="Arial" w:hAnsi="Arial" w:cs="Arial"/>
          <w:sz w:val="22"/>
          <w:szCs w:val="22"/>
        </w:rPr>
        <w:footnoteReference w:id="17"/>
      </w:r>
      <w:r>
        <w:rPr>
          <w:rFonts w:ascii="Arial" w:hAnsi="Arial" w:cs="Arial"/>
          <w:sz w:val="22"/>
          <w:szCs w:val="22"/>
        </w:rPr>
        <w:t xml:space="preserve">. </w:t>
      </w:r>
      <w:r w:rsidRPr="00460E50">
        <w:rPr>
          <w:rFonts w:ascii="Arial" w:hAnsi="Arial" w:cs="Arial"/>
          <w:sz w:val="22"/>
          <w:szCs w:val="22"/>
        </w:rPr>
        <w:t>These results are consistent with other indicators of child health and nutri</w:t>
      </w:r>
      <w:r>
        <w:rPr>
          <w:rFonts w:ascii="Arial" w:hAnsi="Arial" w:cs="Arial"/>
          <w:sz w:val="22"/>
          <w:szCs w:val="22"/>
        </w:rPr>
        <w:t xml:space="preserve">tion. </w:t>
      </w:r>
      <w:r w:rsidRPr="00460E50">
        <w:rPr>
          <w:rFonts w:ascii="Arial" w:hAnsi="Arial" w:cs="Arial"/>
          <w:sz w:val="22"/>
          <w:szCs w:val="22"/>
        </w:rPr>
        <w:t xml:space="preserve">Almost all children are immunized against diphtheria, </w:t>
      </w:r>
      <w:proofErr w:type="spellStart"/>
      <w:r w:rsidRPr="00460E50">
        <w:rPr>
          <w:rFonts w:ascii="Arial" w:hAnsi="Arial" w:cs="Arial"/>
          <w:sz w:val="22"/>
          <w:szCs w:val="22"/>
        </w:rPr>
        <w:t>pertussis</w:t>
      </w:r>
      <w:proofErr w:type="spellEnd"/>
      <w:r w:rsidRPr="00460E50">
        <w:rPr>
          <w:rFonts w:ascii="Arial" w:hAnsi="Arial" w:cs="Arial"/>
          <w:sz w:val="22"/>
          <w:szCs w:val="22"/>
        </w:rPr>
        <w:t>, teta</w:t>
      </w:r>
      <w:r>
        <w:rPr>
          <w:rFonts w:ascii="Arial" w:hAnsi="Arial" w:cs="Arial"/>
          <w:sz w:val="22"/>
          <w:szCs w:val="22"/>
        </w:rPr>
        <w:t xml:space="preserve">nus, measles and tuberculosis. </w:t>
      </w:r>
      <w:r w:rsidRPr="00460E50">
        <w:rPr>
          <w:rFonts w:ascii="Arial" w:hAnsi="Arial" w:cs="Arial"/>
          <w:sz w:val="22"/>
          <w:szCs w:val="22"/>
        </w:rPr>
        <w:t>Vaccination rates exceed those of the average middle-income country.  There is near univers</w:t>
      </w:r>
      <w:r>
        <w:rPr>
          <w:rFonts w:ascii="Arial" w:hAnsi="Arial" w:cs="Arial"/>
          <w:sz w:val="22"/>
          <w:szCs w:val="22"/>
        </w:rPr>
        <w:t xml:space="preserve">al coverage of pre-natal care. </w:t>
      </w:r>
      <w:r w:rsidRPr="00460E50">
        <w:rPr>
          <w:rFonts w:ascii="Arial" w:hAnsi="Arial" w:cs="Arial"/>
          <w:sz w:val="22"/>
          <w:szCs w:val="22"/>
        </w:rPr>
        <w:t xml:space="preserve">And life expectancy at 73 is good compared to an average is 70 for all countries of the Middle East. </w:t>
      </w:r>
    </w:p>
    <w:p w:rsidR="00205969" w:rsidRDefault="00205969" w:rsidP="00205969">
      <w:pPr>
        <w:spacing w:before="0" w:after="0"/>
        <w:rPr>
          <w:rFonts w:ascii="Arial" w:hAnsi="Arial" w:cs="Arial"/>
          <w:sz w:val="22"/>
          <w:szCs w:val="22"/>
        </w:rPr>
      </w:pPr>
    </w:p>
    <w:p w:rsidR="00205969" w:rsidRDefault="00205969" w:rsidP="00205969">
      <w:pPr>
        <w:spacing w:before="0" w:after="0"/>
        <w:rPr>
          <w:rFonts w:ascii="Arial" w:hAnsi="Arial" w:cs="Arial"/>
          <w:sz w:val="22"/>
          <w:szCs w:val="22"/>
        </w:rPr>
      </w:pPr>
    </w:p>
    <w:tbl>
      <w:tblPr>
        <w:tblStyle w:val="Grigliatabella"/>
        <w:tblW w:w="0" w:type="auto"/>
        <w:tblBorders>
          <w:insideH w:val="none" w:sz="0" w:space="0" w:color="auto"/>
          <w:insideV w:val="none" w:sz="0" w:space="0" w:color="auto"/>
        </w:tblBorders>
        <w:tblLook w:val="04A0"/>
      </w:tblPr>
      <w:tblGrid>
        <w:gridCol w:w="4928"/>
        <w:gridCol w:w="4926"/>
      </w:tblGrid>
      <w:tr w:rsidR="00205969" w:rsidTr="00205969">
        <w:tc>
          <w:tcPr>
            <w:tcW w:w="4928" w:type="dxa"/>
          </w:tcPr>
          <w:p w:rsidR="00205969" w:rsidRPr="00205969" w:rsidRDefault="00205969" w:rsidP="00205969">
            <w:pPr>
              <w:jc w:val="center"/>
              <w:rPr>
                <w:rFonts w:ascii="Arial" w:hAnsi="Arial" w:cs="Arial"/>
                <w:b/>
                <w:color w:val="1F497D" w:themeColor="text2"/>
                <w:sz w:val="18"/>
                <w:szCs w:val="18"/>
              </w:rPr>
            </w:pPr>
            <w:r w:rsidRPr="00205969">
              <w:rPr>
                <w:rFonts w:ascii="Arial" w:hAnsi="Arial" w:cs="Arial"/>
                <w:b/>
                <w:color w:val="1F497D" w:themeColor="text2"/>
                <w:sz w:val="18"/>
                <w:szCs w:val="18"/>
              </w:rPr>
              <w:lastRenderedPageBreak/>
              <w:t xml:space="preserve">Figure 14: Tangible improvements to health in Gaza and the West Bank (1999-2009) </w:t>
            </w:r>
            <w:r w:rsidRPr="00205969">
              <w:rPr>
                <w:rFonts w:ascii="Arial" w:hAnsi="Arial" w:cs="Arial"/>
                <w:b/>
                <w:noProof/>
                <w:color w:val="1F497D" w:themeColor="text2"/>
                <w:sz w:val="18"/>
                <w:szCs w:val="18"/>
                <w:lang w:val="it-IT" w:eastAsia="it-IT"/>
              </w:rPr>
              <w:drawing>
                <wp:inline distT="0" distB="0" distL="0" distR="0">
                  <wp:extent cx="2883547" cy="1790700"/>
                  <wp:effectExtent l="19050" t="0" r="0" b="0"/>
                  <wp:docPr id="369" name="Im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26" cstate="print"/>
                          <a:srcRect/>
                          <a:stretch>
                            <a:fillRect/>
                          </a:stretch>
                        </pic:blipFill>
                        <pic:spPr bwMode="auto">
                          <a:xfrm>
                            <a:off x="0" y="0"/>
                            <a:ext cx="2884162" cy="1791082"/>
                          </a:xfrm>
                          <a:prstGeom prst="rect">
                            <a:avLst/>
                          </a:prstGeom>
                          <a:noFill/>
                          <a:ln w="9525">
                            <a:noFill/>
                            <a:miter lim="800000"/>
                            <a:headEnd/>
                            <a:tailEnd/>
                          </a:ln>
                        </pic:spPr>
                      </pic:pic>
                    </a:graphicData>
                  </a:graphic>
                </wp:inline>
              </w:drawing>
            </w:r>
          </w:p>
        </w:tc>
        <w:tc>
          <w:tcPr>
            <w:tcW w:w="4926" w:type="dxa"/>
          </w:tcPr>
          <w:p w:rsidR="00205969" w:rsidRPr="00205969" w:rsidRDefault="00205969" w:rsidP="00205969">
            <w:pPr>
              <w:jc w:val="left"/>
              <w:rPr>
                <w:rFonts w:ascii="Arial" w:hAnsi="Arial" w:cs="Arial"/>
                <w:b/>
                <w:color w:val="1F497D" w:themeColor="text2"/>
                <w:sz w:val="18"/>
                <w:szCs w:val="18"/>
              </w:rPr>
            </w:pPr>
            <w:r>
              <w:rPr>
                <w:rFonts w:ascii="Arial" w:hAnsi="Arial" w:cs="Arial"/>
                <w:b/>
                <w:color w:val="1F497D" w:themeColor="text2"/>
                <w:sz w:val="18"/>
                <w:szCs w:val="18"/>
              </w:rPr>
              <w:t xml:space="preserve">Figure 15: </w:t>
            </w:r>
            <w:r w:rsidRPr="00205969">
              <w:rPr>
                <w:rFonts w:ascii="Arial" w:hAnsi="Arial" w:cs="Arial"/>
                <w:b/>
                <w:color w:val="1F497D" w:themeColor="text2"/>
                <w:sz w:val="18"/>
                <w:szCs w:val="18"/>
              </w:rPr>
              <w:t>Health expenditure trend line in the Palestinian territory for the years 2000-2010</w:t>
            </w:r>
            <w:r w:rsidRPr="00205969">
              <w:rPr>
                <w:rFonts w:ascii="Arial" w:hAnsi="Arial" w:cs="Arial"/>
                <w:b/>
                <w:noProof/>
                <w:color w:val="1F497D" w:themeColor="text2"/>
                <w:sz w:val="18"/>
                <w:szCs w:val="18"/>
                <w:lang w:val="it-IT" w:eastAsia="it-IT"/>
              </w:rPr>
              <w:drawing>
                <wp:inline distT="0" distB="0" distL="0" distR="0">
                  <wp:extent cx="2816860" cy="1790700"/>
                  <wp:effectExtent l="19050" t="0" r="2540" b="0"/>
                  <wp:docPr id="370" name="Im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27" cstate="print"/>
                          <a:srcRect/>
                          <a:stretch>
                            <a:fillRect/>
                          </a:stretch>
                        </pic:blipFill>
                        <pic:spPr bwMode="auto">
                          <a:xfrm>
                            <a:off x="0" y="0"/>
                            <a:ext cx="2813050" cy="1788278"/>
                          </a:xfrm>
                          <a:prstGeom prst="rect">
                            <a:avLst/>
                          </a:prstGeom>
                          <a:noFill/>
                          <a:ln w="9525">
                            <a:noFill/>
                            <a:miter lim="800000"/>
                            <a:headEnd/>
                            <a:tailEnd/>
                          </a:ln>
                        </pic:spPr>
                      </pic:pic>
                    </a:graphicData>
                  </a:graphic>
                </wp:inline>
              </w:drawing>
            </w:r>
          </w:p>
        </w:tc>
      </w:tr>
      <w:tr w:rsidR="00205969" w:rsidTr="00205969">
        <w:tc>
          <w:tcPr>
            <w:tcW w:w="9854" w:type="dxa"/>
            <w:gridSpan w:val="2"/>
          </w:tcPr>
          <w:p w:rsidR="00205969" w:rsidRPr="00205969" w:rsidRDefault="00205969" w:rsidP="00205969">
            <w:pPr>
              <w:jc w:val="center"/>
              <w:rPr>
                <w:rFonts w:ascii="Arial" w:hAnsi="Arial" w:cs="Arial"/>
                <w:b/>
                <w:color w:val="1F497D" w:themeColor="text2"/>
                <w:sz w:val="18"/>
                <w:szCs w:val="18"/>
              </w:rPr>
            </w:pPr>
            <w:r w:rsidRPr="00205969">
              <w:rPr>
                <w:rFonts w:ascii="Arial" w:hAnsi="Arial" w:cs="Arial"/>
                <w:i/>
                <w:sz w:val="18"/>
                <w:szCs w:val="18"/>
              </w:rPr>
              <w:t>Source: Palestinian Bureau of Stati</w:t>
            </w:r>
            <w:r>
              <w:rPr>
                <w:rFonts w:ascii="Arial" w:hAnsi="Arial" w:cs="Arial"/>
                <w:i/>
                <w:sz w:val="18"/>
                <w:szCs w:val="18"/>
              </w:rPr>
              <w:t xml:space="preserve">stics and Ministry of Health. </w:t>
            </w:r>
            <w:r w:rsidRPr="00205969">
              <w:rPr>
                <w:rFonts w:ascii="Arial" w:hAnsi="Arial" w:cs="Arial"/>
                <w:i/>
                <w:sz w:val="18"/>
                <w:szCs w:val="18"/>
              </w:rPr>
              <w:t>National Health Accounts 2009, 2010, Main Findings.  Published Feb 2012</w:t>
            </w:r>
          </w:p>
        </w:tc>
      </w:tr>
    </w:tbl>
    <w:p w:rsidR="00792401" w:rsidRPr="00460E50" w:rsidRDefault="00792401" w:rsidP="00205969">
      <w:pPr>
        <w:spacing w:before="0" w:after="0"/>
        <w:rPr>
          <w:rFonts w:ascii="Arial" w:hAnsi="Arial" w:cs="Arial"/>
          <w:sz w:val="22"/>
          <w:szCs w:val="22"/>
        </w:rPr>
      </w:pPr>
      <w:r w:rsidRPr="00460E50">
        <w:rPr>
          <w:rFonts w:ascii="Arial" w:hAnsi="Arial" w:cs="Arial"/>
          <w:sz w:val="22"/>
          <w:szCs w:val="22"/>
        </w:rPr>
        <w:t>Good as they may be, it is important to note that these health outcomes paint only a partial picture of health outcomes in terms of coverage and scope.  Maternal mortality remain</w:t>
      </w:r>
      <w:r w:rsidR="00205969">
        <w:rPr>
          <w:rFonts w:ascii="Arial" w:hAnsi="Arial" w:cs="Arial"/>
          <w:sz w:val="22"/>
          <w:szCs w:val="22"/>
        </w:rPr>
        <w:t xml:space="preserve">s unacceptably high. </w:t>
      </w:r>
      <w:r w:rsidRPr="00460E50">
        <w:rPr>
          <w:rFonts w:ascii="Arial" w:hAnsi="Arial" w:cs="Arial"/>
          <w:sz w:val="22"/>
          <w:szCs w:val="22"/>
        </w:rPr>
        <w:t>Infant mortality in Gaza is almost</w:t>
      </w:r>
      <w:r w:rsidR="00205969">
        <w:rPr>
          <w:rFonts w:ascii="Arial" w:hAnsi="Arial" w:cs="Arial"/>
          <w:sz w:val="22"/>
          <w:szCs w:val="22"/>
        </w:rPr>
        <w:t xml:space="preserve"> double that of the West Bank. </w:t>
      </w:r>
      <w:r w:rsidRPr="00460E50">
        <w:rPr>
          <w:rFonts w:ascii="Arial" w:hAnsi="Arial" w:cs="Arial"/>
          <w:sz w:val="22"/>
          <w:szCs w:val="22"/>
        </w:rPr>
        <w:t>And an infant born to the poorest quintile in Gaza is twice as likely to die as in infant born into the richest quintile in Gaza.  Despite the reductions in child mortality, MDG 4 will not be reached. Indeed, Palestine had the smallest reduction in child mortality rates compared to all Arab countries</w:t>
      </w:r>
      <w:r w:rsidRPr="00460E50">
        <w:rPr>
          <w:rStyle w:val="Rimandonotaapidipagina"/>
          <w:rFonts w:ascii="Arial" w:hAnsi="Arial" w:cs="Arial"/>
          <w:sz w:val="22"/>
          <w:szCs w:val="22"/>
        </w:rPr>
        <w:footnoteReference w:id="18"/>
      </w:r>
      <w:r w:rsidR="00205969">
        <w:rPr>
          <w:rFonts w:ascii="Arial" w:hAnsi="Arial" w:cs="Arial"/>
          <w:sz w:val="22"/>
          <w:szCs w:val="22"/>
        </w:rPr>
        <w:t xml:space="preserve">. </w:t>
      </w:r>
      <w:r w:rsidRPr="00460E50">
        <w:rPr>
          <w:rFonts w:ascii="Arial" w:hAnsi="Arial" w:cs="Arial"/>
          <w:sz w:val="22"/>
          <w:szCs w:val="22"/>
        </w:rPr>
        <w:t xml:space="preserve">The assessment of most working in the sector is that outcomes in the sector have been disappointing and not commensurate with the </w:t>
      </w:r>
      <w:r w:rsidR="00205969">
        <w:rPr>
          <w:rFonts w:ascii="Arial" w:hAnsi="Arial" w:cs="Arial"/>
          <w:sz w:val="22"/>
          <w:szCs w:val="22"/>
        </w:rPr>
        <w:t xml:space="preserve">funding going into the sector. </w:t>
      </w:r>
      <w:r w:rsidRPr="00460E50">
        <w:rPr>
          <w:rFonts w:ascii="Arial" w:hAnsi="Arial" w:cs="Arial"/>
          <w:sz w:val="22"/>
          <w:szCs w:val="22"/>
        </w:rPr>
        <w:t xml:space="preserve">Indeed, there has been an explosion of costs that would indicate scope for improving efficiency in the sector. Expenditures have risen by 150% over the past ten </w:t>
      </w:r>
      <w:r w:rsidRPr="00205969">
        <w:rPr>
          <w:rFonts w:ascii="Arial" w:hAnsi="Arial" w:cs="Arial"/>
          <w:sz w:val="22"/>
          <w:szCs w:val="22"/>
        </w:rPr>
        <w:t xml:space="preserve">years (see table </w:t>
      </w:r>
      <w:r w:rsidR="00205969">
        <w:rPr>
          <w:rFonts w:ascii="Arial" w:hAnsi="Arial" w:cs="Arial"/>
          <w:sz w:val="22"/>
          <w:szCs w:val="22"/>
        </w:rPr>
        <w:t>15</w:t>
      </w:r>
      <w:r w:rsidRPr="00460E50">
        <w:rPr>
          <w:rFonts w:ascii="Arial" w:hAnsi="Arial" w:cs="Arial"/>
          <w:sz w:val="22"/>
          <w:szCs w:val="22"/>
        </w:rPr>
        <w:t>).</w:t>
      </w:r>
      <w:r w:rsidRPr="00460E50">
        <w:rPr>
          <w:rStyle w:val="Rimandonotaapidipagina"/>
          <w:rFonts w:ascii="Arial" w:hAnsi="Arial" w:cs="Arial"/>
          <w:sz w:val="22"/>
          <w:szCs w:val="22"/>
        </w:rPr>
        <w:footnoteReference w:id="19"/>
      </w:r>
    </w:p>
    <w:p w:rsidR="00792401" w:rsidRDefault="00792401" w:rsidP="00205969">
      <w:pPr>
        <w:spacing w:before="0" w:after="0"/>
        <w:rPr>
          <w:rFonts w:ascii="Times New Roman" w:hAnsi="Times New Roman"/>
          <w:sz w:val="24"/>
          <w:szCs w:val="24"/>
        </w:rPr>
      </w:pPr>
    </w:p>
    <w:p w:rsidR="00792401" w:rsidRPr="00460E50" w:rsidRDefault="00792401" w:rsidP="00205969">
      <w:pPr>
        <w:spacing w:before="0" w:after="0"/>
        <w:rPr>
          <w:rFonts w:ascii="Arial" w:hAnsi="Arial" w:cs="Arial"/>
          <w:sz w:val="22"/>
          <w:szCs w:val="22"/>
        </w:rPr>
      </w:pPr>
      <w:r w:rsidRPr="00460E50">
        <w:rPr>
          <w:rFonts w:ascii="Arial" w:hAnsi="Arial" w:cs="Arial"/>
          <w:sz w:val="22"/>
          <w:szCs w:val="22"/>
        </w:rPr>
        <w:t>As noted in a report prepared by ICAI:  DFID’s Support for Palestine Refugees through UNRWA dated September 2013, the cost of health care delivered by the PA is considerably higher than that provided by UNRWA.  UNRWA performs better suggesting that the PA/Hamas has great scope to introduce efficiency reforms.</w:t>
      </w:r>
    </w:p>
    <w:p w:rsidR="00792401" w:rsidRPr="00460E50" w:rsidRDefault="00792401" w:rsidP="00205969">
      <w:pPr>
        <w:spacing w:before="0" w:after="0"/>
        <w:rPr>
          <w:rFonts w:ascii="Arial" w:hAnsi="Arial" w:cs="Arial"/>
          <w:sz w:val="22"/>
          <w:szCs w:val="22"/>
        </w:rPr>
      </w:pPr>
    </w:p>
    <w:p w:rsidR="00792401" w:rsidRPr="00460E50" w:rsidRDefault="00792401" w:rsidP="00205969">
      <w:pPr>
        <w:spacing w:before="0" w:after="0"/>
        <w:rPr>
          <w:rFonts w:ascii="Arial" w:hAnsi="Arial" w:cs="Arial"/>
          <w:sz w:val="22"/>
          <w:szCs w:val="22"/>
        </w:rPr>
      </w:pPr>
      <w:r w:rsidRPr="00460E50">
        <w:rPr>
          <w:rFonts w:ascii="Arial" w:hAnsi="Arial" w:cs="Arial"/>
          <w:sz w:val="22"/>
          <w:szCs w:val="22"/>
        </w:rPr>
        <w:t>A number of issues have been identified in the sector</w:t>
      </w:r>
      <w:r w:rsidRPr="00460E50">
        <w:rPr>
          <w:rStyle w:val="Rimandonotaapidipagina"/>
          <w:rFonts w:ascii="Arial" w:hAnsi="Arial" w:cs="Arial"/>
          <w:sz w:val="22"/>
          <w:szCs w:val="22"/>
        </w:rPr>
        <w:footnoteReference w:id="20"/>
      </w:r>
      <w:r w:rsidR="00205969">
        <w:rPr>
          <w:rFonts w:ascii="Arial" w:hAnsi="Arial" w:cs="Arial"/>
          <w:sz w:val="22"/>
          <w:szCs w:val="22"/>
        </w:rPr>
        <w:t xml:space="preserve">. </w:t>
      </w:r>
      <w:r w:rsidRPr="00460E50">
        <w:rPr>
          <w:rFonts w:ascii="Arial" w:hAnsi="Arial" w:cs="Arial"/>
          <w:sz w:val="22"/>
          <w:szCs w:val="22"/>
        </w:rPr>
        <w:t xml:space="preserve">Several stem, at least in part, from the conflict conditions and closure policy which have, at times, restricted access to medical supplies.  These include:  </w:t>
      </w:r>
    </w:p>
    <w:p w:rsidR="00792401" w:rsidRPr="00460E50" w:rsidRDefault="00792401" w:rsidP="00DE1F72">
      <w:pPr>
        <w:pStyle w:val="Paragrafoelenco"/>
        <w:numPr>
          <w:ilvl w:val="0"/>
          <w:numId w:val="111"/>
        </w:numPr>
        <w:spacing w:before="0" w:after="0"/>
        <w:rPr>
          <w:rFonts w:ascii="Arial" w:hAnsi="Arial" w:cs="Arial"/>
          <w:b/>
          <w:i/>
          <w:sz w:val="22"/>
          <w:szCs w:val="22"/>
        </w:rPr>
      </w:pPr>
      <w:r w:rsidRPr="00460E50">
        <w:rPr>
          <w:rFonts w:ascii="Arial" w:hAnsi="Arial" w:cs="Arial"/>
          <w:sz w:val="22"/>
          <w:szCs w:val="22"/>
        </w:rPr>
        <w:t xml:space="preserve">A fragmented institutional framework with effectively two ministries of health, one in </w:t>
      </w:r>
      <w:r w:rsidR="00205969">
        <w:rPr>
          <w:rFonts w:ascii="Arial" w:hAnsi="Arial" w:cs="Arial"/>
          <w:sz w:val="22"/>
          <w:szCs w:val="22"/>
        </w:rPr>
        <w:t xml:space="preserve">the West Bank and one in Gaza. </w:t>
      </w:r>
      <w:r w:rsidRPr="00460E50">
        <w:rPr>
          <w:rFonts w:ascii="Arial" w:hAnsi="Arial" w:cs="Arial"/>
          <w:sz w:val="22"/>
          <w:szCs w:val="22"/>
        </w:rPr>
        <w:t>This is described in more detail in the main text;</w:t>
      </w:r>
    </w:p>
    <w:p w:rsidR="00792401" w:rsidRPr="00460E50" w:rsidRDefault="00792401" w:rsidP="00DE1F72">
      <w:pPr>
        <w:pStyle w:val="Paragrafoelenco"/>
        <w:numPr>
          <w:ilvl w:val="0"/>
          <w:numId w:val="111"/>
        </w:numPr>
        <w:spacing w:before="0" w:after="0"/>
        <w:rPr>
          <w:rFonts w:ascii="Arial" w:hAnsi="Arial" w:cs="Arial"/>
          <w:b/>
          <w:i/>
          <w:sz w:val="22"/>
          <w:szCs w:val="22"/>
        </w:rPr>
      </w:pPr>
      <w:r w:rsidRPr="00460E50">
        <w:rPr>
          <w:rFonts w:ascii="Arial" w:hAnsi="Arial" w:cs="Arial"/>
          <w:sz w:val="22"/>
          <w:szCs w:val="22"/>
        </w:rPr>
        <w:t>Unpredictable health f</w:t>
      </w:r>
      <w:r w:rsidR="00205969">
        <w:rPr>
          <w:rFonts w:ascii="Arial" w:hAnsi="Arial" w:cs="Arial"/>
          <w:sz w:val="22"/>
          <w:szCs w:val="22"/>
        </w:rPr>
        <w:t xml:space="preserve">inancing and donor dependence. </w:t>
      </w:r>
      <w:r w:rsidRPr="00460E50">
        <w:rPr>
          <w:rFonts w:ascii="Arial" w:hAnsi="Arial" w:cs="Arial"/>
          <w:sz w:val="22"/>
          <w:szCs w:val="22"/>
        </w:rPr>
        <w:t>Also, a massive increase in recurrent health spending on salaries (do</w:t>
      </w:r>
      <w:r w:rsidR="00205969">
        <w:rPr>
          <w:rFonts w:ascii="Arial" w:hAnsi="Arial" w:cs="Arial"/>
          <w:sz w:val="22"/>
          <w:szCs w:val="22"/>
        </w:rPr>
        <w:t xml:space="preserve">ubling between 2000 and 2005). </w:t>
      </w:r>
      <w:r w:rsidRPr="00460E50">
        <w:rPr>
          <w:rFonts w:ascii="Arial" w:hAnsi="Arial" w:cs="Arial"/>
          <w:sz w:val="22"/>
          <w:szCs w:val="22"/>
        </w:rPr>
        <w:t xml:space="preserve">In later years, this was of course financed in large part by the EU through DFS under PEGASE.  </w:t>
      </w:r>
    </w:p>
    <w:p w:rsidR="00792401" w:rsidRPr="00460E50" w:rsidRDefault="00792401" w:rsidP="00DE1F72">
      <w:pPr>
        <w:pStyle w:val="Paragrafoelenco"/>
        <w:numPr>
          <w:ilvl w:val="0"/>
          <w:numId w:val="111"/>
        </w:numPr>
        <w:spacing w:before="0" w:after="0"/>
        <w:rPr>
          <w:rFonts w:ascii="Arial" w:hAnsi="Arial" w:cs="Arial"/>
          <w:b/>
          <w:i/>
          <w:sz w:val="22"/>
          <w:szCs w:val="22"/>
        </w:rPr>
      </w:pPr>
      <w:r w:rsidRPr="00460E50">
        <w:rPr>
          <w:rFonts w:ascii="Arial" w:hAnsi="Arial" w:cs="Arial"/>
          <w:sz w:val="22"/>
          <w:szCs w:val="22"/>
        </w:rPr>
        <w:t>Each doctor sees, on average, 104 patients a day, which, without implementation of proposed reforms, will increase to 138 by 2021.</w:t>
      </w:r>
      <w:r w:rsidRPr="00460E50">
        <w:rPr>
          <w:rStyle w:val="Rimandonotaapidipagina"/>
          <w:rFonts w:ascii="Arial" w:hAnsi="Arial" w:cs="Arial"/>
          <w:sz w:val="22"/>
          <w:szCs w:val="22"/>
        </w:rPr>
        <w:footnoteReference w:id="21"/>
      </w:r>
    </w:p>
    <w:p w:rsidR="00792401" w:rsidRPr="00460E50" w:rsidRDefault="00792401" w:rsidP="00DE1F72">
      <w:pPr>
        <w:pStyle w:val="Paragrafoelenco"/>
        <w:numPr>
          <w:ilvl w:val="0"/>
          <w:numId w:val="111"/>
        </w:numPr>
        <w:spacing w:before="0" w:after="0"/>
        <w:rPr>
          <w:rFonts w:ascii="Arial" w:hAnsi="Arial" w:cs="Arial"/>
          <w:b/>
          <w:i/>
          <w:sz w:val="22"/>
          <w:szCs w:val="22"/>
        </w:rPr>
      </w:pPr>
      <w:r w:rsidRPr="00460E50">
        <w:rPr>
          <w:rFonts w:ascii="Arial" w:hAnsi="Arial" w:cs="Arial"/>
          <w:sz w:val="22"/>
          <w:szCs w:val="22"/>
        </w:rPr>
        <w:t>a huge increase in treatment referrals</w:t>
      </w:r>
      <w:r w:rsidR="00205969">
        <w:rPr>
          <w:rFonts w:ascii="Arial" w:hAnsi="Arial" w:cs="Arial"/>
          <w:sz w:val="22"/>
          <w:szCs w:val="22"/>
        </w:rPr>
        <w:t xml:space="preserve"> outside the PA health system. </w:t>
      </w:r>
      <w:r w:rsidRPr="00460E50">
        <w:rPr>
          <w:rFonts w:ascii="Arial" w:hAnsi="Arial" w:cs="Arial"/>
          <w:sz w:val="22"/>
          <w:szCs w:val="22"/>
        </w:rPr>
        <w:t xml:space="preserve">According to data given to the mission, the PA had unpaid bills at the end of 2012 on referrals of some $180 million out of a yearly health budget of around half a billion dollars. And since 1994, the total bill for referrals has been close </w:t>
      </w:r>
      <w:r w:rsidR="00205969">
        <w:rPr>
          <w:rFonts w:ascii="Arial" w:hAnsi="Arial" w:cs="Arial"/>
          <w:sz w:val="22"/>
          <w:szCs w:val="22"/>
        </w:rPr>
        <w:t xml:space="preserve">to $2 billion – a massive sum. </w:t>
      </w:r>
      <w:r w:rsidRPr="00460E50">
        <w:rPr>
          <w:rFonts w:ascii="Arial" w:hAnsi="Arial" w:cs="Arial"/>
          <w:sz w:val="22"/>
          <w:szCs w:val="22"/>
        </w:rPr>
        <w:t>This problem became even more acute when the PA cut off funds to the health system in Gaza following the election of Hamas (short of medical supplies, many more patients were sent of Gaza for treatment elsewhere);</w:t>
      </w:r>
    </w:p>
    <w:p w:rsidR="00792401" w:rsidRPr="00460E50" w:rsidRDefault="00792401" w:rsidP="00DE1F72">
      <w:pPr>
        <w:pStyle w:val="Paragrafoelenco"/>
        <w:numPr>
          <w:ilvl w:val="0"/>
          <w:numId w:val="111"/>
        </w:numPr>
        <w:spacing w:before="0" w:after="0"/>
        <w:rPr>
          <w:rFonts w:ascii="Arial" w:hAnsi="Arial" w:cs="Arial"/>
          <w:b/>
          <w:i/>
          <w:sz w:val="22"/>
          <w:szCs w:val="22"/>
        </w:rPr>
      </w:pPr>
      <w:r w:rsidRPr="00460E50">
        <w:rPr>
          <w:rFonts w:ascii="Arial" w:hAnsi="Arial" w:cs="Arial"/>
          <w:sz w:val="22"/>
          <w:szCs w:val="22"/>
        </w:rPr>
        <w:t>Inadequate financial protection from illness with about 40% of total health expenditures coming in the form of out-of-pocket household expenditures,</w:t>
      </w:r>
    </w:p>
    <w:p w:rsidR="00792401" w:rsidRPr="00460E50" w:rsidRDefault="00792401" w:rsidP="00DE1F72">
      <w:pPr>
        <w:pStyle w:val="Paragrafoelenco"/>
        <w:numPr>
          <w:ilvl w:val="0"/>
          <w:numId w:val="111"/>
        </w:numPr>
        <w:spacing w:before="0" w:after="0"/>
        <w:rPr>
          <w:rFonts w:ascii="Arial" w:hAnsi="Arial" w:cs="Arial"/>
          <w:b/>
          <w:i/>
          <w:sz w:val="22"/>
          <w:szCs w:val="22"/>
        </w:rPr>
      </w:pPr>
      <w:r w:rsidRPr="00460E50">
        <w:rPr>
          <w:rFonts w:ascii="Arial" w:hAnsi="Arial" w:cs="Arial"/>
          <w:sz w:val="22"/>
          <w:szCs w:val="22"/>
        </w:rPr>
        <w:lastRenderedPageBreak/>
        <w:t xml:space="preserve">Ministry of health capacity constraints and fiscal pressures so that there are often long delay in the payment of salaries, </w:t>
      </w:r>
    </w:p>
    <w:p w:rsidR="00792401" w:rsidRPr="00460E50" w:rsidRDefault="00792401" w:rsidP="00DE1F72">
      <w:pPr>
        <w:pStyle w:val="Paragrafoelenco"/>
        <w:numPr>
          <w:ilvl w:val="0"/>
          <w:numId w:val="111"/>
        </w:numPr>
        <w:spacing w:before="0" w:after="0"/>
        <w:rPr>
          <w:rFonts w:ascii="Arial" w:hAnsi="Arial" w:cs="Arial"/>
          <w:b/>
          <w:i/>
          <w:sz w:val="22"/>
          <w:szCs w:val="22"/>
        </w:rPr>
      </w:pPr>
      <w:r w:rsidRPr="00460E50">
        <w:rPr>
          <w:rFonts w:ascii="Arial" w:hAnsi="Arial" w:cs="Arial"/>
          <w:sz w:val="22"/>
          <w:szCs w:val="22"/>
        </w:rPr>
        <w:t>An increasing burden of chronic disease such as cardiovascular disease, hypertension, diabetics, etc., and finally</w:t>
      </w:r>
    </w:p>
    <w:p w:rsidR="00792401" w:rsidRPr="00205969" w:rsidRDefault="00792401" w:rsidP="00DE1F72">
      <w:pPr>
        <w:pStyle w:val="Paragrafoelenco"/>
        <w:numPr>
          <w:ilvl w:val="0"/>
          <w:numId w:val="111"/>
        </w:numPr>
        <w:spacing w:before="0" w:after="0"/>
        <w:rPr>
          <w:rFonts w:ascii="Arial" w:hAnsi="Arial" w:cs="Arial"/>
          <w:b/>
          <w:i/>
          <w:sz w:val="22"/>
          <w:szCs w:val="22"/>
        </w:rPr>
      </w:pPr>
      <w:r w:rsidRPr="00460E50">
        <w:rPr>
          <w:rFonts w:ascii="Arial" w:hAnsi="Arial" w:cs="Arial"/>
          <w:sz w:val="22"/>
          <w:szCs w:val="22"/>
        </w:rPr>
        <w:t xml:space="preserve">A huge increase in mental health issues related to the conflict, which results in domestic violence, clinical depression and loss of productivity.  The last survey by PCBS on violence in Palestinian society (December 2011) showed an increase in all types of violence, with worrying rates of domestic violence by husbands – 29.9% in the West Bank compared to 51.1% in Gaza.  </w:t>
      </w:r>
    </w:p>
    <w:p w:rsidR="00205969" w:rsidRPr="00460E50" w:rsidRDefault="00205969" w:rsidP="00205969">
      <w:pPr>
        <w:pStyle w:val="Paragrafoelenco"/>
        <w:spacing w:before="0" w:after="0"/>
        <w:rPr>
          <w:rFonts w:ascii="Arial" w:hAnsi="Arial" w:cs="Arial"/>
          <w:b/>
          <w:i/>
          <w:sz w:val="22"/>
          <w:szCs w:val="22"/>
        </w:rPr>
      </w:pPr>
    </w:p>
    <w:p w:rsidR="00792401" w:rsidRPr="00460E50" w:rsidRDefault="00792401" w:rsidP="00205969">
      <w:pPr>
        <w:spacing w:before="0" w:after="0"/>
        <w:rPr>
          <w:rFonts w:ascii="Arial" w:hAnsi="Arial" w:cs="Arial"/>
          <w:sz w:val="22"/>
          <w:szCs w:val="22"/>
        </w:rPr>
      </w:pPr>
      <w:r w:rsidRPr="00460E50">
        <w:rPr>
          <w:rFonts w:ascii="Arial" w:hAnsi="Arial" w:cs="Arial"/>
          <w:sz w:val="22"/>
          <w:szCs w:val="22"/>
        </w:rPr>
        <w:t>An important issue not mentioned in the World Bank report relates to that of data and monit</w:t>
      </w:r>
      <w:r w:rsidR="00205969">
        <w:rPr>
          <w:rFonts w:ascii="Arial" w:hAnsi="Arial" w:cs="Arial"/>
          <w:sz w:val="22"/>
          <w:szCs w:val="22"/>
        </w:rPr>
        <w:t xml:space="preserve">oring of progress and results. </w:t>
      </w:r>
      <w:r w:rsidRPr="00460E50">
        <w:rPr>
          <w:rFonts w:ascii="Arial" w:hAnsi="Arial" w:cs="Arial"/>
          <w:sz w:val="22"/>
          <w:szCs w:val="22"/>
        </w:rPr>
        <w:t xml:space="preserve">This is well illustrated by a review mission for the USAID Health Sector Reform and Development Flagship </w:t>
      </w:r>
      <w:r w:rsidR="00205969">
        <w:rPr>
          <w:rFonts w:ascii="Arial" w:hAnsi="Arial" w:cs="Arial"/>
          <w:sz w:val="22"/>
          <w:szCs w:val="22"/>
        </w:rPr>
        <w:t xml:space="preserve">Project (Mid-Term Evaluation). </w:t>
      </w:r>
      <w:r w:rsidRPr="00460E50">
        <w:rPr>
          <w:rFonts w:ascii="Arial" w:hAnsi="Arial" w:cs="Arial"/>
          <w:sz w:val="22"/>
          <w:szCs w:val="22"/>
        </w:rPr>
        <w:t>The review mission noted that “the evaluation team experienced extraordinary difficulties with developing an accurate view of the accomplishments and challenges of this large and complex project, largely because of the “public relations-oriented” reporting style and lack of substa</w:t>
      </w:r>
      <w:r w:rsidR="00205969">
        <w:rPr>
          <w:rFonts w:ascii="Arial" w:hAnsi="Arial" w:cs="Arial"/>
          <w:sz w:val="22"/>
          <w:szCs w:val="22"/>
        </w:rPr>
        <w:t xml:space="preserve">nce in the written material”. </w:t>
      </w:r>
      <w:r w:rsidRPr="00460E50">
        <w:rPr>
          <w:rFonts w:ascii="Arial" w:hAnsi="Arial" w:cs="Arial"/>
          <w:sz w:val="22"/>
          <w:szCs w:val="22"/>
        </w:rPr>
        <w:t>Others repeated this comment in the sector:  weak reporting of results and the difficulty of obtaining hard data to assess results and efficiency of the health system.</w:t>
      </w:r>
    </w:p>
    <w:p w:rsidR="00792401" w:rsidRPr="00460E50" w:rsidRDefault="00792401" w:rsidP="00205969">
      <w:pPr>
        <w:spacing w:before="0" w:after="0"/>
        <w:rPr>
          <w:rFonts w:ascii="Arial" w:hAnsi="Arial" w:cs="Arial"/>
          <w:sz w:val="22"/>
          <w:szCs w:val="22"/>
        </w:rPr>
      </w:pPr>
    </w:p>
    <w:p w:rsidR="00792401" w:rsidRPr="00460E50" w:rsidRDefault="00792401" w:rsidP="00205969">
      <w:pPr>
        <w:spacing w:before="0" w:after="0"/>
        <w:rPr>
          <w:rFonts w:ascii="Arial" w:hAnsi="Arial" w:cs="Arial"/>
          <w:sz w:val="22"/>
          <w:szCs w:val="22"/>
        </w:rPr>
      </w:pPr>
      <w:r w:rsidRPr="00460E50">
        <w:rPr>
          <w:rFonts w:ascii="Arial" w:hAnsi="Arial" w:cs="Arial"/>
          <w:sz w:val="22"/>
          <w:szCs w:val="22"/>
        </w:rPr>
        <w:t xml:space="preserve">Hospitals and health centers suffer from a shortage of specialized doctor, lack of new technologies, and outdated equipment.  Interviews noted too that there is high fragmentation in the donor community with little coordination among the donor community in the health sector;  donor interventions and policies are often not aligned with national priorities. </w:t>
      </w:r>
      <w:r w:rsidR="007047EC">
        <w:rPr>
          <w:rFonts w:ascii="Arial" w:hAnsi="Arial" w:cs="Arial"/>
          <w:sz w:val="22"/>
          <w:szCs w:val="22"/>
        </w:rPr>
        <w:t>A</w:t>
      </w:r>
      <w:r w:rsidRPr="00460E50">
        <w:rPr>
          <w:rFonts w:ascii="Arial" w:hAnsi="Arial" w:cs="Arial"/>
          <w:sz w:val="22"/>
          <w:szCs w:val="22"/>
        </w:rPr>
        <w:t xml:space="preserve"> substantial issue that continues to be pushed off with little real effort to come to resolution is that of the reform of a </w:t>
      </w:r>
      <w:r w:rsidR="00205969">
        <w:rPr>
          <w:rFonts w:ascii="Arial" w:hAnsi="Arial" w:cs="Arial"/>
          <w:sz w:val="22"/>
          <w:szCs w:val="22"/>
        </w:rPr>
        <w:t xml:space="preserve">national health insurance law. </w:t>
      </w:r>
    </w:p>
    <w:p w:rsidR="00792401" w:rsidRPr="00CE086F" w:rsidRDefault="00792401" w:rsidP="00205969">
      <w:pPr>
        <w:spacing w:before="0" w:after="0"/>
        <w:rPr>
          <w:rFonts w:ascii="Times New Roman" w:hAnsi="Times New Roman"/>
          <w:sz w:val="24"/>
          <w:szCs w:val="24"/>
        </w:rPr>
      </w:pPr>
    </w:p>
    <w:tbl>
      <w:tblPr>
        <w:tblStyle w:val="Grigliatabella"/>
        <w:tblpPr w:leftFromText="141" w:rightFromText="141" w:vertAnchor="text" w:horzAnchor="margin" w:tblpXSpec="right" w:tblpY="40"/>
        <w:tblOverlap w:val="never"/>
        <w:tblW w:w="0" w:type="auto"/>
        <w:tblLook w:val="04A0"/>
      </w:tblPr>
      <w:tblGrid>
        <w:gridCol w:w="5566"/>
      </w:tblGrid>
      <w:tr w:rsidR="007047EC" w:rsidTr="007047EC">
        <w:trPr>
          <w:trHeight w:val="3698"/>
        </w:trPr>
        <w:tc>
          <w:tcPr>
            <w:tcW w:w="5566" w:type="dxa"/>
          </w:tcPr>
          <w:p w:rsidR="007047EC" w:rsidRPr="007047EC" w:rsidRDefault="007047EC" w:rsidP="007047EC">
            <w:pPr>
              <w:jc w:val="center"/>
              <w:rPr>
                <w:rFonts w:ascii="Arial" w:hAnsi="Arial" w:cs="Arial"/>
                <w:b/>
                <w:color w:val="1F497D" w:themeColor="text2"/>
                <w:sz w:val="18"/>
                <w:szCs w:val="18"/>
              </w:rPr>
            </w:pPr>
            <w:r w:rsidRPr="007047EC">
              <w:rPr>
                <w:rFonts w:ascii="Arial" w:hAnsi="Arial" w:cs="Arial"/>
                <w:b/>
                <w:color w:val="1F497D" w:themeColor="text2"/>
                <w:sz w:val="18"/>
                <w:szCs w:val="18"/>
              </w:rPr>
              <w:t>Figure 16: Social Assistance as a share of total household consumption expenditures: West bank and Gaza,2004-2009</w:t>
            </w:r>
          </w:p>
          <w:p w:rsidR="007047EC" w:rsidRDefault="007047EC" w:rsidP="007047EC">
            <w:pPr>
              <w:jc w:val="center"/>
            </w:pPr>
            <w:r>
              <w:rPr>
                <w:rFonts w:ascii="Arial" w:hAnsi="Arial" w:cs="Arial"/>
                <w:noProof/>
                <w:lang w:val="it-IT" w:eastAsia="it-IT"/>
              </w:rPr>
              <w:drawing>
                <wp:inline distT="0" distB="0" distL="0" distR="0">
                  <wp:extent cx="3301365" cy="1903313"/>
                  <wp:effectExtent l="19050" t="0" r="0" b="0"/>
                  <wp:docPr id="399" name="Immagin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28" cstate="print"/>
                          <a:srcRect/>
                          <a:stretch>
                            <a:fillRect/>
                          </a:stretch>
                        </pic:blipFill>
                        <pic:spPr bwMode="auto">
                          <a:xfrm>
                            <a:off x="0" y="0"/>
                            <a:ext cx="3302351" cy="1903882"/>
                          </a:xfrm>
                          <a:prstGeom prst="rect">
                            <a:avLst/>
                          </a:prstGeom>
                          <a:noFill/>
                          <a:ln w="9525">
                            <a:noFill/>
                            <a:miter lim="800000"/>
                            <a:headEnd/>
                            <a:tailEnd/>
                          </a:ln>
                        </pic:spPr>
                      </pic:pic>
                    </a:graphicData>
                  </a:graphic>
                </wp:inline>
              </w:drawing>
            </w:r>
          </w:p>
          <w:p w:rsidR="007047EC" w:rsidRDefault="007047EC" w:rsidP="007047EC">
            <w:pPr>
              <w:jc w:val="center"/>
              <w:rPr>
                <w:rFonts w:ascii="Arial" w:hAnsi="Arial" w:cs="Arial"/>
                <w:sz w:val="22"/>
                <w:szCs w:val="22"/>
              </w:rPr>
            </w:pPr>
            <w:proofErr w:type="spellStart"/>
            <w:r w:rsidRPr="007047EC">
              <w:rPr>
                <w:rFonts w:ascii="Arial" w:hAnsi="Arial" w:cs="Arial"/>
                <w:i/>
                <w:sz w:val="18"/>
                <w:szCs w:val="18"/>
              </w:rPr>
              <w:t>Sources:The</w:t>
            </w:r>
            <w:proofErr w:type="spellEnd"/>
            <w:r w:rsidRPr="007047EC">
              <w:rPr>
                <w:rFonts w:ascii="Arial" w:hAnsi="Arial" w:cs="Arial"/>
                <w:i/>
                <w:sz w:val="18"/>
                <w:szCs w:val="18"/>
              </w:rPr>
              <w:t xml:space="preserve"> World Bank.  Targeting </w:t>
            </w:r>
            <w:proofErr w:type="spellStart"/>
            <w:r w:rsidRPr="007047EC">
              <w:rPr>
                <w:rFonts w:ascii="Arial" w:hAnsi="Arial" w:cs="Arial"/>
                <w:i/>
                <w:sz w:val="18"/>
                <w:szCs w:val="18"/>
              </w:rPr>
              <w:t>Assesment</w:t>
            </w:r>
            <w:proofErr w:type="spellEnd"/>
            <w:r w:rsidRPr="007047EC">
              <w:rPr>
                <w:rFonts w:ascii="Arial" w:hAnsi="Arial" w:cs="Arial"/>
                <w:i/>
                <w:sz w:val="18"/>
                <w:szCs w:val="18"/>
              </w:rPr>
              <w:t xml:space="preserve"> of the Cash Transfer Program in West Bank and Gaza.  June 25, 2012.</w:t>
            </w:r>
          </w:p>
        </w:tc>
      </w:tr>
    </w:tbl>
    <w:p w:rsidR="00792401" w:rsidRDefault="00792401" w:rsidP="007047EC">
      <w:pPr>
        <w:spacing w:before="0" w:after="0"/>
        <w:rPr>
          <w:rFonts w:ascii="Arial" w:hAnsi="Arial" w:cs="Arial"/>
          <w:sz w:val="22"/>
          <w:szCs w:val="22"/>
        </w:rPr>
      </w:pPr>
      <w:r w:rsidRPr="00205969">
        <w:rPr>
          <w:rFonts w:ascii="Arial" w:hAnsi="Arial" w:cs="Arial"/>
          <w:b/>
          <w:color w:val="1F497D" w:themeColor="text2"/>
          <w:sz w:val="22"/>
          <w:szCs w:val="22"/>
        </w:rPr>
        <w:t>Vulnerabilities and Social Protection</w:t>
      </w:r>
      <w:r w:rsidR="00205969">
        <w:rPr>
          <w:rFonts w:ascii="Arial" w:hAnsi="Arial" w:cs="Arial"/>
          <w:b/>
          <w:color w:val="4F81BD" w:themeColor="accent1"/>
          <w:sz w:val="22"/>
          <w:szCs w:val="22"/>
        </w:rPr>
        <w:t>.</w:t>
      </w:r>
      <w:r w:rsidR="00205969">
        <w:rPr>
          <w:rFonts w:ascii="Arial" w:hAnsi="Arial" w:cs="Arial"/>
          <w:sz w:val="22"/>
          <w:szCs w:val="22"/>
        </w:rPr>
        <w:t xml:space="preserve"> </w:t>
      </w:r>
      <w:r w:rsidRPr="008F559D">
        <w:rPr>
          <w:rFonts w:ascii="Arial" w:hAnsi="Arial" w:cs="Arial"/>
          <w:sz w:val="22"/>
          <w:szCs w:val="22"/>
        </w:rPr>
        <w:t>Following the election of a Hamas-led government in Gaza in 2006, the international community temporarily cut off aid to the PA, while Israel instituted a compl</w:t>
      </w:r>
      <w:r w:rsidR="00205969">
        <w:rPr>
          <w:rFonts w:ascii="Arial" w:hAnsi="Arial" w:cs="Arial"/>
          <w:sz w:val="22"/>
          <w:szCs w:val="22"/>
        </w:rPr>
        <w:t xml:space="preserve">ete embargo of the Gaza strip. </w:t>
      </w:r>
      <w:r w:rsidRPr="008F559D">
        <w:rPr>
          <w:rFonts w:ascii="Arial" w:hAnsi="Arial" w:cs="Arial"/>
          <w:sz w:val="22"/>
          <w:szCs w:val="22"/>
        </w:rPr>
        <w:t>Public sector employees went without salaries for mont</w:t>
      </w:r>
      <w:r w:rsidR="00205969">
        <w:rPr>
          <w:rFonts w:ascii="Arial" w:hAnsi="Arial" w:cs="Arial"/>
          <w:sz w:val="22"/>
          <w:szCs w:val="22"/>
        </w:rPr>
        <w:t xml:space="preserve">hs and many fell into poverty. </w:t>
      </w:r>
      <w:r w:rsidRPr="008F559D">
        <w:rPr>
          <w:rFonts w:ascii="Arial" w:hAnsi="Arial" w:cs="Arial"/>
          <w:sz w:val="22"/>
          <w:szCs w:val="22"/>
        </w:rPr>
        <w:t xml:space="preserve">When international assistance for budget support was reinstated, poverty among public sector employees also fell. With increased aid, came increased social assistance to the </w:t>
      </w:r>
      <w:r w:rsidRPr="007047EC">
        <w:rPr>
          <w:rFonts w:ascii="Arial" w:hAnsi="Arial" w:cs="Arial"/>
          <w:sz w:val="22"/>
          <w:szCs w:val="22"/>
        </w:rPr>
        <w:t xml:space="preserve">poor (see figure </w:t>
      </w:r>
      <w:r w:rsidR="007047EC" w:rsidRPr="007047EC">
        <w:rPr>
          <w:rFonts w:ascii="Arial" w:hAnsi="Arial" w:cs="Arial"/>
          <w:sz w:val="22"/>
          <w:szCs w:val="22"/>
        </w:rPr>
        <w:t>16</w:t>
      </w:r>
      <w:r w:rsidR="00205969" w:rsidRPr="007047EC">
        <w:rPr>
          <w:rFonts w:ascii="Arial" w:hAnsi="Arial" w:cs="Arial"/>
          <w:sz w:val="22"/>
          <w:szCs w:val="22"/>
        </w:rPr>
        <w:t xml:space="preserve">). </w:t>
      </w:r>
      <w:r w:rsidRPr="007047EC">
        <w:rPr>
          <w:rFonts w:ascii="Arial" w:hAnsi="Arial" w:cs="Arial"/>
          <w:sz w:val="22"/>
          <w:szCs w:val="22"/>
        </w:rPr>
        <w:t xml:space="preserve">By 2009, international assistance coverage had doubled, with a staggering 71% of all </w:t>
      </w:r>
      <w:proofErr w:type="spellStart"/>
      <w:r w:rsidRPr="007047EC">
        <w:rPr>
          <w:rFonts w:ascii="Arial" w:hAnsi="Arial" w:cs="Arial"/>
          <w:sz w:val="22"/>
          <w:szCs w:val="22"/>
        </w:rPr>
        <w:t>Gazans</w:t>
      </w:r>
      <w:proofErr w:type="spellEnd"/>
      <w:r w:rsidRPr="007047EC">
        <w:rPr>
          <w:rFonts w:ascii="Arial" w:hAnsi="Arial" w:cs="Arial"/>
          <w:sz w:val="22"/>
          <w:szCs w:val="22"/>
        </w:rPr>
        <w:t xml:space="preserve"> becoming</w:t>
      </w:r>
      <w:r w:rsidRPr="008F559D">
        <w:rPr>
          <w:rFonts w:ascii="Arial" w:hAnsi="Arial" w:cs="Arial"/>
          <w:sz w:val="22"/>
          <w:szCs w:val="22"/>
        </w:rPr>
        <w:t xml:space="preserve"> beneficiaries of at least one form of social assistance or another. </w:t>
      </w:r>
    </w:p>
    <w:p w:rsidR="00792401" w:rsidRPr="00CE086F" w:rsidRDefault="00792401" w:rsidP="007047EC">
      <w:pPr>
        <w:spacing w:before="0" w:after="0"/>
        <w:rPr>
          <w:rFonts w:ascii="Times New Roman" w:hAnsi="Times New Roman"/>
          <w:sz w:val="24"/>
          <w:szCs w:val="24"/>
        </w:rPr>
      </w:pPr>
    </w:p>
    <w:p w:rsidR="00792401" w:rsidRDefault="00792401" w:rsidP="007047EC">
      <w:pPr>
        <w:spacing w:before="0" w:after="0"/>
        <w:rPr>
          <w:rFonts w:ascii="Arial" w:hAnsi="Arial" w:cs="Arial"/>
          <w:sz w:val="22"/>
          <w:szCs w:val="22"/>
        </w:rPr>
      </w:pPr>
      <w:r w:rsidRPr="008F559D">
        <w:rPr>
          <w:rFonts w:ascii="Arial" w:hAnsi="Arial" w:cs="Arial"/>
          <w:sz w:val="22"/>
          <w:szCs w:val="22"/>
        </w:rPr>
        <w:t>EU support to the social assistance sector is considerable:  support to the budget of the PA through DFS, and capacity building to the Ministry of Social Affairs.  It is implemented through a number of programs including the cash transfer program, other support, food assistance and support through UNRWA.  Interestingly, while there are a multitude of social assistance programs run by the PA, international organizations, UNRWA and NGO’s, there are relatively low rates of overlaps where households receive assistance from multiple PA sources.  Generally, this assistance, in conjunction with the World Bank, has been extremely well targeted and implemented.   These are programs for which the EU should take considerable credit.</w:t>
      </w:r>
    </w:p>
    <w:p w:rsidR="007047EC" w:rsidRDefault="007047EC" w:rsidP="00792401">
      <w:pPr>
        <w:spacing w:after="0"/>
        <w:rPr>
          <w:rFonts w:ascii="Arial" w:hAnsi="Arial" w:cs="Arial"/>
          <w:sz w:val="22"/>
          <w:szCs w:val="22"/>
        </w:rPr>
      </w:pPr>
    </w:p>
    <w:p w:rsidR="007047EC" w:rsidRPr="008F559D" w:rsidRDefault="007047EC" w:rsidP="00792401">
      <w:pPr>
        <w:spacing w:after="0"/>
        <w:rPr>
          <w:rFonts w:ascii="Arial" w:hAnsi="Arial" w:cs="Arial"/>
          <w:sz w:val="22"/>
          <w:szCs w:val="22"/>
        </w:rPr>
      </w:pPr>
    </w:p>
    <w:tbl>
      <w:tblPr>
        <w:tblStyle w:val="Grigliatabella"/>
        <w:tblW w:w="0" w:type="auto"/>
        <w:tblBorders>
          <w:insideH w:val="none" w:sz="0" w:space="0" w:color="auto"/>
        </w:tblBorders>
        <w:tblLook w:val="04A0"/>
      </w:tblPr>
      <w:tblGrid>
        <w:gridCol w:w="9598"/>
      </w:tblGrid>
      <w:tr w:rsidR="007047EC" w:rsidTr="007047EC">
        <w:trPr>
          <w:trHeight w:val="4581"/>
        </w:trPr>
        <w:tc>
          <w:tcPr>
            <w:tcW w:w="9598" w:type="dxa"/>
          </w:tcPr>
          <w:bookmarkEnd w:id="51"/>
          <w:bookmarkEnd w:id="52"/>
          <w:p w:rsidR="007047EC" w:rsidRPr="007047EC" w:rsidRDefault="007047EC" w:rsidP="007047EC">
            <w:pPr>
              <w:spacing w:before="0" w:after="0"/>
              <w:jc w:val="center"/>
              <w:rPr>
                <w:rFonts w:ascii="Arial" w:hAnsi="Arial" w:cs="Arial"/>
                <w:b/>
                <w:color w:val="1F497D" w:themeColor="text2"/>
                <w:sz w:val="18"/>
                <w:szCs w:val="18"/>
              </w:rPr>
            </w:pPr>
            <w:r w:rsidRPr="007047EC">
              <w:rPr>
                <w:rFonts w:ascii="Arial" w:hAnsi="Arial" w:cs="Arial"/>
                <w:b/>
                <w:color w:val="1F497D" w:themeColor="text2"/>
                <w:sz w:val="18"/>
                <w:szCs w:val="18"/>
              </w:rPr>
              <w:lastRenderedPageBreak/>
              <w:t xml:space="preserve">Figure 17 Coverage by </w:t>
            </w:r>
            <w:proofErr w:type="spellStart"/>
            <w:r w:rsidRPr="007047EC">
              <w:rPr>
                <w:rFonts w:ascii="Arial" w:hAnsi="Arial" w:cs="Arial"/>
                <w:b/>
                <w:color w:val="1F497D" w:themeColor="text2"/>
                <w:sz w:val="18"/>
                <w:szCs w:val="18"/>
              </w:rPr>
              <w:t>Nonsubsidy</w:t>
            </w:r>
            <w:proofErr w:type="spellEnd"/>
            <w:r w:rsidRPr="007047EC">
              <w:rPr>
                <w:rFonts w:ascii="Arial" w:hAnsi="Arial" w:cs="Arial"/>
                <w:b/>
                <w:color w:val="1F497D" w:themeColor="text2"/>
                <w:sz w:val="18"/>
                <w:szCs w:val="18"/>
              </w:rPr>
              <w:t xml:space="preserve"> SSNs, Middle east and North Africa Relative to Other Regions</w:t>
            </w:r>
          </w:p>
          <w:p w:rsidR="007047EC" w:rsidRDefault="007047EC" w:rsidP="007047EC">
            <w:pPr>
              <w:spacing w:before="0" w:after="0"/>
              <w:jc w:val="center"/>
              <w:rPr>
                <w:rFonts w:ascii="Arial" w:hAnsi="Arial" w:cs="Arial"/>
              </w:rPr>
            </w:pPr>
            <w:r>
              <w:rPr>
                <w:rFonts w:ascii="Arial" w:hAnsi="Arial" w:cs="Arial"/>
                <w:noProof/>
                <w:lang w:val="it-IT" w:eastAsia="it-IT"/>
              </w:rPr>
              <w:drawing>
                <wp:inline distT="0" distB="0" distL="0" distR="0">
                  <wp:extent cx="4476750" cy="2580687"/>
                  <wp:effectExtent l="19050" t="0" r="0" b="0"/>
                  <wp:docPr id="400" name="Immagin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9" cstate="print"/>
                          <a:srcRect/>
                          <a:stretch>
                            <a:fillRect/>
                          </a:stretch>
                        </pic:blipFill>
                        <pic:spPr bwMode="auto">
                          <a:xfrm>
                            <a:off x="0" y="0"/>
                            <a:ext cx="4485347" cy="2585643"/>
                          </a:xfrm>
                          <a:prstGeom prst="rect">
                            <a:avLst/>
                          </a:prstGeom>
                          <a:noFill/>
                          <a:ln w="9525">
                            <a:noFill/>
                            <a:miter lim="800000"/>
                            <a:headEnd/>
                            <a:tailEnd/>
                          </a:ln>
                        </pic:spPr>
                      </pic:pic>
                    </a:graphicData>
                  </a:graphic>
                </wp:inline>
              </w:drawing>
            </w:r>
          </w:p>
          <w:p w:rsidR="007047EC" w:rsidRDefault="007047EC" w:rsidP="007047EC">
            <w:pPr>
              <w:spacing w:before="0" w:after="0"/>
              <w:jc w:val="center"/>
              <w:rPr>
                <w:rFonts w:ascii="Arial" w:hAnsi="Arial" w:cs="Arial"/>
                <w:sz w:val="22"/>
                <w:szCs w:val="22"/>
              </w:rPr>
            </w:pPr>
          </w:p>
        </w:tc>
      </w:tr>
      <w:tr w:rsidR="007047EC" w:rsidTr="007047EC">
        <w:trPr>
          <w:trHeight w:val="4762"/>
        </w:trPr>
        <w:tc>
          <w:tcPr>
            <w:tcW w:w="9598" w:type="dxa"/>
          </w:tcPr>
          <w:p w:rsidR="007047EC" w:rsidRPr="007047EC" w:rsidRDefault="007047EC" w:rsidP="007047EC">
            <w:pPr>
              <w:spacing w:before="0" w:after="0"/>
              <w:jc w:val="center"/>
              <w:rPr>
                <w:rFonts w:ascii="Arial" w:hAnsi="Arial" w:cs="Arial"/>
                <w:b/>
                <w:color w:val="1F497D" w:themeColor="text2"/>
                <w:sz w:val="18"/>
                <w:szCs w:val="18"/>
              </w:rPr>
            </w:pPr>
            <w:r>
              <w:rPr>
                <w:rFonts w:ascii="Arial" w:hAnsi="Arial" w:cs="Arial"/>
                <w:b/>
                <w:color w:val="1F497D" w:themeColor="text2"/>
                <w:sz w:val="18"/>
                <w:szCs w:val="18"/>
              </w:rPr>
              <w:t>Figure 18</w:t>
            </w:r>
            <w:r w:rsidRPr="007047EC">
              <w:rPr>
                <w:rFonts w:ascii="Arial" w:hAnsi="Arial" w:cs="Arial"/>
                <w:b/>
                <w:color w:val="1F497D" w:themeColor="text2"/>
                <w:sz w:val="18"/>
                <w:szCs w:val="18"/>
              </w:rPr>
              <w:t xml:space="preserve">: Benefit Generosity of </w:t>
            </w:r>
            <w:proofErr w:type="spellStart"/>
            <w:r w:rsidRPr="007047EC">
              <w:rPr>
                <w:rFonts w:ascii="Arial" w:hAnsi="Arial" w:cs="Arial"/>
                <w:b/>
                <w:color w:val="1F497D" w:themeColor="text2"/>
                <w:sz w:val="18"/>
                <w:szCs w:val="18"/>
              </w:rPr>
              <w:t>Nonsubsidy</w:t>
            </w:r>
            <w:proofErr w:type="spellEnd"/>
            <w:r w:rsidRPr="007047EC">
              <w:rPr>
                <w:rFonts w:ascii="Arial" w:hAnsi="Arial" w:cs="Arial"/>
                <w:b/>
                <w:color w:val="1F497D" w:themeColor="text2"/>
                <w:sz w:val="18"/>
                <w:szCs w:val="18"/>
              </w:rPr>
              <w:t xml:space="preserve"> SSNs, Middle East and North Africa Compared with Other Regions</w:t>
            </w:r>
          </w:p>
          <w:p w:rsidR="007047EC" w:rsidRPr="007047EC" w:rsidRDefault="007047EC" w:rsidP="007047EC">
            <w:pPr>
              <w:spacing w:before="0" w:after="0"/>
              <w:jc w:val="center"/>
              <w:rPr>
                <w:rFonts w:ascii="Arial" w:hAnsi="Arial" w:cs="Arial"/>
                <w:b/>
                <w:color w:val="1F497D" w:themeColor="text2"/>
                <w:sz w:val="18"/>
                <w:szCs w:val="18"/>
              </w:rPr>
            </w:pPr>
            <w:r w:rsidRPr="007047EC">
              <w:rPr>
                <w:rFonts w:ascii="Arial" w:hAnsi="Arial" w:cs="Arial"/>
                <w:b/>
                <w:noProof/>
                <w:color w:val="1F497D" w:themeColor="text2"/>
                <w:sz w:val="18"/>
                <w:szCs w:val="18"/>
                <w:lang w:val="it-IT" w:eastAsia="it-IT"/>
              </w:rPr>
              <w:drawing>
                <wp:inline distT="0" distB="0" distL="0" distR="0">
                  <wp:extent cx="4505325" cy="2589342"/>
                  <wp:effectExtent l="19050" t="0" r="0" b="0"/>
                  <wp:docPr id="401" name="Immagin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0" cstate="print"/>
                          <a:srcRect/>
                          <a:stretch>
                            <a:fillRect/>
                          </a:stretch>
                        </pic:blipFill>
                        <pic:spPr bwMode="auto">
                          <a:xfrm>
                            <a:off x="0" y="0"/>
                            <a:ext cx="4522450" cy="2599185"/>
                          </a:xfrm>
                          <a:prstGeom prst="rect">
                            <a:avLst/>
                          </a:prstGeom>
                          <a:noFill/>
                          <a:ln w="9525">
                            <a:noFill/>
                            <a:miter lim="800000"/>
                            <a:headEnd/>
                            <a:tailEnd/>
                          </a:ln>
                        </pic:spPr>
                      </pic:pic>
                    </a:graphicData>
                  </a:graphic>
                </wp:inline>
              </w:drawing>
            </w:r>
          </w:p>
          <w:p w:rsidR="007047EC" w:rsidRPr="007047EC" w:rsidRDefault="007047EC" w:rsidP="007047EC">
            <w:pPr>
              <w:spacing w:before="0" w:after="0"/>
              <w:jc w:val="center"/>
              <w:rPr>
                <w:rFonts w:ascii="Arial" w:hAnsi="Arial" w:cs="Arial"/>
                <w:i/>
                <w:sz w:val="18"/>
                <w:szCs w:val="18"/>
              </w:rPr>
            </w:pPr>
            <w:r w:rsidRPr="007047EC">
              <w:rPr>
                <w:rFonts w:ascii="Arial" w:hAnsi="Arial" w:cs="Arial"/>
                <w:i/>
                <w:sz w:val="18"/>
                <w:szCs w:val="18"/>
              </w:rPr>
              <w:t>Source: Middle East and North Africa Author’s calculations based on national household surveys. Other regions World Bank 2012</w:t>
            </w:r>
          </w:p>
        </w:tc>
      </w:tr>
    </w:tbl>
    <w:p w:rsidR="00792401" w:rsidRPr="008F559D" w:rsidRDefault="00792401" w:rsidP="00792401">
      <w:pPr>
        <w:spacing w:after="0"/>
        <w:rPr>
          <w:rFonts w:ascii="Arial" w:hAnsi="Arial" w:cs="Arial"/>
          <w:sz w:val="22"/>
          <w:szCs w:val="22"/>
        </w:rPr>
      </w:pPr>
      <w:r w:rsidRPr="008F559D">
        <w:rPr>
          <w:rFonts w:ascii="Arial" w:hAnsi="Arial" w:cs="Arial"/>
          <w:sz w:val="22"/>
          <w:szCs w:val="22"/>
        </w:rPr>
        <w:t>Social assistance played a significant role as a safety net during the sharp downtur</w:t>
      </w:r>
      <w:r w:rsidR="007047EC">
        <w:rPr>
          <w:rFonts w:ascii="Arial" w:hAnsi="Arial" w:cs="Arial"/>
          <w:sz w:val="22"/>
          <w:szCs w:val="22"/>
        </w:rPr>
        <w:t xml:space="preserve">n experienced in Gaza in 2007. </w:t>
      </w:r>
      <w:r w:rsidRPr="008F559D">
        <w:rPr>
          <w:rFonts w:ascii="Arial" w:hAnsi="Arial" w:cs="Arial"/>
          <w:sz w:val="22"/>
          <w:szCs w:val="22"/>
        </w:rPr>
        <w:t>At 6% of GDP, social assistance spending in Palestine is high by international standards. The current social assistance program is the result of the 2009/10 merger of two pre</w:t>
      </w:r>
      <w:r w:rsidR="007047EC">
        <w:rPr>
          <w:rFonts w:ascii="Arial" w:hAnsi="Arial" w:cs="Arial"/>
          <w:sz w:val="22"/>
          <w:szCs w:val="22"/>
        </w:rPr>
        <w:t xml:space="preserve">-existing programs: </w:t>
      </w:r>
      <w:r w:rsidRPr="008F559D">
        <w:rPr>
          <w:rFonts w:ascii="Arial" w:hAnsi="Arial" w:cs="Arial"/>
          <w:sz w:val="22"/>
          <w:szCs w:val="22"/>
        </w:rPr>
        <w:t>the Social Safety Net Reform Program (funded by the World Bank) and the Relief and Social Services Safety Net (funded by the</w:t>
      </w:r>
      <w:r w:rsidR="007047EC">
        <w:rPr>
          <w:rFonts w:ascii="Arial" w:hAnsi="Arial" w:cs="Arial"/>
          <w:sz w:val="22"/>
          <w:szCs w:val="22"/>
        </w:rPr>
        <w:t xml:space="preserve"> EU’s TIM/PAGASE mechanism). </w:t>
      </w:r>
      <w:r w:rsidRPr="008F559D">
        <w:rPr>
          <w:rFonts w:ascii="Arial" w:hAnsi="Arial" w:cs="Arial"/>
          <w:sz w:val="22"/>
          <w:szCs w:val="22"/>
        </w:rPr>
        <w:t>As noted, it performs exceptionally well compared to other countries in the region</w:t>
      </w:r>
      <w:r w:rsidRPr="008F559D">
        <w:rPr>
          <w:rStyle w:val="Rimandonotaapidipagina"/>
          <w:rFonts w:ascii="Arial" w:hAnsi="Arial" w:cs="Arial"/>
          <w:sz w:val="22"/>
          <w:szCs w:val="22"/>
        </w:rPr>
        <w:footnoteReference w:id="22"/>
      </w:r>
      <w:r w:rsidRPr="008F559D">
        <w:rPr>
          <w:rFonts w:ascii="Arial" w:hAnsi="Arial" w:cs="Arial"/>
          <w:sz w:val="22"/>
          <w:szCs w:val="22"/>
        </w:rPr>
        <w:t>.</w:t>
      </w:r>
    </w:p>
    <w:p w:rsidR="00792401" w:rsidRPr="008F559D" w:rsidRDefault="00792401" w:rsidP="00792401">
      <w:pPr>
        <w:spacing w:after="0"/>
        <w:rPr>
          <w:rFonts w:ascii="Arial" w:hAnsi="Arial" w:cs="Arial"/>
          <w:noProof/>
          <w:sz w:val="22"/>
          <w:szCs w:val="22"/>
        </w:rPr>
      </w:pPr>
      <w:r w:rsidRPr="008F559D">
        <w:rPr>
          <w:rFonts w:ascii="Arial" w:hAnsi="Arial" w:cs="Arial"/>
          <w:noProof/>
          <w:sz w:val="22"/>
          <w:szCs w:val="22"/>
        </w:rPr>
        <w:t>The most important inidicator of socal safety net (SSN) effectiveness is the impact on povery and inequality.  As the Bank notes in its report, this indicator combines the separate forces of coverage, targeting, and generosity of the SSN programs to assess the overall effect of the presence of SSNs on the welfa</w:t>
      </w:r>
      <w:r w:rsidR="007047EC">
        <w:rPr>
          <w:rFonts w:ascii="Arial" w:hAnsi="Arial" w:cs="Arial"/>
          <w:noProof/>
          <w:sz w:val="22"/>
          <w:szCs w:val="22"/>
        </w:rPr>
        <w:t>re distribution of the econony.</w:t>
      </w:r>
      <w:r w:rsidRPr="008F559D">
        <w:rPr>
          <w:rFonts w:ascii="Arial" w:hAnsi="Arial" w:cs="Arial"/>
          <w:noProof/>
          <w:sz w:val="22"/>
          <w:szCs w:val="22"/>
        </w:rPr>
        <w:t xml:space="preserve"> With the exxception of Palestine and Jordan, the report found that the region’s SSNs have little effect on povery rates, as estimaed through a simulation of po</w:t>
      </w:r>
      <w:r w:rsidR="007047EC">
        <w:rPr>
          <w:rFonts w:ascii="Arial" w:hAnsi="Arial" w:cs="Arial"/>
          <w:noProof/>
          <w:sz w:val="22"/>
          <w:szCs w:val="22"/>
        </w:rPr>
        <w:t xml:space="preserve">verty in the absence of SSN’s. </w:t>
      </w:r>
      <w:r w:rsidRPr="008F559D">
        <w:rPr>
          <w:rFonts w:ascii="Arial" w:hAnsi="Arial" w:cs="Arial"/>
          <w:noProof/>
          <w:sz w:val="22"/>
          <w:szCs w:val="22"/>
        </w:rPr>
        <w:t>It also found that in Palestine, the SSN program impacts well the most poor in society (which is precisely what it is meant to do with good targeting – and little leakage).</w:t>
      </w:r>
    </w:p>
    <w:p w:rsidR="00792401" w:rsidRDefault="00792401" w:rsidP="00792401">
      <w:pPr>
        <w:spacing w:after="0"/>
        <w:rPr>
          <w:rFonts w:ascii="Times New Roman" w:hAnsi="Times New Roman"/>
          <w:sz w:val="24"/>
          <w:szCs w:val="24"/>
        </w:rPr>
      </w:pPr>
    </w:p>
    <w:tbl>
      <w:tblPr>
        <w:tblStyle w:val="Grigliatabella"/>
        <w:tblW w:w="0" w:type="auto"/>
        <w:jc w:val="center"/>
        <w:tblLook w:val="04A0"/>
      </w:tblPr>
      <w:tblGrid>
        <w:gridCol w:w="8605"/>
      </w:tblGrid>
      <w:tr w:rsidR="007047EC" w:rsidTr="007047EC">
        <w:trPr>
          <w:trHeight w:val="8865"/>
          <w:jc w:val="center"/>
        </w:trPr>
        <w:tc>
          <w:tcPr>
            <w:tcW w:w="8605" w:type="dxa"/>
          </w:tcPr>
          <w:p w:rsidR="007047EC" w:rsidRPr="007047EC" w:rsidRDefault="007047EC" w:rsidP="007047EC">
            <w:pPr>
              <w:spacing w:after="0"/>
              <w:jc w:val="center"/>
              <w:rPr>
                <w:rFonts w:ascii="Arial" w:hAnsi="Arial" w:cs="Arial"/>
                <w:b/>
                <w:color w:val="1F497D" w:themeColor="text2"/>
                <w:sz w:val="18"/>
                <w:szCs w:val="18"/>
              </w:rPr>
            </w:pPr>
            <w:r w:rsidRPr="007047EC">
              <w:rPr>
                <w:rFonts w:ascii="Arial" w:hAnsi="Arial" w:cs="Arial"/>
                <w:b/>
                <w:color w:val="1F497D" w:themeColor="text2"/>
                <w:sz w:val="18"/>
                <w:szCs w:val="18"/>
              </w:rPr>
              <w:lastRenderedPageBreak/>
              <w:t xml:space="preserve">Figure 19: Poverty and Inequality Impact of </w:t>
            </w:r>
            <w:proofErr w:type="spellStart"/>
            <w:r w:rsidRPr="007047EC">
              <w:rPr>
                <w:rFonts w:ascii="Arial" w:hAnsi="Arial" w:cs="Arial"/>
                <w:b/>
                <w:color w:val="1F497D" w:themeColor="text2"/>
                <w:sz w:val="18"/>
                <w:szCs w:val="18"/>
              </w:rPr>
              <w:t>Nonsubsidy</w:t>
            </w:r>
            <w:proofErr w:type="spellEnd"/>
            <w:r w:rsidRPr="007047EC">
              <w:rPr>
                <w:rFonts w:ascii="Arial" w:hAnsi="Arial" w:cs="Arial"/>
                <w:b/>
                <w:color w:val="1F497D" w:themeColor="text2"/>
                <w:sz w:val="18"/>
                <w:szCs w:val="18"/>
              </w:rPr>
              <w:t xml:space="preserve"> SSNs in the Middle East and North Africa, Selected Economies, c. 2005-10.</w:t>
            </w:r>
          </w:p>
          <w:p w:rsidR="007047EC" w:rsidRDefault="007047EC" w:rsidP="007047EC">
            <w:pPr>
              <w:spacing w:before="0" w:after="0"/>
              <w:jc w:val="center"/>
              <w:rPr>
                <w:rFonts w:ascii="Arial" w:hAnsi="Arial" w:cs="Arial"/>
              </w:rPr>
            </w:pPr>
            <w:r>
              <w:rPr>
                <w:rFonts w:ascii="Arial" w:hAnsi="Arial" w:cs="Arial"/>
                <w:noProof/>
                <w:lang w:val="it-IT" w:eastAsia="it-IT"/>
              </w:rPr>
              <w:drawing>
                <wp:inline distT="0" distB="0" distL="0" distR="0">
                  <wp:extent cx="4267200" cy="5118841"/>
                  <wp:effectExtent l="19050" t="0" r="0" b="0"/>
                  <wp:docPr id="424" name="Immagin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31" cstate="print"/>
                          <a:srcRect/>
                          <a:stretch>
                            <a:fillRect/>
                          </a:stretch>
                        </pic:blipFill>
                        <pic:spPr bwMode="auto">
                          <a:xfrm>
                            <a:off x="0" y="0"/>
                            <a:ext cx="4270563" cy="5122875"/>
                          </a:xfrm>
                          <a:prstGeom prst="rect">
                            <a:avLst/>
                          </a:prstGeom>
                          <a:noFill/>
                          <a:ln w="9525">
                            <a:noFill/>
                            <a:miter lim="800000"/>
                            <a:headEnd/>
                            <a:tailEnd/>
                          </a:ln>
                        </pic:spPr>
                      </pic:pic>
                    </a:graphicData>
                  </a:graphic>
                </wp:inline>
              </w:drawing>
            </w:r>
          </w:p>
          <w:p w:rsidR="007047EC" w:rsidRDefault="007047EC" w:rsidP="007047EC">
            <w:pPr>
              <w:spacing w:before="0" w:after="0"/>
              <w:jc w:val="center"/>
              <w:rPr>
                <w:rFonts w:ascii="Times New Roman" w:hAnsi="Times New Roman"/>
                <w:sz w:val="24"/>
                <w:szCs w:val="24"/>
              </w:rPr>
            </w:pPr>
            <w:r w:rsidRPr="007047EC">
              <w:rPr>
                <w:rFonts w:ascii="Arial" w:hAnsi="Arial" w:cs="Arial"/>
                <w:i/>
                <w:sz w:val="18"/>
                <w:szCs w:val="18"/>
              </w:rPr>
              <w:t>Source: Authors’ calculations based on national household surveys. Note SSN=social safety net</w:t>
            </w:r>
          </w:p>
        </w:tc>
      </w:tr>
    </w:tbl>
    <w:p w:rsidR="00792401" w:rsidRDefault="00792401" w:rsidP="007047EC">
      <w:pPr>
        <w:spacing w:before="0" w:after="0"/>
        <w:rPr>
          <w:rFonts w:ascii="Times New Roman" w:hAnsi="Times New Roman"/>
          <w:sz w:val="24"/>
          <w:szCs w:val="24"/>
        </w:rPr>
      </w:pPr>
      <w:r w:rsidRPr="008F559D">
        <w:rPr>
          <w:rFonts w:ascii="Arial" w:hAnsi="Arial" w:cs="Arial"/>
          <w:sz w:val="22"/>
          <w:szCs w:val="22"/>
        </w:rPr>
        <w:t xml:space="preserve">The report notes considerably less leakage than in other countries of the region where a significant share </w:t>
      </w:r>
      <w:r w:rsidRPr="007047EC">
        <w:rPr>
          <w:rFonts w:ascii="Arial" w:hAnsi="Arial" w:cs="Arial"/>
          <w:sz w:val="22"/>
          <w:szCs w:val="22"/>
        </w:rPr>
        <w:t>of benefits go to the richest quintile. In Palestine</w:t>
      </w:r>
      <w:r w:rsidRPr="008F559D">
        <w:rPr>
          <w:rFonts w:ascii="Arial" w:hAnsi="Arial" w:cs="Arial"/>
          <w:sz w:val="22"/>
          <w:szCs w:val="22"/>
        </w:rPr>
        <w:t xml:space="preserve"> (and Egypt and Jordan), only 1 in 10 SSN beneficiaries come from the top quintile showing a greater degree of targeting accuracy. Since 2009 with the creation of the unified CTP which uses a proxy means test targeting mechanism and a unified payment mechanism, targeting perf</w:t>
      </w:r>
      <w:r w:rsidR="007047EC">
        <w:rPr>
          <w:rFonts w:ascii="Arial" w:hAnsi="Arial" w:cs="Arial"/>
          <w:sz w:val="22"/>
          <w:szCs w:val="22"/>
        </w:rPr>
        <w:t xml:space="preserve">ormance has improved further. </w:t>
      </w:r>
      <w:r w:rsidRPr="008F559D">
        <w:rPr>
          <w:rFonts w:ascii="Arial" w:hAnsi="Arial" w:cs="Arial"/>
          <w:sz w:val="22"/>
          <w:szCs w:val="22"/>
        </w:rPr>
        <w:t>The Bank report notes that the CTP is poised to become one of the most advanced cash assi</w:t>
      </w:r>
      <w:r w:rsidR="007047EC">
        <w:rPr>
          <w:rFonts w:ascii="Arial" w:hAnsi="Arial" w:cs="Arial"/>
          <w:sz w:val="22"/>
          <w:szCs w:val="22"/>
        </w:rPr>
        <w:t xml:space="preserve">stance programs in the Region. </w:t>
      </w:r>
    </w:p>
    <w:p w:rsidR="00792401" w:rsidRDefault="00792401" w:rsidP="007047EC">
      <w:pPr>
        <w:spacing w:before="0" w:after="0"/>
        <w:rPr>
          <w:rFonts w:ascii="Arial" w:hAnsi="Arial" w:cs="Arial"/>
          <w:sz w:val="22"/>
          <w:szCs w:val="22"/>
        </w:rPr>
      </w:pPr>
      <w:r w:rsidRPr="008F559D">
        <w:rPr>
          <w:rFonts w:ascii="Arial" w:hAnsi="Arial" w:cs="Arial"/>
          <w:sz w:val="22"/>
          <w:szCs w:val="22"/>
        </w:rPr>
        <w:t>While there is no doubt that the CTP is well targeted and generally well run, the actual impact of the program at the individual level is somewhat open to question.  The AETS Consortium report “Impact Evaluation of the EU Contribution to the Palestinian Cash Transfer Program in the Framework of the PEGASAE Program to Support Vulnerable Palestinian Families”, July 2013, findings note that:</w:t>
      </w:r>
      <w:r w:rsidR="007047EC">
        <w:rPr>
          <w:rFonts w:ascii="Arial" w:hAnsi="Arial" w:cs="Arial"/>
          <w:sz w:val="22"/>
          <w:szCs w:val="22"/>
        </w:rPr>
        <w:t xml:space="preserve"> </w:t>
      </w:r>
    </w:p>
    <w:p w:rsidR="007047EC" w:rsidRPr="008F559D" w:rsidRDefault="007047EC" w:rsidP="007047EC">
      <w:pPr>
        <w:spacing w:before="0" w:after="0"/>
        <w:rPr>
          <w:rFonts w:ascii="Arial" w:hAnsi="Arial" w:cs="Arial"/>
          <w:sz w:val="22"/>
          <w:szCs w:val="22"/>
        </w:rPr>
      </w:pPr>
    </w:p>
    <w:p w:rsidR="00792401" w:rsidRPr="008F559D" w:rsidRDefault="00792401" w:rsidP="007047EC">
      <w:pPr>
        <w:spacing w:before="0" w:after="0"/>
        <w:rPr>
          <w:rFonts w:ascii="Arial" w:hAnsi="Arial" w:cs="Arial"/>
          <w:sz w:val="22"/>
          <w:szCs w:val="22"/>
        </w:rPr>
      </w:pPr>
      <w:r w:rsidRPr="008F559D">
        <w:rPr>
          <w:rFonts w:ascii="Arial" w:hAnsi="Arial" w:cs="Arial"/>
          <w:sz w:val="22"/>
          <w:szCs w:val="22"/>
        </w:rPr>
        <w:t xml:space="preserve">“…., </w:t>
      </w:r>
      <w:r w:rsidRPr="007047EC">
        <w:rPr>
          <w:rFonts w:ascii="Arial" w:hAnsi="Arial" w:cs="Arial"/>
          <w:i/>
          <w:sz w:val="22"/>
          <w:szCs w:val="22"/>
        </w:rPr>
        <w:t xml:space="preserve">in the West Bank, we observed that for key measures from MOSA’s </w:t>
      </w:r>
      <w:proofErr w:type="spellStart"/>
      <w:r w:rsidRPr="007047EC">
        <w:rPr>
          <w:rFonts w:ascii="Arial" w:hAnsi="Arial" w:cs="Arial"/>
          <w:i/>
          <w:sz w:val="22"/>
          <w:szCs w:val="22"/>
        </w:rPr>
        <w:t>logframe</w:t>
      </w:r>
      <w:proofErr w:type="spellEnd"/>
      <w:r w:rsidRPr="007047EC">
        <w:rPr>
          <w:rFonts w:ascii="Arial" w:hAnsi="Arial" w:cs="Arial"/>
          <w:i/>
          <w:sz w:val="22"/>
          <w:szCs w:val="22"/>
        </w:rPr>
        <w:t>, including child health, major depression amongst adults, electricity cuts, and total per capita expenditures, intervention and comparison households are not statistically different.  This suggests that either the assistance received in the framework of the CTP has positively impacted the intervention group or that there are no between-group differences at baseline.  In Gaza, we found statistically significant differences favoring the intervention group for income and total per capita expenditures, but not for other measures.  This suggests that while households had cash transfer income, they may still have lacked the resources need to yield positive impacts”.</w:t>
      </w:r>
    </w:p>
    <w:p w:rsidR="00792401" w:rsidRPr="008F559D" w:rsidRDefault="00792401" w:rsidP="00792401">
      <w:pPr>
        <w:rPr>
          <w:rFonts w:ascii="Arial" w:hAnsi="Arial" w:cs="Arial"/>
          <w:sz w:val="22"/>
          <w:szCs w:val="22"/>
        </w:rPr>
      </w:pPr>
      <w:r w:rsidRPr="008F559D">
        <w:rPr>
          <w:rFonts w:ascii="Arial" w:hAnsi="Arial" w:cs="Arial"/>
          <w:sz w:val="22"/>
          <w:szCs w:val="22"/>
        </w:rPr>
        <w:lastRenderedPageBreak/>
        <w:t xml:space="preserve">One part of the Palestinian social security system that has not received adequate attention is the </w:t>
      </w:r>
      <w:r w:rsidRPr="007047EC">
        <w:rPr>
          <w:rFonts w:ascii="Arial" w:hAnsi="Arial" w:cs="Arial"/>
          <w:sz w:val="22"/>
          <w:szCs w:val="22"/>
        </w:rPr>
        <w:t>pension system.</w:t>
      </w:r>
      <w:r w:rsidRPr="008F559D">
        <w:rPr>
          <w:rFonts w:ascii="Arial" w:hAnsi="Arial" w:cs="Arial"/>
          <w:b/>
          <w:sz w:val="22"/>
          <w:szCs w:val="22"/>
        </w:rPr>
        <w:t xml:space="preserve"> </w:t>
      </w:r>
      <w:r w:rsidRPr="008F559D">
        <w:rPr>
          <w:rFonts w:ascii="Arial" w:hAnsi="Arial" w:cs="Arial"/>
          <w:sz w:val="22"/>
          <w:szCs w:val="22"/>
        </w:rPr>
        <w:t>This system is among the most generous in world for a society with Palestine’s level of income and it is insolvent. It is effectively being operated as a “pay as you go” system, where current contributions fund the cost of retirees instead of being built up to support future retirees. Due to its unique history, there are four different pension schemes operating in WB&amp;G, including those inherited from Jordan and Egypt. However, the older three are being phased out and all new employees in both the West Bank and Gaza fall under the same scheme. But even this scheme is not properly funded and is in arrears.</w:t>
      </w:r>
    </w:p>
    <w:p w:rsidR="00792401" w:rsidRPr="007047EC" w:rsidRDefault="00792401" w:rsidP="00792401">
      <w:pPr>
        <w:rPr>
          <w:rFonts w:ascii="Arial" w:hAnsi="Arial" w:cs="Arial"/>
          <w:b/>
          <w:sz w:val="22"/>
          <w:szCs w:val="22"/>
        </w:rPr>
      </w:pPr>
      <w:r w:rsidRPr="008F559D">
        <w:rPr>
          <w:rFonts w:ascii="Arial" w:hAnsi="Arial" w:cs="Arial"/>
          <w:sz w:val="22"/>
          <w:szCs w:val="22"/>
        </w:rPr>
        <w:t xml:space="preserve">The pension system remains unsustainable with projected revenues insufficient to meet obligations.  As noted in the May 2010 Progress Report there has been no progress in the adoption of an action plan for reform of the pension system. The PA maintained that it was working on a pension reform action plan but little or no progress has been noted.  This has real potential to </w:t>
      </w:r>
      <w:r w:rsidRPr="007047EC">
        <w:rPr>
          <w:rFonts w:ascii="Arial" w:hAnsi="Arial" w:cs="Arial"/>
          <w:sz w:val="22"/>
          <w:szCs w:val="22"/>
        </w:rPr>
        <w:t xml:space="preserve">undermine the long-term sustainability of the PA.  </w:t>
      </w:r>
    </w:p>
    <w:tbl>
      <w:tblPr>
        <w:tblStyle w:val="Grigliatabella"/>
        <w:tblpPr w:leftFromText="141" w:rightFromText="141" w:vertAnchor="text" w:horzAnchor="margin" w:tblpXSpec="right" w:tblpY="96"/>
        <w:tblOverlap w:val="never"/>
        <w:tblW w:w="0" w:type="auto"/>
        <w:tblLook w:val="04A0"/>
      </w:tblPr>
      <w:tblGrid>
        <w:gridCol w:w="6819"/>
      </w:tblGrid>
      <w:tr w:rsidR="00E05B2B" w:rsidTr="00E05B2B">
        <w:trPr>
          <w:trHeight w:val="4395"/>
        </w:trPr>
        <w:tc>
          <w:tcPr>
            <w:tcW w:w="6819" w:type="dxa"/>
          </w:tcPr>
          <w:p w:rsidR="00E05B2B" w:rsidRPr="00C40FD3" w:rsidRDefault="00E05B2B" w:rsidP="00E05B2B">
            <w:pPr>
              <w:spacing w:after="0"/>
              <w:jc w:val="center"/>
              <w:rPr>
                <w:rFonts w:ascii="Arial" w:hAnsi="Arial" w:cs="Arial"/>
              </w:rPr>
            </w:pPr>
            <w:r w:rsidRPr="007047EC">
              <w:rPr>
                <w:rFonts w:ascii="Arial" w:hAnsi="Arial" w:cs="Arial"/>
                <w:b/>
                <w:color w:val="1F497D" w:themeColor="text2"/>
                <w:sz w:val="18"/>
                <w:szCs w:val="18"/>
              </w:rPr>
              <w:t>Figure 20: Household Food Insecurity and food Security Levels by Refugee and Non Refugee West</w:t>
            </w:r>
            <w:r w:rsidRPr="007047EC">
              <w:rPr>
                <w:rFonts w:ascii="Arial" w:hAnsi="Arial" w:cs="Arial"/>
                <w:b/>
                <w:color w:val="1F497D" w:themeColor="text2"/>
              </w:rPr>
              <w:t xml:space="preserve"> </w:t>
            </w:r>
            <w:r w:rsidRPr="007047EC">
              <w:rPr>
                <w:rFonts w:ascii="Arial" w:hAnsi="Arial" w:cs="Arial"/>
                <w:b/>
                <w:color w:val="1F497D" w:themeColor="text2"/>
                <w:sz w:val="18"/>
                <w:szCs w:val="18"/>
              </w:rPr>
              <w:t>Bank and</w:t>
            </w:r>
            <w:r w:rsidRPr="007047EC">
              <w:rPr>
                <w:rFonts w:ascii="Arial" w:hAnsi="Arial" w:cs="Arial"/>
                <w:b/>
                <w:color w:val="4F81BD" w:themeColor="accent1"/>
                <w:sz w:val="18"/>
                <w:szCs w:val="18"/>
              </w:rPr>
              <w:t xml:space="preserve"> </w:t>
            </w:r>
            <w:r w:rsidRPr="007047EC">
              <w:rPr>
                <w:rFonts w:ascii="Arial" w:hAnsi="Arial" w:cs="Arial"/>
                <w:b/>
                <w:color w:val="1F497D" w:themeColor="text2"/>
                <w:sz w:val="18"/>
                <w:szCs w:val="18"/>
              </w:rPr>
              <w:t>Gaza strip, 2009-2012</w:t>
            </w:r>
          </w:p>
          <w:p w:rsidR="00E05B2B" w:rsidRDefault="00E05B2B" w:rsidP="00E05B2B">
            <w:pPr>
              <w:spacing w:after="0"/>
              <w:jc w:val="center"/>
              <w:rPr>
                <w:rFonts w:ascii="Arial" w:hAnsi="Arial" w:cs="Arial"/>
                <w:b/>
                <w:color w:val="4F81BD" w:themeColor="accent1"/>
                <w:sz w:val="18"/>
                <w:szCs w:val="18"/>
              </w:rPr>
            </w:pPr>
            <w:r w:rsidRPr="00C40FD3">
              <w:rPr>
                <w:rFonts w:ascii="Arial" w:hAnsi="Arial" w:cs="Arial"/>
                <w:noProof/>
                <w:lang w:val="it-IT" w:eastAsia="it-IT"/>
              </w:rPr>
              <w:drawing>
                <wp:inline distT="0" distB="0" distL="0" distR="0">
                  <wp:extent cx="3990975" cy="2133600"/>
                  <wp:effectExtent l="0" t="0" r="0" b="0"/>
                  <wp:docPr id="446" name="Grafico 68"/>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p>
          <w:p w:rsidR="00E05B2B" w:rsidRDefault="00E05B2B" w:rsidP="00E05B2B">
            <w:pPr>
              <w:jc w:val="center"/>
              <w:rPr>
                <w:rFonts w:ascii="Times New Roman" w:hAnsi="Times New Roman"/>
                <w:sz w:val="24"/>
                <w:szCs w:val="24"/>
              </w:rPr>
            </w:pPr>
            <w:proofErr w:type="spellStart"/>
            <w:r w:rsidRPr="007047EC">
              <w:rPr>
                <w:rFonts w:ascii="Arial" w:hAnsi="Arial" w:cs="Arial"/>
                <w:i/>
                <w:sz w:val="18"/>
                <w:szCs w:val="18"/>
              </w:rPr>
              <w:t>Source:Socio</w:t>
            </w:r>
            <w:proofErr w:type="spellEnd"/>
            <w:r w:rsidRPr="007047EC">
              <w:rPr>
                <w:rFonts w:ascii="Arial" w:hAnsi="Arial" w:cs="Arial"/>
                <w:i/>
                <w:sz w:val="18"/>
                <w:szCs w:val="18"/>
              </w:rPr>
              <w:t>-Economic and Food Security Survey, West Bank and Gaza, 2012</w:t>
            </w:r>
          </w:p>
        </w:tc>
      </w:tr>
    </w:tbl>
    <w:p w:rsidR="00792401" w:rsidRDefault="00792401" w:rsidP="00E05B2B">
      <w:pPr>
        <w:spacing w:before="0" w:after="0"/>
        <w:rPr>
          <w:rFonts w:ascii="Arial" w:hAnsi="Arial" w:cs="Arial"/>
          <w:sz w:val="22"/>
          <w:szCs w:val="22"/>
        </w:rPr>
      </w:pPr>
      <w:r w:rsidRPr="007047EC">
        <w:rPr>
          <w:rFonts w:ascii="Arial" w:hAnsi="Arial" w:cs="Arial"/>
          <w:b/>
          <w:color w:val="1F497D" w:themeColor="text2"/>
          <w:sz w:val="22"/>
          <w:szCs w:val="22"/>
        </w:rPr>
        <w:t>Food Security</w:t>
      </w:r>
      <w:r w:rsidR="007047EC">
        <w:rPr>
          <w:rFonts w:ascii="Arial" w:hAnsi="Arial" w:cs="Arial"/>
          <w:b/>
          <w:i/>
          <w:color w:val="4F81BD" w:themeColor="accent1"/>
          <w:sz w:val="22"/>
          <w:szCs w:val="22"/>
        </w:rPr>
        <w:t>.</w:t>
      </w:r>
      <w:r w:rsidRPr="008F559D">
        <w:rPr>
          <w:rFonts w:ascii="Arial" w:hAnsi="Arial" w:cs="Arial"/>
          <w:b/>
          <w:sz w:val="22"/>
          <w:szCs w:val="22"/>
        </w:rPr>
        <w:t xml:space="preserve"> </w:t>
      </w:r>
      <w:r w:rsidRPr="008F559D">
        <w:rPr>
          <w:rFonts w:ascii="Arial" w:hAnsi="Arial" w:cs="Arial"/>
          <w:sz w:val="22"/>
          <w:szCs w:val="22"/>
        </w:rPr>
        <w:t>The results of a 2012 survey on food insecurity</w:t>
      </w:r>
      <w:r w:rsidRPr="008F559D">
        <w:rPr>
          <w:rStyle w:val="Rimandonotaapidipagina"/>
          <w:rFonts w:ascii="Arial" w:hAnsi="Arial" w:cs="Arial"/>
          <w:sz w:val="22"/>
          <w:szCs w:val="22"/>
        </w:rPr>
        <w:footnoteReference w:id="23"/>
      </w:r>
      <w:r w:rsidRPr="008F559D">
        <w:rPr>
          <w:rFonts w:ascii="Arial" w:hAnsi="Arial" w:cs="Arial"/>
          <w:sz w:val="22"/>
          <w:szCs w:val="22"/>
        </w:rPr>
        <w:t xml:space="preserve"> depict a harsh situation.  Over 34% of Palestinian households – approximately 1.7 million individuals – w</w:t>
      </w:r>
      <w:r w:rsidR="007047EC">
        <w:rPr>
          <w:rFonts w:ascii="Arial" w:hAnsi="Arial" w:cs="Arial"/>
          <w:sz w:val="22"/>
          <w:szCs w:val="22"/>
        </w:rPr>
        <w:t xml:space="preserve">ere found to be food insecure. </w:t>
      </w:r>
      <w:r w:rsidRPr="008F559D">
        <w:rPr>
          <w:rFonts w:ascii="Arial" w:hAnsi="Arial" w:cs="Arial"/>
          <w:sz w:val="22"/>
          <w:szCs w:val="22"/>
        </w:rPr>
        <w:t xml:space="preserve">This figure is seven percentage points higher than the 2011 figures, which represents a complete reversal of the progressive improvements in food insecurity reported since 2009.  </w:t>
      </w:r>
    </w:p>
    <w:p w:rsidR="00E05B2B" w:rsidRPr="008F559D" w:rsidRDefault="00E05B2B" w:rsidP="00E05B2B">
      <w:pPr>
        <w:spacing w:before="0" w:after="0"/>
        <w:rPr>
          <w:rFonts w:ascii="Arial" w:hAnsi="Arial" w:cs="Arial"/>
          <w:sz w:val="22"/>
          <w:szCs w:val="22"/>
        </w:rPr>
      </w:pPr>
    </w:p>
    <w:p w:rsidR="00792401" w:rsidRDefault="00792401" w:rsidP="00E05B2B">
      <w:pPr>
        <w:spacing w:before="0" w:after="0"/>
        <w:rPr>
          <w:rFonts w:ascii="Arial" w:hAnsi="Arial" w:cs="Arial"/>
          <w:sz w:val="22"/>
          <w:szCs w:val="22"/>
        </w:rPr>
      </w:pPr>
      <w:r w:rsidRPr="008F559D">
        <w:rPr>
          <w:rFonts w:ascii="Arial" w:hAnsi="Arial" w:cs="Arial"/>
          <w:sz w:val="22"/>
          <w:szCs w:val="22"/>
        </w:rPr>
        <w:t>The report notes that the surge in food insecurity mainly reflects the deterioration of socio economic conditions resulting from the combination of sustained economic constraints and of the shock generated by the PA fiscal crisis in late 2012.  The disturbingly high levels of food insecurity in Gaza can be explained primarily by the prolonged blockade, which continues to prevent any meaningful recovery of</w:t>
      </w:r>
      <w:r w:rsidR="00E05B2B">
        <w:rPr>
          <w:rFonts w:ascii="Arial" w:hAnsi="Arial" w:cs="Arial"/>
          <w:sz w:val="22"/>
          <w:szCs w:val="22"/>
        </w:rPr>
        <w:t xml:space="preserve"> the local productive economy. </w:t>
      </w:r>
      <w:r w:rsidRPr="008F559D">
        <w:rPr>
          <w:rFonts w:ascii="Arial" w:hAnsi="Arial" w:cs="Arial"/>
          <w:sz w:val="22"/>
          <w:szCs w:val="22"/>
        </w:rPr>
        <w:t>According to the report, lifting the blockade and easing the West Bank access restrictions remain the most critical factors affecting food insecurity.  Addressing the symptoms of food insecurity rather than tackling the root causes will not lead to sustained improvement.</w:t>
      </w:r>
      <w:r w:rsidR="00E05B2B">
        <w:rPr>
          <w:rFonts w:ascii="Arial" w:hAnsi="Arial" w:cs="Arial"/>
          <w:sz w:val="22"/>
          <w:szCs w:val="22"/>
        </w:rPr>
        <w:t xml:space="preserve"> </w:t>
      </w:r>
      <w:r w:rsidRPr="008F559D">
        <w:rPr>
          <w:rFonts w:ascii="Arial" w:hAnsi="Arial" w:cs="Arial"/>
          <w:sz w:val="22"/>
          <w:szCs w:val="22"/>
        </w:rPr>
        <w:t>The report goes on to explain that, in the context of rising food insecurity and limited financial resources, needs-based targeting should be further strengthened.</w:t>
      </w:r>
    </w:p>
    <w:p w:rsidR="00E05B2B" w:rsidRPr="008F559D" w:rsidRDefault="00E05B2B" w:rsidP="00E05B2B">
      <w:pPr>
        <w:spacing w:before="0" w:after="0"/>
        <w:rPr>
          <w:rFonts w:ascii="Arial" w:hAnsi="Arial" w:cs="Arial"/>
          <w:sz w:val="22"/>
          <w:szCs w:val="22"/>
        </w:rPr>
      </w:pPr>
    </w:p>
    <w:p w:rsidR="00792401" w:rsidRDefault="00E05B2B" w:rsidP="00E05B2B">
      <w:pPr>
        <w:spacing w:before="0" w:after="0"/>
        <w:rPr>
          <w:rFonts w:ascii="Arial" w:hAnsi="Arial" w:cs="Arial"/>
          <w:sz w:val="22"/>
          <w:szCs w:val="22"/>
        </w:rPr>
      </w:pPr>
      <w:r w:rsidRPr="008F559D">
        <w:rPr>
          <w:rFonts w:ascii="Arial" w:hAnsi="Arial" w:cs="Arial"/>
          <w:sz w:val="22"/>
          <w:szCs w:val="22"/>
        </w:rPr>
        <w:t xml:space="preserve">The </w:t>
      </w:r>
      <w:r>
        <w:rPr>
          <w:rFonts w:ascii="Arial" w:hAnsi="Arial" w:cs="Arial"/>
          <w:sz w:val="22"/>
          <w:szCs w:val="22"/>
        </w:rPr>
        <w:t xml:space="preserve">below </w:t>
      </w:r>
      <w:r w:rsidRPr="008F559D">
        <w:rPr>
          <w:rFonts w:ascii="Arial" w:hAnsi="Arial" w:cs="Arial"/>
          <w:sz w:val="22"/>
          <w:szCs w:val="22"/>
        </w:rPr>
        <w:t>figures are v</w:t>
      </w:r>
      <w:r>
        <w:rPr>
          <w:rFonts w:ascii="Arial" w:hAnsi="Arial" w:cs="Arial"/>
          <w:sz w:val="22"/>
          <w:szCs w:val="22"/>
        </w:rPr>
        <w:t xml:space="preserve">ery stark. </w:t>
      </w:r>
      <w:r w:rsidRPr="008F559D">
        <w:rPr>
          <w:rFonts w:ascii="Arial" w:hAnsi="Arial" w:cs="Arial"/>
          <w:sz w:val="22"/>
          <w:szCs w:val="22"/>
        </w:rPr>
        <w:t>That said, data on wasting and stunting as discussed above, show very little evidence of ei</w:t>
      </w:r>
      <w:r>
        <w:rPr>
          <w:rFonts w:ascii="Arial" w:hAnsi="Arial" w:cs="Arial"/>
          <w:sz w:val="22"/>
          <w:szCs w:val="22"/>
        </w:rPr>
        <w:t xml:space="preserve">ther in Gaza or the West Bank. </w:t>
      </w:r>
      <w:r w:rsidRPr="008F559D">
        <w:rPr>
          <w:rFonts w:ascii="Arial" w:hAnsi="Arial" w:cs="Arial"/>
          <w:sz w:val="22"/>
          <w:szCs w:val="22"/>
        </w:rPr>
        <w:t>There thus appears to be something o</w:t>
      </w:r>
      <w:r>
        <w:rPr>
          <w:rFonts w:ascii="Arial" w:hAnsi="Arial" w:cs="Arial"/>
          <w:sz w:val="22"/>
          <w:szCs w:val="22"/>
        </w:rPr>
        <w:t xml:space="preserve">f a contradiction in the data. </w:t>
      </w:r>
      <w:r w:rsidRPr="008F559D">
        <w:rPr>
          <w:rFonts w:ascii="Arial" w:hAnsi="Arial" w:cs="Arial"/>
          <w:sz w:val="22"/>
          <w:szCs w:val="22"/>
        </w:rPr>
        <w:t>Most likely the trend data show correctly the deteriorating situation but the absolute number</w:t>
      </w:r>
      <w:r>
        <w:rPr>
          <w:rFonts w:ascii="Arial" w:hAnsi="Arial" w:cs="Arial"/>
          <w:sz w:val="22"/>
          <w:szCs w:val="22"/>
        </w:rPr>
        <w:t>s of insecure may be overstated</w:t>
      </w:r>
    </w:p>
    <w:p w:rsidR="00E05B2B" w:rsidRDefault="00E05B2B" w:rsidP="00E05B2B">
      <w:pPr>
        <w:spacing w:before="0" w:after="0"/>
        <w:rPr>
          <w:rFonts w:ascii="Arial" w:hAnsi="Arial" w:cs="Arial"/>
          <w:sz w:val="22"/>
          <w:szCs w:val="22"/>
        </w:rPr>
      </w:pPr>
    </w:p>
    <w:p w:rsidR="00E05B2B" w:rsidRDefault="00E05B2B" w:rsidP="00E05B2B">
      <w:pPr>
        <w:spacing w:before="0" w:after="0"/>
        <w:rPr>
          <w:rFonts w:ascii="Arial" w:hAnsi="Arial" w:cs="Arial"/>
          <w:sz w:val="22"/>
          <w:szCs w:val="22"/>
        </w:rPr>
      </w:pPr>
    </w:p>
    <w:p w:rsidR="00E05B2B" w:rsidRDefault="00E05B2B" w:rsidP="00E05B2B">
      <w:pPr>
        <w:spacing w:before="0" w:after="0"/>
        <w:rPr>
          <w:rFonts w:ascii="Arial" w:hAnsi="Arial" w:cs="Arial"/>
          <w:sz w:val="22"/>
          <w:szCs w:val="22"/>
        </w:rPr>
      </w:pPr>
    </w:p>
    <w:p w:rsidR="00E05B2B" w:rsidRDefault="00E05B2B" w:rsidP="00E05B2B">
      <w:pPr>
        <w:spacing w:before="0" w:after="0"/>
        <w:rPr>
          <w:rFonts w:ascii="Arial" w:hAnsi="Arial" w:cs="Arial"/>
          <w:sz w:val="22"/>
          <w:szCs w:val="22"/>
        </w:rPr>
      </w:pPr>
    </w:p>
    <w:p w:rsidR="00E05B2B" w:rsidRDefault="00E05B2B" w:rsidP="00E05B2B">
      <w:pPr>
        <w:spacing w:before="0" w:after="0"/>
        <w:rPr>
          <w:rFonts w:ascii="Arial" w:hAnsi="Arial" w:cs="Arial"/>
          <w:sz w:val="22"/>
          <w:szCs w:val="22"/>
        </w:rPr>
      </w:pPr>
    </w:p>
    <w:p w:rsidR="00E05B2B" w:rsidRDefault="00E05B2B" w:rsidP="00E05B2B">
      <w:pPr>
        <w:spacing w:before="0" w:after="0"/>
        <w:rPr>
          <w:rFonts w:ascii="Arial" w:hAnsi="Arial" w:cs="Arial"/>
          <w:sz w:val="22"/>
          <w:szCs w:val="22"/>
        </w:rPr>
      </w:pPr>
    </w:p>
    <w:tbl>
      <w:tblPr>
        <w:tblStyle w:val="Grigliatabella"/>
        <w:tblW w:w="0" w:type="auto"/>
        <w:jc w:val="center"/>
        <w:tblLook w:val="04A0"/>
      </w:tblPr>
      <w:tblGrid>
        <w:gridCol w:w="7958"/>
      </w:tblGrid>
      <w:tr w:rsidR="00E05B2B" w:rsidTr="00E05B2B">
        <w:trPr>
          <w:trHeight w:val="3968"/>
          <w:jc w:val="center"/>
        </w:trPr>
        <w:tc>
          <w:tcPr>
            <w:tcW w:w="7958" w:type="dxa"/>
          </w:tcPr>
          <w:p w:rsidR="00E05B2B" w:rsidRPr="00E05B2B" w:rsidRDefault="00E05B2B" w:rsidP="00E05B2B">
            <w:pPr>
              <w:spacing w:before="0" w:after="0"/>
              <w:jc w:val="center"/>
              <w:rPr>
                <w:rFonts w:ascii="Arial" w:hAnsi="Arial" w:cs="Arial"/>
                <w:b/>
                <w:color w:val="1F497D" w:themeColor="text2"/>
                <w:sz w:val="18"/>
                <w:szCs w:val="18"/>
              </w:rPr>
            </w:pPr>
            <w:r w:rsidRPr="00E05B2B">
              <w:rPr>
                <w:rFonts w:ascii="Arial" w:hAnsi="Arial" w:cs="Arial"/>
                <w:b/>
                <w:color w:val="1F497D" w:themeColor="text2"/>
                <w:sz w:val="18"/>
                <w:szCs w:val="18"/>
              </w:rPr>
              <w:lastRenderedPageBreak/>
              <w:t xml:space="preserve">Figure </w:t>
            </w:r>
            <w:r w:rsidR="007B5760">
              <w:rPr>
                <w:rFonts w:ascii="Arial" w:hAnsi="Arial" w:cs="Arial"/>
                <w:b/>
                <w:color w:val="1F497D" w:themeColor="text2"/>
                <w:sz w:val="18"/>
                <w:szCs w:val="18"/>
              </w:rPr>
              <w:t>21</w:t>
            </w:r>
            <w:r w:rsidRPr="00E05B2B">
              <w:rPr>
                <w:rFonts w:ascii="Arial" w:hAnsi="Arial" w:cs="Arial"/>
                <w:b/>
                <w:color w:val="1F497D" w:themeColor="text2"/>
                <w:sz w:val="18"/>
                <w:szCs w:val="18"/>
              </w:rPr>
              <w:t>: Household food security levels in the Gaza Strip, 2009-2012</w:t>
            </w:r>
          </w:p>
          <w:p w:rsidR="00E05B2B" w:rsidRDefault="00E05B2B" w:rsidP="00E05B2B">
            <w:pPr>
              <w:spacing w:after="0"/>
              <w:rPr>
                <w:rFonts w:ascii="Arial" w:hAnsi="Arial" w:cs="Arial"/>
              </w:rPr>
            </w:pPr>
            <w:r>
              <w:rPr>
                <w:rFonts w:ascii="Arial" w:hAnsi="Arial" w:cs="Arial"/>
                <w:noProof/>
                <w:lang w:val="it-IT" w:eastAsia="it-IT"/>
              </w:rPr>
              <w:drawing>
                <wp:inline distT="0" distB="0" distL="0" distR="0">
                  <wp:extent cx="4781550" cy="2095500"/>
                  <wp:effectExtent l="19050" t="0" r="0" b="0"/>
                  <wp:docPr id="447" name="Immagin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3" cstate="print"/>
                          <a:srcRect/>
                          <a:stretch>
                            <a:fillRect/>
                          </a:stretch>
                        </pic:blipFill>
                        <pic:spPr bwMode="auto">
                          <a:xfrm>
                            <a:off x="0" y="0"/>
                            <a:ext cx="4810495" cy="2108185"/>
                          </a:xfrm>
                          <a:prstGeom prst="rect">
                            <a:avLst/>
                          </a:prstGeom>
                          <a:noFill/>
                          <a:ln w="9525">
                            <a:noFill/>
                            <a:miter lim="800000"/>
                            <a:headEnd/>
                            <a:tailEnd/>
                          </a:ln>
                        </pic:spPr>
                      </pic:pic>
                    </a:graphicData>
                  </a:graphic>
                </wp:inline>
              </w:drawing>
            </w:r>
          </w:p>
          <w:p w:rsidR="00E05B2B" w:rsidRDefault="00E05B2B" w:rsidP="00E05B2B">
            <w:pPr>
              <w:spacing w:after="0"/>
              <w:jc w:val="center"/>
              <w:rPr>
                <w:rFonts w:ascii="Arial" w:hAnsi="Arial" w:cs="Arial"/>
                <w:sz w:val="22"/>
                <w:szCs w:val="22"/>
              </w:rPr>
            </w:pPr>
            <w:proofErr w:type="spellStart"/>
            <w:r w:rsidRPr="007047EC">
              <w:rPr>
                <w:rFonts w:ascii="Arial" w:hAnsi="Arial" w:cs="Arial"/>
                <w:i/>
                <w:sz w:val="18"/>
                <w:szCs w:val="18"/>
              </w:rPr>
              <w:t>Source:Socio</w:t>
            </w:r>
            <w:proofErr w:type="spellEnd"/>
            <w:r w:rsidRPr="007047EC">
              <w:rPr>
                <w:rFonts w:ascii="Arial" w:hAnsi="Arial" w:cs="Arial"/>
                <w:i/>
                <w:sz w:val="18"/>
                <w:szCs w:val="18"/>
              </w:rPr>
              <w:t>-Economic and Food Security Survey, West Bank and Gaza, 2012</w:t>
            </w:r>
          </w:p>
        </w:tc>
      </w:tr>
    </w:tbl>
    <w:p w:rsidR="00792401" w:rsidRPr="00CE086F" w:rsidRDefault="00792401" w:rsidP="00792401">
      <w:pPr>
        <w:pStyle w:val="Testonormale"/>
        <w:jc w:val="right"/>
        <w:rPr>
          <w:rFonts w:ascii="Times New Roman" w:hAnsi="Times New Roman"/>
          <w:b/>
          <w:sz w:val="24"/>
          <w:szCs w:val="24"/>
          <w:lang w:val="en-US"/>
        </w:rPr>
      </w:pPr>
    </w:p>
    <w:p w:rsidR="00792401" w:rsidRPr="008F559D" w:rsidRDefault="00792401" w:rsidP="00E05B2B">
      <w:pPr>
        <w:spacing w:before="0" w:after="0"/>
        <w:rPr>
          <w:rFonts w:ascii="Arial" w:hAnsi="Arial" w:cs="Arial"/>
          <w:sz w:val="22"/>
          <w:szCs w:val="22"/>
        </w:rPr>
      </w:pPr>
      <w:r w:rsidRPr="00E05B2B">
        <w:rPr>
          <w:rFonts w:ascii="Arial" w:hAnsi="Arial" w:cs="Arial"/>
          <w:b/>
          <w:color w:val="1F497D" w:themeColor="text2"/>
          <w:sz w:val="22"/>
          <w:szCs w:val="22"/>
        </w:rPr>
        <w:t>EU payments of salaries in the social sectors</w:t>
      </w:r>
      <w:r w:rsidR="00E05B2B">
        <w:rPr>
          <w:rFonts w:ascii="Arial" w:hAnsi="Arial" w:cs="Arial"/>
          <w:b/>
          <w:i/>
          <w:color w:val="4F81BD" w:themeColor="accent1"/>
          <w:sz w:val="22"/>
          <w:szCs w:val="22"/>
        </w:rPr>
        <w:t>.</w:t>
      </w:r>
      <w:r w:rsidRPr="008F559D">
        <w:rPr>
          <w:rFonts w:ascii="Arial" w:hAnsi="Arial" w:cs="Arial"/>
          <w:b/>
          <w:i/>
          <w:sz w:val="22"/>
          <w:szCs w:val="22"/>
        </w:rPr>
        <w:t xml:space="preserve"> </w:t>
      </w:r>
      <w:r w:rsidRPr="008F559D">
        <w:rPr>
          <w:rFonts w:ascii="Arial" w:hAnsi="Arial" w:cs="Arial"/>
          <w:sz w:val="22"/>
          <w:szCs w:val="22"/>
        </w:rPr>
        <w:t xml:space="preserve">The largest share of government expenditures goes to wages and salaries, which were about US$1.75 billion in 2012 or 54 percent of expenditures. This underestimates the true cost of the payroll. Transfer payments, which include a substantial amount of pension payments, were another nearly US$700 million. Combined wages and salaries and transfers accounted for about three quarters of the PA’s recurrent budget in 2012. </w:t>
      </w:r>
    </w:p>
    <w:p w:rsidR="00792401" w:rsidRPr="008F559D" w:rsidRDefault="00792401" w:rsidP="00E05B2B">
      <w:pPr>
        <w:spacing w:before="0" w:after="0"/>
        <w:rPr>
          <w:rFonts w:ascii="Arial" w:hAnsi="Arial" w:cs="Arial"/>
          <w:sz w:val="22"/>
          <w:szCs w:val="22"/>
        </w:rPr>
      </w:pPr>
      <w:r w:rsidRPr="008F559D">
        <w:rPr>
          <w:rFonts w:ascii="Arial" w:hAnsi="Arial" w:cs="Arial"/>
          <w:sz w:val="22"/>
          <w:szCs w:val="22"/>
        </w:rPr>
        <w:t xml:space="preserve">As noted in many EU documents (see for example “PEGASE </w:t>
      </w:r>
      <w:proofErr w:type="spellStart"/>
      <w:r w:rsidRPr="008F559D">
        <w:rPr>
          <w:rFonts w:ascii="Arial" w:hAnsi="Arial" w:cs="Arial"/>
          <w:sz w:val="22"/>
          <w:szCs w:val="22"/>
        </w:rPr>
        <w:t>programmes</w:t>
      </w:r>
      <w:proofErr w:type="spellEnd"/>
      <w:r w:rsidRPr="008F559D">
        <w:rPr>
          <w:rFonts w:ascii="Arial" w:hAnsi="Arial" w:cs="Arial"/>
          <w:sz w:val="22"/>
          <w:szCs w:val="22"/>
        </w:rPr>
        <w:t xml:space="preserve"> of Direct Financial Support to the Recurrent Costs of the PA dated 31 August 2103), PE</w:t>
      </w:r>
      <w:r w:rsidR="00E05B2B">
        <w:rPr>
          <w:rFonts w:ascii="Arial" w:hAnsi="Arial" w:cs="Arial"/>
          <w:sz w:val="22"/>
          <w:szCs w:val="22"/>
        </w:rPr>
        <w:t xml:space="preserve">GASE has five main components. </w:t>
      </w:r>
      <w:r w:rsidRPr="008F559D">
        <w:rPr>
          <w:rFonts w:ascii="Arial" w:hAnsi="Arial" w:cs="Arial"/>
          <w:sz w:val="22"/>
          <w:szCs w:val="22"/>
        </w:rPr>
        <w:t>The first two of these impact directly on the social sector:</w:t>
      </w:r>
    </w:p>
    <w:p w:rsidR="00792401" w:rsidRPr="008F559D" w:rsidRDefault="00792401" w:rsidP="00DE1F72">
      <w:pPr>
        <w:pStyle w:val="Paragrafoelenco"/>
        <w:numPr>
          <w:ilvl w:val="0"/>
          <w:numId w:val="112"/>
        </w:numPr>
        <w:spacing w:before="0" w:after="0"/>
        <w:ind w:left="284" w:hanging="284"/>
        <w:jc w:val="left"/>
        <w:rPr>
          <w:rFonts w:ascii="Arial" w:hAnsi="Arial" w:cs="Arial"/>
          <w:sz w:val="22"/>
          <w:szCs w:val="22"/>
        </w:rPr>
      </w:pPr>
      <w:r w:rsidRPr="008F559D">
        <w:rPr>
          <w:rFonts w:ascii="Arial" w:hAnsi="Arial" w:cs="Arial"/>
          <w:sz w:val="22"/>
          <w:szCs w:val="22"/>
        </w:rPr>
        <w:t xml:space="preserve">Salaries of PA civil servants and pensioners to ensure that essential public services keep operating, and </w:t>
      </w:r>
    </w:p>
    <w:p w:rsidR="00792401" w:rsidRPr="008F559D" w:rsidRDefault="00792401" w:rsidP="00DE1F72">
      <w:pPr>
        <w:pStyle w:val="Paragrafoelenco"/>
        <w:numPr>
          <w:ilvl w:val="0"/>
          <w:numId w:val="112"/>
        </w:numPr>
        <w:spacing w:before="0" w:after="0"/>
        <w:ind w:left="284" w:hanging="284"/>
        <w:jc w:val="left"/>
        <w:rPr>
          <w:rFonts w:ascii="Arial" w:hAnsi="Arial" w:cs="Arial"/>
          <w:sz w:val="22"/>
          <w:szCs w:val="22"/>
        </w:rPr>
      </w:pPr>
      <w:r w:rsidRPr="008F559D">
        <w:rPr>
          <w:rFonts w:ascii="Arial" w:hAnsi="Arial" w:cs="Arial"/>
          <w:sz w:val="22"/>
          <w:szCs w:val="22"/>
        </w:rPr>
        <w:t>Social allowances to Palestinian households living in extreme poverty for the Cash Transfer Program</w:t>
      </w:r>
    </w:p>
    <w:p w:rsidR="00792401" w:rsidRDefault="00792401" w:rsidP="00E05B2B">
      <w:pPr>
        <w:spacing w:before="0" w:after="0"/>
        <w:rPr>
          <w:rFonts w:ascii="Arial" w:hAnsi="Arial" w:cs="Arial"/>
          <w:sz w:val="22"/>
          <w:szCs w:val="22"/>
        </w:rPr>
      </w:pPr>
      <w:r w:rsidRPr="008F559D">
        <w:rPr>
          <w:rFonts w:ascii="Arial" w:hAnsi="Arial" w:cs="Arial"/>
          <w:sz w:val="22"/>
          <w:szCs w:val="22"/>
        </w:rPr>
        <w:t>A third component relates to the payments of arrears to East Jerusalem hospitals and thus also impacts on the social sector related as it is to referrals.</w:t>
      </w:r>
      <w:r w:rsidR="00E05B2B">
        <w:rPr>
          <w:rFonts w:ascii="Arial" w:hAnsi="Arial" w:cs="Arial"/>
          <w:sz w:val="22"/>
          <w:szCs w:val="22"/>
        </w:rPr>
        <w:t xml:space="preserve"> </w:t>
      </w:r>
      <w:r w:rsidRPr="008F559D">
        <w:rPr>
          <w:rFonts w:ascii="Arial" w:hAnsi="Arial" w:cs="Arial"/>
          <w:sz w:val="22"/>
          <w:szCs w:val="22"/>
        </w:rPr>
        <w:t>The EU pays about 29.1% of the civilian wage bill and directly supports around 66,000 active civil servants such as teachers and health workers.  Around 10,000 pensioners, paid directly under the PA budget, are also eligible to and benefit from EU support. As noted in the Desk Report, up to 70% of total DFS and UNWRA allocat</w:t>
      </w:r>
      <w:r w:rsidR="00E05B2B">
        <w:rPr>
          <w:rFonts w:ascii="Arial" w:hAnsi="Arial" w:cs="Arial"/>
          <w:sz w:val="22"/>
          <w:szCs w:val="22"/>
        </w:rPr>
        <w:t xml:space="preserve">ions go to the social sectors. </w:t>
      </w:r>
      <w:r w:rsidRPr="008F559D">
        <w:rPr>
          <w:rFonts w:ascii="Arial" w:hAnsi="Arial" w:cs="Arial"/>
          <w:sz w:val="22"/>
          <w:szCs w:val="22"/>
        </w:rPr>
        <w:t>Salary payments, which go directly from the EU to Palestinians (without passing through the PA), mak</w:t>
      </w:r>
      <w:r w:rsidR="00E05B2B">
        <w:rPr>
          <w:rFonts w:ascii="Arial" w:hAnsi="Arial" w:cs="Arial"/>
          <w:sz w:val="22"/>
          <w:szCs w:val="22"/>
        </w:rPr>
        <w:t xml:space="preserve">e up the lion’s share of this. </w:t>
      </w:r>
      <w:r w:rsidRPr="008F559D">
        <w:rPr>
          <w:rFonts w:ascii="Arial" w:hAnsi="Arial" w:cs="Arial"/>
          <w:sz w:val="22"/>
          <w:szCs w:val="22"/>
        </w:rPr>
        <w:t>With such a significant share of PEGASE funding directly paying the salaries of so many health and education workers – and DFS is not budget support as it goes directly into the pockets of designated PA staff -- salary payments and the social se</w:t>
      </w:r>
      <w:r w:rsidR="00E05B2B">
        <w:rPr>
          <w:rFonts w:ascii="Arial" w:hAnsi="Arial" w:cs="Arial"/>
          <w:sz w:val="22"/>
          <w:szCs w:val="22"/>
        </w:rPr>
        <w:t xml:space="preserve">ctors are inextricably linked. </w:t>
      </w:r>
      <w:r w:rsidRPr="008F559D">
        <w:rPr>
          <w:rFonts w:ascii="Arial" w:hAnsi="Arial" w:cs="Arial"/>
          <w:sz w:val="22"/>
          <w:szCs w:val="22"/>
        </w:rPr>
        <w:t>The EU Representative Office in Jerusalem in its draft progress report 2014/15:  Single Support Framework notes the overall objective of PEGASE support is to maintain the viability of the two-state solution by avoidin</w:t>
      </w:r>
      <w:r w:rsidR="00E05B2B">
        <w:rPr>
          <w:rFonts w:ascii="Arial" w:hAnsi="Arial" w:cs="Arial"/>
          <w:sz w:val="22"/>
          <w:szCs w:val="22"/>
        </w:rPr>
        <w:t xml:space="preserve">g the fiscal collapse of the PA. </w:t>
      </w:r>
      <w:r w:rsidRPr="008F559D">
        <w:rPr>
          <w:rFonts w:ascii="Arial" w:hAnsi="Arial" w:cs="Arial"/>
          <w:sz w:val="22"/>
          <w:szCs w:val="22"/>
        </w:rPr>
        <w:t>There is no doubt that PEGASE has helped achieve this objective but not perhaps long-term sustainability which is linked of course to the size of the Government sector and affordability.</w:t>
      </w:r>
      <w:r w:rsidR="00E05B2B">
        <w:rPr>
          <w:rFonts w:ascii="Arial" w:hAnsi="Arial" w:cs="Arial"/>
          <w:sz w:val="22"/>
          <w:szCs w:val="22"/>
        </w:rPr>
        <w:t xml:space="preserve"> </w:t>
      </w:r>
      <w:r w:rsidRPr="008F559D">
        <w:rPr>
          <w:rFonts w:ascii="Arial" w:hAnsi="Arial" w:cs="Arial"/>
          <w:sz w:val="22"/>
          <w:szCs w:val="22"/>
        </w:rPr>
        <w:t>The number of PA employees has been growing rapidly over the years:</w:t>
      </w:r>
    </w:p>
    <w:p w:rsidR="00792401" w:rsidRPr="00E05B2B" w:rsidRDefault="007B5760" w:rsidP="00E05B2B">
      <w:pPr>
        <w:spacing w:before="0" w:after="0"/>
        <w:jc w:val="center"/>
        <w:rPr>
          <w:rFonts w:ascii="Arial" w:hAnsi="Arial" w:cs="Arial"/>
          <w:b/>
          <w:color w:val="1F497D" w:themeColor="text2"/>
          <w:sz w:val="18"/>
          <w:szCs w:val="18"/>
        </w:rPr>
      </w:pPr>
      <w:r>
        <w:rPr>
          <w:rFonts w:ascii="Arial" w:hAnsi="Arial" w:cs="Arial"/>
          <w:b/>
          <w:color w:val="1F497D" w:themeColor="text2"/>
          <w:sz w:val="18"/>
          <w:szCs w:val="18"/>
        </w:rPr>
        <w:t xml:space="preserve">Figure 22: </w:t>
      </w:r>
      <w:r w:rsidR="00792401" w:rsidRPr="00E05B2B">
        <w:rPr>
          <w:rFonts w:ascii="Arial" w:hAnsi="Arial" w:cs="Arial"/>
          <w:b/>
          <w:color w:val="1F497D" w:themeColor="text2"/>
          <w:sz w:val="18"/>
          <w:szCs w:val="18"/>
        </w:rPr>
        <w:t>PA staffing 1994-2013</w:t>
      </w:r>
    </w:p>
    <w:p w:rsidR="00792401" w:rsidRPr="00CE086F" w:rsidRDefault="00792401" w:rsidP="00E05B2B">
      <w:pPr>
        <w:spacing w:before="0" w:after="0"/>
      </w:pPr>
      <w:r w:rsidRPr="00CE086F">
        <w:rPr>
          <w:noProof/>
          <w:lang w:val="it-IT" w:eastAsia="it-IT"/>
        </w:rPr>
        <w:drawing>
          <wp:inline distT="0" distB="0" distL="0" distR="0">
            <wp:extent cx="5762625" cy="1600200"/>
            <wp:effectExtent l="0" t="0" r="0" b="0"/>
            <wp:docPr id="90"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34"/>
              </a:graphicData>
            </a:graphic>
          </wp:inline>
        </w:drawing>
      </w:r>
    </w:p>
    <w:p w:rsidR="00792401" w:rsidRPr="00E05B2B" w:rsidRDefault="00792401" w:rsidP="00E05B2B">
      <w:pPr>
        <w:spacing w:before="0" w:after="0"/>
        <w:jc w:val="center"/>
        <w:rPr>
          <w:rFonts w:ascii="Arial" w:hAnsi="Arial" w:cs="Arial"/>
          <w:i/>
          <w:sz w:val="18"/>
          <w:szCs w:val="18"/>
        </w:rPr>
      </w:pPr>
      <w:r w:rsidRPr="00532D1D">
        <w:rPr>
          <w:rFonts w:ascii="Arial" w:hAnsi="Arial" w:cs="Arial"/>
          <w:i/>
          <w:color w:val="4F81BD" w:themeColor="accent1"/>
          <w:sz w:val="18"/>
          <w:szCs w:val="18"/>
        </w:rPr>
        <w:t xml:space="preserve">* </w:t>
      </w:r>
      <w:r w:rsidRPr="00E05B2B">
        <w:rPr>
          <w:rFonts w:ascii="Arial" w:hAnsi="Arial" w:cs="Arial"/>
          <w:i/>
          <w:sz w:val="18"/>
          <w:szCs w:val="18"/>
        </w:rPr>
        <w:t>Data for 2013 is as of September.  Source:  World Bank.</w:t>
      </w:r>
      <w:r>
        <w:rPr>
          <w:rFonts w:ascii="Times New Roman" w:hAnsi="Times New Roman"/>
          <w:b/>
          <w:sz w:val="24"/>
          <w:szCs w:val="24"/>
          <w:lang w:val="en-GB"/>
        </w:rPr>
        <w:br w:type="page"/>
      </w:r>
    </w:p>
    <w:p w:rsidR="00792401" w:rsidRPr="00E05B2B" w:rsidRDefault="00792401" w:rsidP="00E05B2B">
      <w:pPr>
        <w:spacing w:before="0" w:after="0"/>
        <w:rPr>
          <w:rFonts w:ascii="Arial" w:hAnsi="Arial" w:cs="Arial"/>
          <w:b/>
          <w:caps/>
          <w:color w:val="1F497D" w:themeColor="text2"/>
          <w:sz w:val="22"/>
          <w:szCs w:val="22"/>
          <w:u w:val="single"/>
        </w:rPr>
      </w:pPr>
      <w:bookmarkStart w:id="55" w:name="_Toc359508311"/>
      <w:bookmarkStart w:id="56" w:name="_Toc359508310"/>
      <w:r w:rsidRPr="00E05B2B">
        <w:rPr>
          <w:rFonts w:ascii="Arial" w:hAnsi="Arial" w:cs="Arial"/>
          <w:b/>
          <w:caps/>
          <w:color w:val="1F497D" w:themeColor="text2"/>
          <w:sz w:val="22"/>
          <w:szCs w:val="22"/>
          <w:u w:val="single"/>
        </w:rPr>
        <w:lastRenderedPageBreak/>
        <w:t>Justice, Democracy and Human Rights</w:t>
      </w:r>
      <w:bookmarkEnd w:id="55"/>
      <w:r w:rsidRPr="00E05B2B">
        <w:rPr>
          <w:rFonts w:ascii="Arial" w:hAnsi="Arial" w:cs="Arial"/>
          <w:b/>
          <w:caps/>
          <w:color w:val="1F497D" w:themeColor="text2"/>
          <w:sz w:val="22"/>
          <w:szCs w:val="22"/>
          <w:u w:val="single"/>
        </w:rPr>
        <w:t xml:space="preserve"> Background</w:t>
      </w:r>
    </w:p>
    <w:p w:rsidR="00E05B2B" w:rsidRDefault="00E05B2B" w:rsidP="00792401">
      <w:pPr>
        <w:widowControl w:val="0"/>
        <w:autoSpaceDE w:val="0"/>
        <w:autoSpaceDN w:val="0"/>
        <w:adjustRightInd w:val="0"/>
        <w:spacing w:before="0" w:after="0"/>
        <w:rPr>
          <w:rFonts w:ascii="Arial" w:eastAsia="Calibri" w:hAnsi="Arial" w:cs="Arial"/>
          <w:sz w:val="22"/>
          <w:szCs w:val="22"/>
        </w:rPr>
      </w:pPr>
    </w:p>
    <w:p w:rsidR="00792401" w:rsidRPr="008F559D" w:rsidRDefault="00792401" w:rsidP="00792401">
      <w:pPr>
        <w:widowControl w:val="0"/>
        <w:autoSpaceDE w:val="0"/>
        <w:autoSpaceDN w:val="0"/>
        <w:adjustRightInd w:val="0"/>
        <w:spacing w:before="0" w:after="0"/>
        <w:rPr>
          <w:rFonts w:ascii="Arial" w:eastAsia="Calibri" w:hAnsi="Arial" w:cs="Arial"/>
          <w:sz w:val="22"/>
          <w:szCs w:val="22"/>
        </w:rPr>
      </w:pPr>
      <w:r w:rsidRPr="008F559D">
        <w:rPr>
          <w:rFonts w:ascii="Arial" w:eastAsia="Calibri" w:hAnsi="Arial" w:cs="Arial"/>
          <w:sz w:val="22"/>
          <w:szCs w:val="22"/>
        </w:rPr>
        <w:t>The main obstacles to political reform in Palestine and the rule of law remain the conflict with Israel, the existence of two legal systems in the same territory applied according to community, periodic external interventions including a resulting donor dependency and the internal political and physical split between WB and GS.</w:t>
      </w:r>
    </w:p>
    <w:p w:rsidR="00792401" w:rsidRPr="008F559D" w:rsidRDefault="00792401" w:rsidP="00792401">
      <w:pPr>
        <w:widowControl w:val="0"/>
        <w:autoSpaceDE w:val="0"/>
        <w:autoSpaceDN w:val="0"/>
        <w:adjustRightInd w:val="0"/>
        <w:spacing w:before="0" w:after="0"/>
        <w:rPr>
          <w:rFonts w:ascii="Arial" w:eastAsia="Calibri" w:hAnsi="Arial" w:cs="Arial"/>
          <w:b/>
          <w:color w:val="1F497D" w:themeColor="text2"/>
          <w:sz w:val="22"/>
          <w:szCs w:val="22"/>
        </w:rPr>
      </w:pPr>
    </w:p>
    <w:p w:rsidR="00792401" w:rsidRPr="008F559D" w:rsidRDefault="00792401" w:rsidP="00792401">
      <w:pPr>
        <w:widowControl w:val="0"/>
        <w:autoSpaceDE w:val="0"/>
        <w:autoSpaceDN w:val="0"/>
        <w:adjustRightInd w:val="0"/>
        <w:spacing w:before="0" w:after="0"/>
        <w:rPr>
          <w:rFonts w:ascii="Arial" w:eastAsia="Calibri" w:hAnsi="Arial" w:cs="Arial"/>
          <w:sz w:val="22"/>
          <w:szCs w:val="22"/>
        </w:rPr>
      </w:pPr>
      <w:r w:rsidRPr="008F559D">
        <w:rPr>
          <w:rFonts w:ascii="Arial" w:eastAsia="Calibri" w:hAnsi="Arial" w:cs="Arial"/>
          <w:b/>
          <w:color w:val="1F497D" w:themeColor="text2"/>
          <w:sz w:val="22"/>
          <w:szCs w:val="22"/>
        </w:rPr>
        <w:t>Democracy</w:t>
      </w:r>
      <w:r w:rsidRPr="008F559D">
        <w:rPr>
          <w:rFonts w:ascii="Arial" w:eastAsia="Calibri" w:hAnsi="Arial" w:cs="Arial"/>
          <w:color w:val="1F497D" w:themeColor="text2"/>
          <w:sz w:val="22"/>
          <w:szCs w:val="22"/>
        </w:rPr>
        <w:t>:</w:t>
      </w:r>
      <w:r w:rsidRPr="008F559D">
        <w:rPr>
          <w:rFonts w:ascii="Arial" w:eastAsia="Calibri" w:hAnsi="Arial" w:cs="Arial"/>
          <w:sz w:val="22"/>
          <w:szCs w:val="22"/>
        </w:rPr>
        <w:t xml:space="preserve"> Democracy, as a means for Palestinian national self-government has been largely </w:t>
      </w:r>
      <w:proofErr w:type="spellStart"/>
      <w:r w:rsidRPr="008F559D">
        <w:rPr>
          <w:rFonts w:ascii="Arial" w:eastAsia="Calibri" w:hAnsi="Arial" w:cs="Arial"/>
          <w:sz w:val="22"/>
          <w:szCs w:val="22"/>
        </w:rPr>
        <w:t>aspirational</w:t>
      </w:r>
      <w:proofErr w:type="spellEnd"/>
      <w:r w:rsidRPr="008F559D">
        <w:rPr>
          <w:rFonts w:ascii="Arial" w:eastAsia="Calibri" w:hAnsi="Arial" w:cs="Arial"/>
          <w:sz w:val="22"/>
          <w:szCs w:val="22"/>
        </w:rPr>
        <w:t>, not realized, despite the declarations of the peace process agreements, the international community, the PDP and PNDP since the establishment of the PA in 1994. Palestinian demand for democratization, frustrated by the failure of elections in 1998-1999, persisted through the Second Intifada and emerged clearly in 2005 as the preference of the majority of Palestinians over any other governance system</w:t>
      </w:r>
      <w:r w:rsidRPr="008F559D">
        <w:rPr>
          <w:rStyle w:val="Rimandonotaapidipagina"/>
          <w:rFonts w:ascii="Arial" w:eastAsia="Calibri" w:hAnsi="Arial" w:cs="Arial"/>
          <w:sz w:val="22"/>
          <w:szCs w:val="22"/>
        </w:rPr>
        <w:footnoteReference w:id="24"/>
      </w:r>
      <w:r w:rsidRPr="008F559D">
        <w:rPr>
          <w:rFonts w:ascii="Arial" w:eastAsia="Calibri" w:hAnsi="Arial" w:cs="Arial"/>
          <w:sz w:val="22"/>
          <w:szCs w:val="22"/>
        </w:rPr>
        <w:t>.</w:t>
      </w:r>
    </w:p>
    <w:p w:rsidR="00792401" w:rsidRPr="008F559D" w:rsidRDefault="00792401" w:rsidP="00792401">
      <w:pPr>
        <w:widowControl w:val="0"/>
        <w:autoSpaceDE w:val="0"/>
        <w:autoSpaceDN w:val="0"/>
        <w:adjustRightInd w:val="0"/>
        <w:spacing w:before="0" w:after="0"/>
        <w:rPr>
          <w:rFonts w:ascii="Arial" w:eastAsia="Calibri" w:hAnsi="Arial" w:cs="Arial"/>
          <w:sz w:val="22"/>
          <w:szCs w:val="22"/>
        </w:rPr>
      </w:pPr>
      <w:r w:rsidRPr="008F559D">
        <w:rPr>
          <w:rFonts w:ascii="Arial" w:eastAsia="Calibri" w:hAnsi="Arial" w:cs="Arial"/>
          <w:sz w:val="22"/>
          <w:szCs w:val="22"/>
        </w:rPr>
        <w:t xml:space="preserve"> </w:t>
      </w:r>
    </w:p>
    <w:p w:rsidR="00792401" w:rsidRPr="008F559D" w:rsidRDefault="00792401" w:rsidP="00792401">
      <w:pPr>
        <w:widowControl w:val="0"/>
        <w:autoSpaceDE w:val="0"/>
        <w:autoSpaceDN w:val="0"/>
        <w:adjustRightInd w:val="0"/>
        <w:spacing w:before="0" w:after="0"/>
        <w:rPr>
          <w:rFonts w:ascii="Arial" w:eastAsia="Calibri" w:hAnsi="Arial" w:cs="Arial"/>
          <w:sz w:val="22"/>
          <w:szCs w:val="22"/>
        </w:rPr>
      </w:pPr>
      <w:r w:rsidRPr="008F559D">
        <w:rPr>
          <w:rFonts w:ascii="Arial" w:eastAsia="Calibri" w:hAnsi="Arial" w:cs="Arial"/>
          <w:sz w:val="22"/>
          <w:szCs w:val="22"/>
        </w:rPr>
        <w:t xml:space="preserve">Despite the cleavages of 2006-2007, democratization also remained a declared priority of the PA which in 2009 declared </w:t>
      </w:r>
      <w:r w:rsidRPr="008F559D">
        <w:rPr>
          <w:rFonts w:ascii="Arial" w:eastAsia="Calibri" w:hAnsi="Arial" w:cs="Arial"/>
          <w:i/>
          <w:sz w:val="22"/>
          <w:szCs w:val="22"/>
        </w:rPr>
        <w:t>“The formation of a democratically-elected leadership that enjoys popular and factional support, as well as regional and international recognition</w:t>
      </w:r>
      <w:r w:rsidRPr="008F559D">
        <w:rPr>
          <w:rStyle w:val="Rimandonotaapidipagina"/>
          <w:rFonts w:ascii="Arial" w:eastAsia="Calibri" w:hAnsi="Arial" w:cs="Arial"/>
          <w:sz w:val="22"/>
          <w:szCs w:val="22"/>
        </w:rPr>
        <w:footnoteReference w:id="25"/>
      </w:r>
      <w:r w:rsidRPr="008F559D">
        <w:rPr>
          <w:rFonts w:ascii="Arial" w:eastAsia="Calibri" w:hAnsi="Arial" w:cs="Arial"/>
          <w:i/>
          <w:sz w:val="22"/>
          <w:szCs w:val="22"/>
        </w:rPr>
        <w:t>”.</w:t>
      </w:r>
      <w:r w:rsidRPr="008F559D">
        <w:rPr>
          <w:rFonts w:ascii="Arial" w:eastAsia="Calibri" w:hAnsi="Arial" w:cs="Arial"/>
          <w:sz w:val="22"/>
          <w:szCs w:val="22"/>
        </w:rPr>
        <w:t xml:space="preserve"> Nevertheless, although democratization was strongly supported by several donors, including the EU, and despite demonstrated PA capacity to hold elections in line with international standards, there has been no progress towards re-establishing a national participatory democratic process. </w:t>
      </w:r>
      <w:r w:rsidRPr="008F559D">
        <w:rPr>
          <w:rFonts w:ascii="Arial" w:hAnsi="Arial" w:cs="Arial"/>
          <w:sz w:val="22"/>
          <w:szCs w:val="22"/>
          <w:lang w:val="en-GB"/>
        </w:rPr>
        <w:t>No elections, other than a few local elections in 2012, have been held since 2006. Hence,</w:t>
      </w:r>
      <w:r w:rsidRPr="008F559D">
        <w:rPr>
          <w:rFonts w:ascii="Arial" w:eastAsia="Calibri" w:hAnsi="Arial" w:cs="Arial"/>
          <w:sz w:val="22"/>
          <w:szCs w:val="22"/>
        </w:rPr>
        <w:t xml:space="preserve"> the Palestinian Legislative Council (PLC) remains paralyzed. While laws and regulations continue to be issued by Presidential Decree, the democratic legitimacy of the PA as well as the Hamas authorities in Gaza continues to decrease in the absence of national elections. Holding national elections across Palestine remains a priority precondition for the reinvigoration of democratic legitimacy, institutional sustainability and the reinforcement of good governance.</w:t>
      </w:r>
    </w:p>
    <w:p w:rsidR="00792401" w:rsidRPr="008F559D" w:rsidRDefault="00792401" w:rsidP="00792401">
      <w:pPr>
        <w:spacing w:before="0" w:after="0"/>
        <w:rPr>
          <w:rFonts w:ascii="Arial" w:hAnsi="Arial" w:cs="Arial"/>
          <w:sz w:val="22"/>
          <w:szCs w:val="22"/>
          <w:lang w:val="en-GB"/>
        </w:rPr>
      </w:pPr>
    </w:p>
    <w:p w:rsidR="00792401" w:rsidRPr="008F559D" w:rsidRDefault="00792401" w:rsidP="00792401">
      <w:pPr>
        <w:widowControl w:val="0"/>
        <w:autoSpaceDE w:val="0"/>
        <w:autoSpaceDN w:val="0"/>
        <w:adjustRightInd w:val="0"/>
        <w:spacing w:before="0" w:after="0"/>
        <w:rPr>
          <w:rFonts w:ascii="Arial" w:eastAsia="Calibri" w:hAnsi="Arial" w:cs="Arial"/>
          <w:sz w:val="22"/>
          <w:szCs w:val="22"/>
        </w:rPr>
      </w:pPr>
      <w:r w:rsidRPr="008F559D">
        <w:rPr>
          <w:rFonts w:ascii="Arial" w:eastAsia="Calibri" w:hAnsi="Arial" w:cs="Arial"/>
          <w:b/>
          <w:color w:val="1F497D" w:themeColor="text2"/>
          <w:sz w:val="22"/>
          <w:szCs w:val="22"/>
        </w:rPr>
        <w:t>Justice</w:t>
      </w:r>
      <w:r w:rsidRPr="008F559D">
        <w:rPr>
          <w:rFonts w:ascii="Arial" w:eastAsia="Calibri" w:hAnsi="Arial" w:cs="Arial"/>
          <w:sz w:val="22"/>
          <w:szCs w:val="22"/>
        </w:rPr>
        <w:t xml:space="preserve">. The administration of justice is central to Palestinian civic life. Palestinians </w:t>
      </w:r>
      <w:r w:rsidRPr="008F559D">
        <w:rPr>
          <w:rFonts w:ascii="Arial" w:hAnsi="Arial" w:cs="Arial"/>
          <w:sz w:val="22"/>
          <w:szCs w:val="22"/>
          <w:lang w:val="en-GB"/>
        </w:rPr>
        <w:t>face an unequal, dual system of governance and justice.</w:t>
      </w:r>
      <w:r w:rsidRPr="008F559D">
        <w:rPr>
          <w:rFonts w:ascii="Arial" w:eastAsia="Calibri" w:hAnsi="Arial" w:cs="Arial"/>
          <w:sz w:val="22"/>
          <w:szCs w:val="22"/>
        </w:rPr>
        <w:t xml:space="preserve"> Within the Palestinian community, access to justice has improved since 2008 but Palestinian judicial administration remains fragmented with consequent uncertainties which in turn undermine credibility of the rule of law.</w:t>
      </w:r>
    </w:p>
    <w:p w:rsidR="00792401" w:rsidRPr="008F559D" w:rsidRDefault="00792401" w:rsidP="00792401">
      <w:pPr>
        <w:widowControl w:val="0"/>
        <w:autoSpaceDE w:val="0"/>
        <w:autoSpaceDN w:val="0"/>
        <w:adjustRightInd w:val="0"/>
        <w:spacing w:before="0" w:after="0"/>
        <w:rPr>
          <w:rFonts w:ascii="Arial" w:eastAsia="Calibri" w:hAnsi="Arial" w:cs="Arial"/>
          <w:sz w:val="22"/>
          <w:szCs w:val="22"/>
        </w:rPr>
      </w:pPr>
    </w:p>
    <w:p w:rsidR="00792401" w:rsidRPr="008F559D" w:rsidRDefault="00792401" w:rsidP="00792401">
      <w:pPr>
        <w:widowControl w:val="0"/>
        <w:autoSpaceDE w:val="0"/>
        <w:autoSpaceDN w:val="0"/>
        <w:adjustRightInd w:val="0"/>
        <w:spacing w:before="0" w:after="0"/>
        <w:rPr>
          <w:rFonts w:ascii="Arial" w:hAnsi="Arial" w:cs="Arial"/>
          <w:sz w:val="22"/>
          <w:szCs w:val="22"/>
          <w:lang w:val="en-GB"/>
        </w:rPr>
      </w:pPr>
      <w:r w:rsidRPr="008F559D">
        <w:rPr>
          <w:rFonts w:ascii="Arial" w:eastAsia="Calibri" w:hAnsi="Arial" w:cs="Arial"/>
          <w:sz w:val="22"/>
          <w:szCs w:val="22"/>
        </w:rPr>
        <w:t xml:space="preserve">To build institutional capacity to address some of the many  challenges faced by this sector, the EU’s </w:t>
      </w:r>
      <w:proofErr w:type="spellStart"/>
      <w:r w:rsidRPr="008F559D">
        <w:rPr>
          <w:rFonts w:ascii="Arial" w:eastAsia="Calibri" w:hAnsi="Arial" w:cs="Arial"/>
          <w:sz w:val="22"/>
          <w:szCs w:val="22"/>
        </w:rPr>
        <w:t>programme</w:t>
      </w:r>
      <w:proofErr w:type="spellEnd"/>
      <w:r w:rsidRPr="008F559D">
        <w:rPr>
          <w:rFonts w:ascii="Arial" w:eastAsia="Calibri" w:hAnsi="Arial" w:cs="Arial"/>
          <w:sz w:val="22"/>
          <w:szCs w:val="22"/>
        </w:rPr>
        <w:t xml:space="preserve"> “Empowering the Palestinian Judiciary” has sought  to respond to priorities of the judiciary reform in </w:t>
      </w:r>
      <w:r w:rsidRPr="008F559D">
        <w:rPr>
          <w:rFonts w:ascii="Arial" w:eastAsia="Calibri" w:hAnsi="Arial" w:cs="Arial"/>
          <w:sz w:val="22"/>
          <w:szCs w:val="22"/>
          <w:lang w:eastAsia="it-IT"/>
        </w:rPr>
        <w:t>line with the Palestinian National Justice Sector Strategies 2008-2010 and 2011-2013.</w:t>
      </w:r>
      <w:r w:rsidRPr="008F559D">
        <w:rPr>
          <w:rFonts w:ascii="Arial" w:hAnsi="Arial" w:cs="Arial"/>
          <w:sz w:val="22"/>
          <w:szCs w:val="22"/>
          <w:lang w:val="en-GB"/>
        </w:rPr>
        <w:t xml:space="preserve">.While these programs have made progress, the lack of a duly elected legislature, the expiry of the legal terms of the PA executives and budgetary uncertainties have perpetuated a lack of clarity. </w:t>
      </w:r>
    </w:p>
    <w:p w:rsidR="00792401" w:rsidRPr="008F559D" w:rsidRDefault="00792401" w:rsidP="00792401">
      <w:pPr>
        <w:spacing w:before="0" w:after="0"/>
        <w:rPr>
          <w:rFonts w:ascii="Arial" w:hAnsi="Arial" w:cs="Arial"/>
          <w:sz w:val="22"/>
          <w:szCs w:val="22"/>
          <w:lang w:val="en-GB"/>
        </w:rPr>
      </w:pPr>
    </w:p>
    <w:p w:rsidR="00792401" w:rsidRPr="008F559D" w:rsidRDefault="00792401" w:rsidP="00792401">
      <w:pPr>
        <w:widowControl w:val="0"/>
        <w:autoSpaceDE w:val="0"/>
        <w:autoSpaceDN w:val="0"/>
        <w:adjustRightInd w:val="0"/>
        <w:spacing w:before="0" w:after="0"/>
        <w:rPr>
          <w:rFonts w:ascii="Arial" w:eastAsia="Calibri" w:hAnsi="Arial" w:cs="Arial"/>
          <w:sz w:val="22"/>
          <w:szCs w:val="22"/>
        </w:rPr>
      </w:pPr>
      <w:r w:rsidRPr="008F559D">
        <w:rPr>
          <w:rFonts w:ascii="Arial" w:eastAsia="Calibri" w:hAnsi="Arial" w:cs="Arial"/>
          <w:sz w:val="22"/>
          <w:szCs w:val="22"/>
        </w:rPr>
        <w:t xml:space="preserve">The PA’s commitment to integrity and accountability have been advanced by a 2005 law to combat illegal gains, amended in June 2010, and leading to the establishment of a new anti-corruption commission. Ongoing progress is evidenced by internal audit reforms, the work of the Audit Committee and enhanced capacity for fraud prevention. However, the anti-corruption commission has not yet become significantly and visibly operational. </w:t>
      </w:r>
      <w:r w:rsidRPr="008F559D">
        <w:rPr>
          <w:rStyle w:val="Rimandonotaapidipagina"/>
          <w:rFonts w:ascii="Arial" w:eastAsia="Calibri" w:hAnsi="Arial" w:cs="Arial"/>
          <w:sz w:val="22"/>
          <w:szCs w:val="22"/>
        </w:rPr>
        <w:footnoteReference w:id="26"/>
      </w:r>
      <w:r w:rsidRPr="008F559D">
        <w:rPr>
          <w:rFonts w:ascii="Arial" w:eastAsia="Calibri" w:hAnsi="Arial" w:cs="Arial"/>
          <w:sz w:val="22"/>
          <w:szCs w:val="22"/>
          <w:lang w:val="en-GB"/>
        </w:rPr>
        <w:t xml:space="preserve"> Surveys indicate that the Palestinian public continue to believe that </w:t>
      </w:r>
      <w:r w:rsidRPr="008F559D">
        <w:rPr>
          <w:rFonts w:ascii="Arial" w:eastAsia="Calibri" w:hAnsi="Arial" w:cs="Arial"/>
          <w:sz w:val="22"/>
          <w:szCs w:val="22"/>
        </w:rPr>
        <w:t>nepotism, cronyism, favoritism in services and job appointments, abuse and misuse of public property remain unpunished. These attitudes in turn further undermine institutional progress and legitimacy.</w:t>
      </w:r>
    </w:p>
    <w:p w:rsidR="00792401" w:rsidRPr="008F559D" w:rsidRDefault="00792401" w:rsidP="00792401">
      <w:pPr>
        <w:widowControl w:val="0"/>
        <w:autoSpaceDE w:val="0"/>
        <w:autoSpaceDN w:val="0"/>
        <w:adjustRightInd w:val="0"/>
        <w:spacing w:before="0" w:after="0"/>
        <w:rPr>
          <w:rFonts w:ascii="Arial" w:eastAsia="Calibri" w:hAnsi="Arial" w:cs="Arial"/>
          <w:sz w:val="22"/>
          <w:szCs w:val="22"/>
        </w:rPr>
      </w:pPr>
    </w:p>
    <w:p w:rsidR="00792401" w:rsidRPr="008F559D" w:rsidRDefault="00792401" w:rsidP="007B5760">
      <w:pPr>
        <w:widowControl w:val="0"/>
        <w:autoSpaceDE w:val="0"/>
        <w:autoSpaceDN w:val="0"/>
        <w:adjustRightInd w:val="0"/>
        <w:spacing w:before="0" w:after="0"/>
        <w:rPr>
          <w:rFonts w:ascii="Arial" w:eastAsia="Calibri" w:hAnsi="Arial" w:cs="Arial"/>
          <w:sz w:val="22"/>
          <w:szCs w:val="22"/>
        </w:rPr>
      </w:pPr>
      <w:r w:rsidRPr="008F559D">
        <w:rPr>
          <w:rFonts w:ascii="Arial" w:eastAsia="Calibri" w:hAnsi="Arial" w:cs="Arial"/>
          <w:b/>
          <w:color w:val="1F497D" w:themeColor="text2"/>
          <w:sz w:val="22"/>
          <w:szCs w:val="22"/>
        </w:rPr>
        <w:t>Human rights</w:t>
      </w:r>
      <w:r w:rsidRPr="008F559D">
        <w:rPr>
          <w:rFonts w:ascii="Arial" w:eastAsia="Calibri" w:hAnsi="Arial" w:cs="Arial"/>
          <w:sz w:val="22"/>
          <w:szCs w:val="22"/>
        </w:rPr>
        <w:t xml:space="preserve">. The human rights situation remains a matter of high profile concern, particularly in the Gaza Strip, but also in the West Bank. In 2012, there was some progress on human rights issues such as the development of a PA national action plan for human rights and the removal of security clearance as a requisite for public sector recruitment. Yet various human rights violations, particularly freedom of expression and assembly, denote an overall narrow democratic space. </w:t>
      </w:r>
      <w:r w:rsidRPr="008F559D">
        <w:rPr>
          <w:rFonts w:ascii="Arial" w:eastAsia="Calibri" w:hAnsi="Arial" w:cs="Arial"/>
          <w:sz w:val="22"/>
          <w:szCs w:val="22"/>
        </w:rPr>
        <w:lastRenderedPageBreak/>
        <w:t>There was also an increase in alleged human rights abuses by the security forces. Human rights defenders in Palestine have benefited from various international efforts including the European Initiative for Democracy and Human Rights. However, human rights oriented NGOs have criticized the absence of focus on accountability in the ENP progress report for Palestine 2012,</w:t>
      </w:r>
      <w:r w:rsidRPr="008F559D">
        <w:rPr>
          <w:rStyle w:val="Rimandonotaapidipagina"/>
          <w:rFonts w:ascii="Arial" w:eastAsia="Calibri" w:hAnsi="Arial" w:cs="Arial"/>
          <w:sz w:val="22"/>
          <w:szCs w:val="22"/>
        </w:rPr>
        <w:footnoteReference w:id="27"/>
      </w:r>
      <w:r w:rsidRPr="008F559D">
        <w:rPr>
          <w:rFonts w:ascii="Arial" w:eastAsia="Calibri" w:hAnsi="Arial" w:cs="Arial"/>
          <w:sz w:val="22"/>
          <w:szCs w:val="22"/>
          <w:lang w:val="en-GB"/>
        </w:rPr>
        <w:t xml:space="preserve"> </w:t>
      </w:r>
      <w:r w:rsidRPr="008F559D">
        <w:rPr>
          <w:rFonts w:ascii="Arial" w:eastAsia="Calibri" w:hAnsi="Arial" w:cs="Arial"/>
          <w:sz w:val="22"/>
          <w:szCs w:val="22"/>
        </w:rPr>
        <w:t xml:space="preserve"> calling upon the EU to ensure that it is a priority in EU-PA relations, including in the implementation of the 2013 Action Plan.</w:t>
      </w:r>
    </w:p>
    <w:p w:rsidR="00792401" w:rsidRPr="008F559D" w:rsidRDefault="00792401" w:rsidP="007B5760">
      <w:pPr>
        <w:spacing w:before="0" w:after="0"/>
        <w:rPr>
          <w:rFonts w:ascii="Arial" w:eastAsia="Calibri" w:hAnsi="Arial" w:cs="Arial"/>
          <w:sz w:val="22"/>
          <w:szCs w:val="22"/>
        </w:rPr>
      </w:pPr>
    </w:p>
    <w:p w:rsidR="00792401" w:rsidRDefault="00792401" w:rsidP="007B5760">
      <w:pPr>
        <w:spacing w:before="0" w:after="0"/>
        <w:rPr>
          <w:rFonts w:ascii="Arial" w:hAnsi="Arial" w:cs="Arial"/>
          <w:b/>
          <w:caps/>
          <w:color w:val="1F497D" w:themeColor="text2"/>
          <w:sz w:val="22"/>
          <w:szCs w:val="22"/>
          <w:u w:val="single"/>
        </w:rPr>
      </w:pPr>
      <w:r w:rsidRPr="007B5760">
        <w:rPr>
          <w:rFonts w:ascii="Arial" w:hAnsi="Arial" w:cs="Arial"/>
          <w:b/>
          <w:caps/>
          <w:color w:val="1F497D" w:themeColor="text2"/>
          <w:sz w:val="22"/>
          <w:szCs w:val="22"/>
          <w:u w:val="single"/>
        </w:rPr>
        <w:t>Environmental profile</w:t>
      </w:r>
      <w:bookmarkEnd w:id="56"/>
    </w:p>
    <w:p w:rsidR="000D73B5" w:rsidRPr="000D73B5" w:rsidRDefault="000D73B5" w:rsidP="000D73B5">
      <w:pPr>
        <w:spacing w:before="0" w:after="0"/>
      </w:pPr>
      <w:bookmarkStart w:id="57" w:name="_Toc252910829"/>
    </w:p>
    <w:p w:rsidR="000D73B5" w:rsidRPr="001E470F" w:rsidRDefault="000D73B5" w:rsidP="001E470F">
      <w:pPr>
        <w:spacing w:before="0" w:after="0"/>
        <w:rPr>
          <w:rFonts w:ascii="Arial" w:hAnsi="Arial" w:cs="Arial"/>
          <w:sz w:val="22"/>
          <w:szCs w:val="22"/>
        </w:rPr>
      </w:pPr>
      <w:r w:rsidRPr="001E470F">
        <w:rPr>
          <w:rFonts w:ascii="Arial" w:hAnsi="Arial" w:cs="Arial"/>
          <w:b/>
          <w:color w:val="1F497D" w:themeColor="text2"/>
          <w:sz w:val="22"/>
          <w:szCs w:val="22"/>
        </w:rPr>
        <w:t>Water</w:t>
      </w:r>
      <w:bookmarkEnd w:id="57"/>
      <w:r w:rsidR="001E470F" w:rsidRPr="001E470F">
        <w:rPr>
          <w:rFonts w:ascii="Arial" w:hAnsi="Arial" w:cs="Arial"/>
          <w:b/>
          <w:color w:val="1F497D" w:themeColor="text2"/>
          <w:sz w:val="22"/>
          <w:szCs w:val="22"/>
        </w:rPr>
        <w:t xml:space="preserve">. </w:t>
      </w:r>
      <w:r w:rsidRPr="001E470F">
        <w:rPr>
          <w:rFonts w:ascii="Arial" w:eastAsiaTheme="minorEastAsia" w:hAnsi="Arial" w:cs="Arial"/>
          <w:sz w:val="22"/>
          <w:szCs w:val="22"/>
        </w:rPr>
        <w:t>Water</w:t>
      </w:r>
      <w:r w:rsidRPr="001E470F">
        <w:rPr>
          <w:rFonts w:ascii="Arial" w:eastAsiaTheme="minorEastAsia" w:hAnsi="Arial" w:cs="Arial"/>
          <w:sz w:val="22"/>
          <w:szCs w:val="22"/>
        </w:rPr>
        <w:footnoteReference w:id="28"/>
      </w:r>
      <w:r w:rsidRPr="001E470F">
        <w:rPr>
          <w:rFonts w:ascii="Arial" w:eastAsiaTheme="minorEastAsia" w:hAnsi="Arial" w:cs="Arial"/>
          <w:sz w:val="22"/>
          <w:szCs w:val="22"/>
        </w:rPr>
        <w:t xml:space="preserve"> is one of the factors which most influences life in the Middle East and is one of the major problems in the Palestinian-Israeli conflict since it constitutes a fundamental geostrategic issue for subsistence in the area.</w:t>
      </w:r>
      <w:r w:rsidRPr="001E470F">
        <w:rPr>
          <w:rFonts w:ascii="Arial" w:hAnsi="Arial" w:cs="Arial"/>
          <w:sz w:val="22"/>
          <w:szCs w:val="22"/>
        </w:rPr>
        <w:t xml:space="preserve"> The Israeli occupation strongly influences the Palestine water situation both in terms of access to the available water resources, and by limiting the Palestinian National Authority’s capacities to actively improve the situation (e.g. construction of wastewater treatment, drilling of wells, construction of sewage and wastewater treatment infrastructure). Pressures on water availability include population growth, growth in agricultural and industrial production, as well as general economic development.</w:t>
      </w:r>
    </w:p>
    <w:p w:rsidR="000D73B5" w:rsidRPr="00105666" w:rsidRDefault="000D73B5" w:rsidP="001E470F">
      <w:pPr>
        <w:spacing w:before="0" w:after="0"/>
        <w:rPr>
          <w:i/>
        </w:rPr>
      </w:pPr>
    </w:p>
    <w:tbl>
      <w:tblPr>
        <w:tblStyle w:val="Grigliatabella"/>
        <w:tblpPr w:leftFromText="141" w:rightFromText="141" w:vertAnchor="text" w:horzAnchor="margin" w:tblpXSpec="right" w:tblpY="84"/>
        <w:tblW w:w="0" w:type="auto"/>
        <w:tblLook w:val="04A0"/>
      </w:tblPr>
      <w:tblGrid>
        <w:gridCol w:w="5559"/>
      </w:tblGrid>
      <w:tr w:rsidR="001E470F" w:rsidRPr="001E470F" w:rsidTr="001E470F">
        <w:tc>
          <w:tcPr>
            <w:tcW w:w="5559" w:type="dxa"/>
          </w:tcPr>
          <w:p w:rsidR="001E470F" w:rsidRPr="001E470F" w:rsidRDefault="001E470F" w:rsidP="001E470F">
            <w:pPr>
              <w:spacing w:before="0" w:after="0"/>
              <w:jc w:val="center"/>
              <w:rPr>
                <w:rFonts w:ascii="Arial" w:hAnsi="Arial" w:cs="Arial"/>
                <w:b/>
                <w:color w:val="1F497D" w:themeColor="text2"/>
                <w:sz w:val="20"/>
              </w:rPr>
            </w:pPr>
            <w:r w:rsidRPr="001E470F">
              <w:rPr>
                <w:rFonts w:ascii="Arial" w:hAnsi="Arial" w:cs="Arial"/>
                <w:b/>
                <w:color w:val="1F497D" w:themeColor="text2"/>
                <w:sz w:val="20"/>
              </w:rPr>
              <w:t>Figure 23: Groundwater flow and divide</w:t>
            </w:r>
          </w:p>
          <w:p w:rsidR="001E470F" w:rsidRPr="001E470F" w:rsidRDefault="001E470F" w:rsidP="001E470F">
            <w:pPr>
              <w:spacing w:before="0" w:after="0"/>
              <w:rPr>
                <w:rFonts w:ascii="Arial" w:hAnsi="Arial" w:cs="Arial"/>
                <w:i/>
                <w:sz w:val="16"/>
                <w:szCs w:val="16"/>
              </w:rPr>
            </w:pPr>
            <w:r w:rsidRPr="001E470F">
              <w:rPr>
                <w:rFonts w:ascii="Arial" w:hAnsi="Arial" w:cs="Arial"/>
                <w:noProof/>
                <w:sz w:val="16"/>
                <w:szCs w:val="16"/>
                <w:lang w:val="it-IT" w:eastAsia="it-IT"/>
              </w:rPr>
              <w:drawing>
                <wp:anchor distT="0" distB="0" distL="114300" distR="114300" simplePos="0" relativeHeight="251739136" behindDoc="0" locked="0" layoutInCell="1" allowOverlap="1">
                  <wp:simplePos x="0" y="0"/>
                  <wp:positionH relativeFrom="column">
                    <wp:posOffset>-32385</wp:posOffset>
                  </wp:positionH>
                  <wp:positionV relativeFrom="paragraph">
                    <wp:posOffset>75565</wp:posOffset>
                  </wp:positionV>
                  <wp:extent cx="3341370" cy="4726305"/>
                  <wp:effectExtent l="19050" t="0" r="0" b="0"/>
                  <wp:wrapTight wrapText="bothSides">
                    <wp:wrapPolygon edited="0">
                      <wp:start x="-123" y="0"/>
                      <wp:lineTo x="-123" y="21504"/>
                      <wp:lineTo x="21551" y="21504"/>
                      <wp:lineTo x="21551" y="0"/>
                      <wp:lineTo x="-123" y="0"/>
                    </wp:wrapPolygon>
                  </wp:wrapTight>
                  <wp:docPr id="65" name="Image 14" descr="Macintosh HD:Users:jcc:Desktop: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jcc:Desktop:Untitled-1.jpg"/>
                          <pic:cNvPicPr>
                            <a:picLocks noChangeAspect="1" noChangeArrowheads="1"/>
                          </pic:cNvPicPr>
                        </pic:nvPicPr>
                        <pic:blipFill>
                          <a:blip r:embed="rId135"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41370" cy="4726305"/>
                          </a:xfrm>
                          <a:prstGeom prst="rect">
                            <a:avLst/>
                          </a:prstGeom>
                          <a:noFill/>
                          <a:ln>
                            <a:noFill/>
                          </a:ln>
                          <a:extLst>
                            <a:ext uri="{FAA26D3D-D897-4be2-8F04-BA451C77F1D7}">
                              <ma14:placeholderFlag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ma14="http://schemas.microsoft.com/office/mac/drawingml/2011/main"/>
                            </a:ext>
                          </a:extLst>
                        </pic:spPr>
                      </pic:pic>
                    </a:graphicData>
                  </a:graphic>
                </wp:anchor>
              </w:drawing>
            </w:r>
            <w:r w:rsidRPr="001E470F">
              <w:rPr>
                <w:rFonts w:ascii="Arial" w:hAnsi="Arial" w:cs="Arial"/>
                <w:i/>
                <w:sz w:val="16"/>
                <w:szCs w:val="16"/>
              </w:rPr>
              <w:t xml:space="preserve">Source: Adapted from Palestinian Academic Society for the Study of International </w:t>
            </w:r>
            <w:proofErr w:type="spellStart"/>
            <w:r w:rsidRPr="001E470F">
              <w:rPr>
                <w:rFonts w:ascii="Arial" w:hAnsi="Arial" w:cs="Arial"/>
                <w:i/>
                <w:sz w:val="16"/>
                <w:szCs w:val="16"/>
              </w:rPr>
              <w:t>Affaires</w:t>
            </w:r>
            <w:proofErr w:type="spellEnd"/>
            <w:r w:rsidRPr="001E470F">
              <w:rPr>
                <w:rFonts w:ascii="Arial" w:hAnsi="Arial" w:cs="Arial"/>
                <w:i/>
                <w:sz w:val="16"/>
                <w:szCs w:val="16"/>
              </w:rPr>
              <w:t xml:space="preserve"> (PASSIA)</w:t>
            </w:r>
          </w:p>
          <w:p w:rsidR="001E470F" w:rsidRPr="001E470F" w:rsidRDefault="001E470F" w:rsidP="001E470F">
            <w:pPr>
              <w:spacing w:before="0" w:after="0"/>
              <w:rPr>
                <w:rFonts w:ascii="Arial" w:hAnsi="Arial" w:cs="Arial"/>
                <w:sz w:val="22"/>
                <w:szCs w:val="22"/>
              </w:rPr>
            </w:pPr>
          </w:p>
        </w:tc>
      </w:tr>
    </w:tbl>
    <w:p w:rsidR="000D73B5" w:rsidRPr="001E470F" w:rsidRDefault="000D73B5" w:rsidP="001E470F">
      <w:pPr>
        <w:spacing w:before="0" w:after="0"/>
        <w:rPr>
          <w:rFonts w:ascii="Arial" w:hAnsi="Arial" w:cs="Arial"/>
          <w:sz w:val="22"/>
          <w:szCs w:val="22"/>
        </w:rPr>
      </w:pPr>
      <w:r w:rsidRPr="001E470F">
        <w:rPr>
          <w:rFonts w:ascii="Arial" w:hAnsi="Arial" w:cs="Arial"/>
          <w:b/>
          <w:color w:val="1F497D" w:themeColor="text2"/>
          <w:sz w:val="22"/>
          <w:szCs w:val="22"/>
        </w:rPr>
        <w:t>Surface water resources</w:t>
      </w:r>
      <w:r w:rsidRPr="001E470F">
        <w:rPr>
          <w:rFonts w:ascii="Arial" w:hAnsi="Arial" w:cs="Arial"/>
          <w:color w:val="1F497D" w:themeColor="text2"/>
          <w:sz w:val="22"/>
          <w:szCs w:val="22"/>
        </w:rPr>
        <w:t>:</w:t>
      </w:r>
      <w:r w:rsidRPr="001E470F">
        <w:rPr>
          <w:rFonts w:ascii="Arial" w:hAnsi="Arial" w:cs="Arial"/>
          <w:sz w:val="22"/>
          <w:szCs w:val="22"/>
        </w:rPr>
        <w:t xml:space="preserve"> Although t</w:t>
      </w:r>
      <w:r w:rsidRPr="001E470F">
        <w:rPr>
          <w:rFonts w:ascii="Arial" w:eastAsiaTheme="minorEastAsia" w:hAnsi="Arial" w:cs="Arial"/>
          <w:color w:val="000000"/>
          <w:sz w:val="22"/>
          <w:szCs w:val="22"/>
          <w:lang w:eastAsia="ja-JP"/>
        </w:rPr>
        <w:t>he rainfall in the region is fairly abundant - yet irregular and much concentrated in time and space -</w:t>
      </w:r>
      <w:r w:rsidRPr="001E470F">
        <w:rPr>
          <w:rFonts w:ascii="Arial" w:hAnsi="Arial" w:cs="Arial"/>
          <w:sz w:val="22"/>
          <w:szCs w:val="22"/>
        </w:rPr>
        <w:t xml:space="preserve"> there are currently few surface water resources in the West Bank, and none anymore in the Gaza Strip, where the main </w:t>
      </w:r>
      <w:proofErr w:type="spellStart"/>
      <w:r w:rsidRPr="001E470F">
        <w:rPr>
          <w:rFonts w:ascii="Arial" w:hAnsi="Arial" w:cs="Arial"/>
          <w:sz w:val="22"/>
          <w:szCs w:val="22"/>
        </w:rPr>
        <w:t>wadis</w:t>
      </w:r>
      <w:proofErr w:type="spellEnd"/>
      <w:r w:rsidRPr="001E470F">
        <w:rPr>
          <w:rFonts w:ascii="Arial" w:hAnsi="Arial" w:cs="Arial"/>
          <w:sz w:val="22"/>
          <w:szCs w:val="22"/>
        </w:rPr>
        <w:t xml:space="preserve"> (Gaza </w:t>
      </w:r>
      <w:proofErr w:type="spellStart"/>
      <w:r w:rsidRPr="001E470F">
        <w:rPr>
          <w:rFonts w:ascii="Arial" w:hAnsi="Arial" w:cs="Arial"/>
          <w:sz w:val="22"/>
          <w:szCs w:val="22"/>
        </w:rPr>
        <w:t>Wadi</w:t>
      </w:r>
      <w:proofErr w:type="spellEnd"/>
      <w:r w:rsidRPr="001E470F">
        <w:rPr>
          <w:rFonts w:ascii="Arial" w:hAnsi="Arial" w:cs="Arial"/>
          <w:sz w:val="22"/>
          <w:szCs w:val="22"/>
        </w:rPr>
        <w:t xml:space="preserve">) has been dried up by upstream water abstraction. Most of the </w:t>
      </w:r>
      <w:proofErr w:type="spellStart"/>
      <w:r w:rsidRPr="001E470F">
        <w:rPr>
          <w:rFonts w:ascii="Arial" w:hAnsi="Arial" w:cs="Arial"/>
          <w:sz w:val="22"/>
          <w:szCs w:val="22"/>
        </w:rPr>
        <w:t>wadis</w:t>
      </w:r>
      <w:proofErr w:type="spellEnd"/>
      <w:r w:rsidRPr="001E470F">
        <w:rPr>
          <w:rFonts w:ascii="Arial" w:hAnsi="Arial" w:cs="Arial"/>
          <w:sz w:val="22"/>
          <w:szCs w:val="22"/>
        </w:rPr>
        <w:t xml:space="preserve"> flow only for a few weeks a year, usually as flash-floods after thunderstorms, and this resource is hard to use and capture as, in most valleys, the complicated geological/ geographical features complicate the construction of large storage dams (few plains, </w:t>
      </w:r>
      <w:proofErr w:type="spellStart"/>
      <w:r w:rsidRPr="001E470F">
        <w:rPr>
          <w:rFonts w:ascii="Arial" w:hAnsi="Arial" w:cs="Arial"/>
          <w:sz w:val="22"/>
          <w:szCs w:val="22"/>
        </w:rPr>
        <w:t>karstic</w:t>
      </w:r>
      <w:proofErr w:type="spellEnd"/>
      <w:r w:rsidRPr="001E470F">
        <w:rPr>
          <w:rFonts w:ascii="Arial" w:hAnsi="Arial" w:cs="Arial"/>
          <w:sz w:val="22"/>
          <w:szCs w:val="22"/>
        </w:rPr>
        <w:t xml:space="preserve"> limestone substratum). </w:t>
      </w:r>
    </w:p>
    <w:p w:rsidR="000D73B5" w:rsidRPr="001E470F" w:rsidRDefault="000D73B5" w:rsidP="001E470F">
      <w:pPr>
        <w:spacing w:before="0" w:after="0"/>
        <w:rPr>
          <w:rFonts w:ascii="Arial" w:hAnsi="Arial" w:cs="Arial"/>
          <w:sz w:val="22"/>
          <w:szCs w:val="22"/>
        </w:rPr>
      </w:pPr>
    </w:p>
    <w:p w:rsidR="000D73B5" w:rsidRPr="001E470F" w:rsidRDefault="000D73B5" w:rsidP="001E470F">
      <w:pPr>
        <w:spacing w:before="0" w:after="0"/>
        <w:rPr>
          <w:rFonts w:ascii="Arial" w:hAnsi="Arial" w:cs="Arial"/>
          <w:sz w:val="22"/>
          <w:szCs w:val="22"/>
        </w:rPr>
      </w:pPr>
      <w:r w:rsidRPr="001E470F">
        <w:rPr>
          <w:rFonts w:ascii="Arial" w:hAnsi="Arial" w:cs="Arial"/>
          <w:sz w:val="22"/>
          <w:szCs w:val="22"/>
        </w:rPr>
        <w:t>The main permanent surface water resource on the West Bank is the Jordan River, which is used heavily for irrigation and domestic water supply by Israel. Since 1967 the Palestinians do not have access to this resource. It is a trans-boundary resource, shared between Jordan, Syria, Lebanon, Israel and Palestine. The integrated management of this resource and the conclusion of a basin wide agreement is a key component of any long-term strategy.</w:t>
      </w:r>
    </w:p>
    <w:p w:rsidR="000D73B5" w:rsidRPr="001E470F" w:rsidRDefault="000D73B5" w:rsidP="001E470F">
      <w:pPr>
        <w:spacing w:before="0" w:after="0"/>
        <w:rPr>
          <w:rFonts w:ascii="Arial" w:hAnsi="Arial" w:cs="Arial"/>
          <w:sz w:val="22"/>
          <w:szCs w:val="22"/>
        </w:rPr>
      </w:pPr>
    </w:p>
    <w:p w:rsidR="000D73B5" w:rsidRPr="001E470F" w:rsidRDefault="000D73B5" w:rsidP="001E470F">
      <w:pPr>
        <w:spacing w:before="0" w:after="0"/>
        <w:rPr>
          <w:rFonts w:ascii="Arial" w:hAnsi="Arial" w:cs="Arial"/>
          <w:sz w:val="22"/>
          <w:szCs w:val="22"/>
        </w:rPr>
      </w:pPr>
      <w:r w:rsidRPr="001E470F">
        <w:rPr>
          <w:rFonts w:ascii="Arial" w:hAnsi="Arial" w:cs="Arial"/>
          <w:sz w:val="22"/>
          <w:szCs w:val="22"/>
        </w:rPr>
        <w:t xml:space="preserve">Gaza and the West Bank rely on </w:t>
      </w:r>
      <w:r w:rsidRPr="001E470F">
        <w:rPr>
          <w:rFonts w:ascii="Arial" w:hAnsi="Arial" w:cs="Arial"/>
          <w:b/>
          <w:color w:val="1F497D" w:themeColor="text2"/>
          <w:sz w:val="22"/>
          <w:szCs w:val="22"/>
        </w:rPr>
        <w:t>groundwater resources</w:t>
      </w:r>
      <w:r w:rsidRPr="001E470F">
        <w:rPr>
          <w:rFonts w:ascii="Arial" w:hAnsi="Arial" w:cs="Arial"/>
          <w:sz w:val="22"/>
          <w:szCs w:val="22"/>
        </w:rPr>
        <w:t xml:space="preserve"> for more than 95% of their water needs come from this source either by wells or springs. The total renewable groundwater resources have been estimated </w:t>
      </w:r>
      <w:r w:rsidRPr="001E470F">
        <w:rPr>
          <w:rFonts w:ascii="Arial" w:hAnsi="Arial" w:cs="Arial"/>
          <w:sz w:val="22"/>
          <w:szCs w:val="22"/>
        </w:rPr>
        <w:lastRenderedPageBreak/>
        <w:t>as 578-814 Mm3/year in the West Bank and around 55-60 Mm3/year in the Gaza Strip. In the West Bank, groundwater resources are contained in deep (</w:t>
      </w:r>
      <w:proofErr w:type="spellStart"/>
      <w:r w:rsidRPr="001E470F">
        <w:rPr>
          <w:rFonts w:ascii="Arial" w:hAnsi="Arial" w:cs="Arial"/>
          <w:sz w:val="22"/>
          <w:szCs w:val="22"/>
        </w:rPr>
        <w:t>karstic</w:t>
      </w:r>
      <w:proofErr w:type="spellEnd"/>
      <w:r w:rsidRPr="001E470F">
        <w:rPr>
          <w:rFonts w:ascii="Arial" w:hAnsi="Arial" w:cs="Arial"/>
          <w:sz w:val="22"/>
          <w:szCs w:val="22"/>
        </w:rPr>
        <w:t xml:space="preserve">) limestone and dolomite aquifers and </w:t>
      </w:r>
      <w:r w:rsidRPr="001E470F">
        <w:rPr>
          <w:rFonts w:ascii="Arial" w:eastAsiaTheme="minorEastAsia" w:hAnsi="Arial" w:cs="Arial"/>
          <w:sz w:val="22"/>
          <w:szCs w:val="22"/>
          <w:lang w:eastAsia="ja-JP"/>
        </w:rPr>
        <w:t xml:space="preserve">the aquifer system is classified according to flow direction into three main groundwater basins, namely the Western Aquifer, the Northeastern Aquifer and the Eastern Aquifer system (map). </w:t>
      </w:r>
      <w:r w:rsidRPr="001E470F">
        <w:rPr>
          <w:rFonts w:ascii="Arial" w:hAnsi="Arial" w:cs="Arial"/>
          <w:sz w:val="22"/>
          <w:szCs w:val="22"/>
        </w:rPr>
        <w:t xml:space="preserve">Most large production wells are 200-800 meters deep and the water table lies between 100 and 450m below the surface. </w:t>
      </w:r>
    </w:p>
    <w:p w:rsidR="000D73B5" w:rsidRPr="001E470F" w:rsidRDefault="000D73B5" w:rsidP="001E470F">
      <w:pPr>
        <w:spacing w:before="0" w:after="0"/>
        <w:rPr>
          <w:rFonts w:ascii="Arial" w:hAnsi="Arial" w:cs="Arial"/>
          <w:sz w:val="22"/>
          <w:szCs w:val="22"/>
        </w:rPr>
      </w:pPr>
    </w:p>
    <w:p w:rsidR="000D73B5" w:rsidRPr="001E470F" w:rsidRDefault="000D73B5" w:rsidP="001E470F">
      <w:pPr>
        <w:spacing w:before="0" w:after="0"/>
        <w:rPr>
          <w:rFonts w:ascii="Arial" w:hAnsi="Arial" w:cs="Arial"/>
          <w:sz w:val="22"/>
          <w:szCs w:val="22"/>
        </w:rPr>
      </w:pPr>
      <w:r w:rsidRPr="001E470F">
        <w:rPr>
          <w:rFonts w:ascii="Arial" w:hAnsi="Arial" w:cs="Arial"/>
          <w:sz w:val="22"/>
          <w:szCs w:val="22"/>
        </w:rPr>
        <w:t>These aquifers are commonly divided into three main aquifers-Basins (Western, Eastern and North-Eastern). The Western and North Eastern basins flow to Israel where it constitutes one of the main groundwater resources. In Gaza, groundwater resources are contained in a shallow sandy aquifer, extending eastward to Israel and southward to Egypt. There are more than 5,000 water wells, most of them are for agriculture purposes with an average depth of 40-70 meters and the water table lies between 20-50m below the ground surface. Gaza is a dry area and the local aquifer recharge is very limited (55-60 Mm3/year on average). Abstraction by all users (Israelis, Egyptians and Palestinians) already far exceeds natural recharge. Consequently, the aquifer has been depleted and suffers from seawater intrusion.</w:t>
      </w:r>
    </w:p>
    <w:p w:rsidR="000D73B5" w:rsidRPr="001E470F" w:rsidRDefault="000D73B5" w:rsidP="001E470F">
      <w:pPr>
        <w:spacing w:before="0" w:after="0"/>
        <w:rPr>
          <w:rFonts w:ascii="Arial" w:hAnsi="Arial" w:cs="Arial"/>
          <w:sz w:val="22"/>
          <w:szCs w:val="22"/>
        </w:rPr>
      </w:pPr>
    </w:p>
    <w:p w:rsidR="000D73B5" w:rsidRPr="001E470F" w:rsidRDefault="000D73B5" w:rsidP="001E470F">
      <w:pPr>
        <w:spacing w:before="0" w:after="0"/>
        <w:rPr>
          <w:rFonts w:ascii="Arial" w:hAnsi="Arial" w:cs="Arial"/>
          <w:color w:val="221E1F"/>
          <w:sz w:val="22"/>
          <w:szCs w:val="22"/>
          <w:lang w:eastAsia="ja-JP"/>
        </w:rPr>
      </w:pPr>
      <w:r w:rsidRPr="001E470F">
        <w:rPr>
          <w:rFonts w:ascii="Arial" w:hAnsi="Arial" w:cs="Arial"/>
          <w:color w:val="221E1F"/>
          <w:sz w:val="22"/>
          <w:szCs w:val="22"/>
          <w:lang w:eastAsia="ja-JP"/>
        </w:rPr>
        <w:t>Besides the fact that the Wall consumes Palestinian land and restricts access and movement,</w:t>
      </w:r>
      <w:r w:rsidRPr="001E470F">
        <w:rPr>
          <w:rFonts w:ascii="Arial" w:eastAsiaTheme="minorEastAsia" w:hAnsi="Arial" w:cs="Arial"/>
          <w:color w:val="000000"/>
          <w:sz w:val="22"/>
          <w:szCs w:val="22"/>
          <w:lang w:eastAsia="ja-JP"/>
        </w:rPr>
        <w:t xml:space="preserve"> the construction of the Wall in the northern part of the West Bank has the effect of a concrete dam that retains the water, preventing it from flowing westward, and causing floods in the </w:t>
      </w:r>
      <w:proofErr w:type="spellStart"/>
      <w:r w:rsidRPr="001E470F">
        <w:rPr>
          <w:rFonts w:ascii="Arial" w:eastAsiaTheme="minorEastAsia" w:hAnsi="Arial" w:cs="Arial"/>
          <w:color w:val="000000"/>
          <w:sz w:val="22"/>
          <w:szCs w:val="22"/>
          <w:lang w:eastAsia="ja-JP"/>
        </w:rPr>
        <w:t>neighbouring</w:t>
      </w:r>
      <w:proofErr w:type="spellEnd"/>
      <w:r w:rsidRPr="001E470F">
        <w:rPr>
          <w:rFonts w:ascii="Arial" w:eastAsiaTheme="minorEastAsia" w:hAnsi="Arial" w:cs="Arial"/>
          <w:color w:val="000000"/>
          <w:sz w:val="22"/>
          <w:szCs w:val="22"/>
          <w:lang w:eastAsia="ja-JP"/>
        </w:rPr>
        <w:t xml:space="preserve"> areas. Moreover, the route of the wall is an obstacle to essential water resources of the Palestinian population, since a great part of the western aquifer recharge area will be trapped between the wall and the Green Line and, consequently, will fall under Israeli control.</w:t>
      </w:r>
      <w:r w:rsidRPr="001E470F">
        <w:rPr>
          <w:rFonts w:ascii="Arial" w:hAnsi="Arial" w:cs="Arial"/>
          <w:color w:val="221E1F"/>
          <w:sz w:val="22"/>
          <w:szCs w:val="22"/>
          <w:lang w:eastAsia="ja-JP"/>
        </w:rPr>
        <w:t xml:space="preserve"> One of the most important consequences of these limitations caused by the Wall’s construction is that Palestinian farmlands do not get water. Consequently, after over three years the uncultivated Palestinian lands became Israel’s property and were confiscated from the private owners. In this manner, water use restrictions by the separation Wall’s zone can be used as a tool for land annexation</w:t>
      </w:r>
      <w:r w:rsidRPr="001E470F">
        <w:rPr>
          <w:rStyle w:val="Rimandonotaapidipagina"/>
          <w:rFonts w:ascii="Arial" w:hAnsi="Arial" w:cs="Arial"/>
          <w:color w:val="221E1F"/>
          <w:sz w:val="22"/>
          <w:szCs w:val="22"/>
          <w:lang w:eastAsia="ja-JP"/>
        </w:rPr>
        <w:footnoteReference w:id="29"/>
      </w:r>
      <w:r w:rsidRPr="001E470F">
        <w:rPr>
          <w:rFonts w:ascii="Arial" w:hAnsi="Arial" w:cs="Arial"/>
          <w:color w:val="221E1F"/>
          <w:sz w:val="22"/>
          <w:szCs w:val="22"/>
          <w:lang w:eastAsia="ja-JP"/>
        </w:rPr>
        <w:t>.</w:t>
      </w:r>
    </w:p>
    <w:p w:rsidR="001E470F" w:rsidRDefault="001E470F" w:rsidP="001E470F">
      <w:pPr>
        <w:spacing w:before="0" w:after="0"/>
        <w:jc w:val="center"/>
        <w:rPr>
          <w:rFonts w:ascii="Arial" w:hAnsi="Arial" w:cs="Arial"/>
        </w:rPr>
      </w:pPr>
    </w:p>
    <w:p w:rsidR="000D73B5" w:rsidRPr="001E470F" w:rsidRDefault="000D73B5" w:rsidP="001E470F">
      <w:pPr>
        <w:spacing w:before="0" w:after="0"/>
        <w:jc w:val="center"/>
        <w:rPr>
          <w:rFonts w:ascii="Arial" w:hAnsi="Arial" w:cs="Arial"/>
          <w:b/>
          <w:color w:val="1F497D" w:themeColor="text2"/>
        </w:rPr>
      </w:pPr>
      <w:r w:rsidRPr="001E470F">
        <w:rPr>
          <w:rFonts w:ascii="Arial" w:hAnsi="Arial" w:cs="Arial"/>
          <w:b/>
          <w:color w:val="1F497D" w:themeColor="text2"/>
        </w:rPr>
        <w:t>Table</w:t>
      </w:r>
      <w:r w:rsidR="001E470F" w:rsidRPr="001E470F">
        <w:rPr>
          <w:rFonts w:ascii="Arial" w:hAnsi="Arial" w:cs="Arial"/>
          <w:b/>
          <w:color w:val="1F497D" w:themeColor="text2"/>
        </w:rPr>
        <w:t xml:space="preserve"> 3</w:t>
      </w:r>
      <w:r w:rsidRPr="001E470F">
        <w:rPr>
          <w:rFonts w:ascii="Arial" w:hAnsi="Arial" w:cs="Arial"/>
          <w:b/>
          <w:color w:val="1F497D" w:themeColor="text2"/>
        </w:rPr>
        <w:t>: Recharge estimate for the main aquifers (source PWA, 2012)</w:t>
      </w:r>
    </w:p>
    <w:tbl>
      <w:tblPr>
        <w:tblW w:w="4945" w:type="pct"/>
        <w:tblBorders>
          <w:top w:val="nil"/>
          <w:left w:val="nil"/>
          <w:bottom w:val="nil"/>
          <w:right w:val="nil"/>
        </w:tblBorders>
        <w:tblLook w:val="0000"/>
      </w:tblPr>
      <w:tblGrid>
        <w:gridCol w:w="1933"/>
        <w:gridCol w:w="1426"/>
        <w:gridCol w:w="1936"/>
        <w:gridCol w:w="1936"/>
        <w:gridCol w:w="2501"/>
        <w:gridCol w:w="14"/>
      </w:tblGrid>
      <w:tr w:rsidR="000D73B5" w:rsidRPr="0049631C" w:rsidTr="0049631C">
        <w:trPr>
          <w:gridAfter w:val="1"/>
          <w:wAfter w:w="7" w:type="pct"/>
          <w:trHeight w:val="328"/>
        </w:trPr>
        <w:tc>
          <w:tcPr>
            <w:tcW w:w="992" w:type="pct"/>
            <w:tcBorders>
              <w:top w:val="single" w:sz="4" w:space="0" w:color="auto"/>
              <w:left w:val="single" w:sz="4" w:space="0" w:color="auto"/>
              <w:bottom w:val="single" w:sz="4" w:space="0" w:color="auto"/>
              <w:right w:val="single" w:sz="4" w:space="0" w:color="auto"/>
            </w:tcBorders>
            <w:shd w:val="clear" w:color="auto" w:fill="1F497D" w:themeFill="text2"/>
          </w:tcPr>
          <w:p w:rsidR="000D73B5" w:rsidRPr="0049631C" w:rsidRDefault="000D73B5" w:rsidP="001E470F">
            <w:pPr>
              <w:spacing w:before="0" w:after="0"/>
              <w:jc w:val="left"/>
              <w:rPr>
                <w:rFonts w:ascii="Arial" w:hAnsi="Arial" w:cs="Arial"/>
                <w:b/>
                <w:color w:val="FFFFFF" w:themeColor="background1"/>
                <w:sz w:val="20"/>
              </w:rPr>
            </w:pPr>
            <w:r w:rsidRPr="0049631C">
              <w:rPr>
                <w:rFonts w:ascii="Arial" w:hAnsi="Arial" w:cs="Arial"/>
                <w:b/>
                <w:bCs/>
                <w:color w:val="FFFFFF" w:themeColor="background1"/>
                <w:sz w:val="20"/>
              </w:rPr>
              <w:t>Aquifer-Basin</w:t>
            </w:r>
          </w:p>
        </w:tc>
        <w:tc>
          <w:tcPr>
            <w:tcW w:w="732" w:type="pct"/>
            <w:tcBorders>
              <w:top w:val="single" w:sz="4" w:space="0" w:color="auto"/>
              <w:left w:val="single" w:sz="4" w:space="0" w:color="auto"/>
              <w:bottom w:val="single" w:sz="4" w:space="0" w:color="auto"/>
              <w:right w:val="single" w:sz="4" w:space="0" w:color="auto"/>
            </w:tcBorders>
            <w:shd w:val="clear" w:color="auto" w:fill="1F497D" w:themeFill="text2"/>
          </w:tcPr>
          <w:p w:rsidR="000D73B5" w:rsidRPr="0049631C" w:rsidRDefault="000D73B5" w:rsidP="001E470F">
            <w:pPr>
              <w:spacing w:before="0" w:after="0"/>
              <w:jc w:val="center"/>
              <w:rPr>
                <w:rFonts w:ascii="Arial" w:hAnsi="Arial" w:cs="Arial"/>
                <w:b/>
                <w:bCs/>
                <w:color w:val="FFFFFF" w:themeColor="background1"/>
                <w:sz w:val="20"/>
              </w:rPr>
            </w:pPr>
            <w:r w:rsidRPr="0049631C">
              <w:rPr>
                <w:rFonts w:ascii="Arial" w:hAnsi="Arial" w:cs="Arial"/>
                <w:b/>
                <w:bCs/>
                <w:color w:val="FFFFFF" w:themeColor="background1"/>
                <w:sz w:val="20"/>
              </w:rPr>
              <w:t>WB area (km2)</w:t>
            </w:r>
          </w:p>
        </w:tc>
        <w:tc>
          <w:tcPr>
            <w:tcW w:w="993" w:type="pct"/>
            <w:tcBorders>
              <w:top w:val="single" w:sz="4" w:space="0" w:color="auto"/>
              <w:left w:val="single" w:sz="4" w:space="0" w:color="auto"/>
              <w:bottom w:val="single" w:sz="4" w:space="0" w:color="auto"/>
              <w:right w:val="single" w:sz="4" w:space="0" w:color="auto"/>
            </w:tcBorders>
            <w:shd w:val="clear" w:color="auto" w:fill="1F497D" w:themeFill="text2"/>
          </w:tcPr>
          <w:p w:rsidR="000D73B5" w:rsidRPr="0049631C" w:rsidRDefault="000D73B5" w:rsidP="001E470F">
            <w:pPr>
              <w:spacing w:before="0" w:after="0"/>
              <w:jc w:val="center"/>
              <w:rPr>
                <w:rFonts w:ascii="Arial" w:hAnsi="Arial" w:cs="Arial"/>
                <w:b/>
                <w:color w:val="FFFFFF" w:themeColor="background1"/>
                <w:sz w:val="20"/>
              </w:rPr>
            </w:pPr>
            <w:r w:rsidRPr="0049631C">
              <w:rPr>
                <w:rFonts w:ascii="Arial" w:hAnsi="Arial" w:cs="Arial"/>
                <w:b/>
                <w:bCs/>
                <w:color w:val="FFFFFF" w:themeColor="background1"/>
                <w:sz w:val="20"/>
              </w:rPr>
              <w:t>Average rainfall (mm)</w:t>
            </w:r>
            <w:r w:rsidRPr="0049631C">
              <w:rPr>
                <w:rFonts w:ascii="Arial" w:hAnsi="Arial" w:cs="Arial"/>
                <w:b/>
                <w:color w:val="FFFFFF" w:themeColor="background1"/>
                <w:sz w:val="20"/>
              </w:rPr>
              <w:t xml:space="preserve"> </w:t>
            </w:r>
            <w:r w:rsidRPr="0049631C">
              <w:rPr>
                <w:rFonts w:ascii="Arial" w:hAnsi="Arial" w:cs="Arial"/>
                <w:b/>
                <w:bCs/>
                <w:color w:val="FFFFFF" w:themeColor="background1"/>
                <w:sz w:val="20"/>
              </w:rPr>
              <w:t>2010/2011</w:t>
            </w:r>
          </w:p>
        </w:tc>
        <w:tc>
          <w:tcPr>
            <w:tcW w:w="993" w:type="pct"/>
            <w:tcBorders>
              <w:top w:val="single" w:sz="4" w:space="0" w:color="auto"/>
              <w:left w:val="single" w:sz="4" w:space="0" w:color="auto"/>
              <w:bottom w:val="single" w:sz="4" w:space="0" w:color="auto"/>
              <w:right w:val="single" w:sz="4" w:space="0" w:color="auto"/>
            </w:tcBorders>
            <w:shd w:val="clear" w:color="auto" w:fill="1F497D" w:themeFill="text2"/>
          </w:tcPr>
          <w:p w:rsidR="000D73B5" w:rsidRPr="0049631C" w:rsidRDefault="000D73B5" w:rsidP="001E470F">
            <w:pPr>
              <w:spacing w:before="0" w:after="0"/>
              <w:jc w:val="center"/>
              <w:rPr>
                <w:rFonts w:ascii="Arial" w:hAnsi="Arial" w:cs="Arial"/>
                <w:b/>
                <w:color w:val="FFFFFF" w:themeColor="background1"/>
                <w:sz w:val="20"/>
              </w:rPr>
            </w:pPr>
            <w:r w:rsidRPr="0049631C">
              <w:rPr>
                <w:rFonts w:ascii="Arial" w:hAnsi="Arial" w:cs="Arial"/>
                <w:b/>
                <w:bCs/>
                <w:color w:val="FFFFFF" w:themeColor="background1"/>
                <w:sz w:val="20"/>
              </w:rPr>
              <w:t>Recharge 2010/2011 (Mm3)</w:t>
            </w:r>
          </w:p>
        </w:tc>
        <w:tc>
          <w:tcPr>
            <w:tcW w:w="1283" w:type="pct"/>
            <w:tcBorders>
              <w:top w:val="single" w:sz="4" w:space="0" w:color="auto"/>
              <w:left w:val="single" w:sz="4" w:space="0" w:color="auto"/>
              <w:bottom w:val="single" w:sz="4" w:space="0" w:color="auto"/>
              <w:right w:val="single" w:sz="4" w:space="0" w:color="auto"/>
            </w:tcBorders>
            <w:shd w:val="clear" w:color="auto" w:fill="1F497D" w:themeFill="text2"/>
          </w:tcPr>
          <w:p w:rsidR="000D73B5" w:rsidRPr="0049631C" w:rsidRDefault="000D73B5" w:rsidP="001E470F">
            <w:pPr>
              <w:spacing w:before="0" w:after="0"/>
              <w:jc w:val="center"/>
              <w:rPr>
                <w:rFonts w:ascii="Arial" w:hAnsi="Arial" w:cs="Arial"/>
                <w:b/>
                <w:color w:val="FFFFFF" w:themeColor="background1"/>
                <w:sz w:val="20"/>
              </w:rPr>
            </w:pPr>
            <w:r w:rsidRPr="0049631C">
              <w:rPr>
                <w:rFonts w:ascii="Arial" w:hAnsi="Arial" w:cs="Arial"/>
                <w:b/>
                <w:bCs/>
                <w:color w:val="FFFFFF" w:themeColor="background1"/>
                <w:sz w:val="20"/>
              </w:rPr>
              <w:t>Long-term* Average Recharge (Mm3)</w:t>
            </w:r>
          </w:p>
        </w:tc>
      </w:tr>
      <w:tr w:rsidR="000D73B5" w:rsidRPr="0049631C" w:rsidTr="001E470F">
        <w:trPr>
          <w:gridAfter w:val="1"/>
          <w:wAfter w:w="7" w:type="pct"/>
          <w:trHeight w:val="99"/>
        </w:trPr>
        <w:tc>
          <w:tcPr>
            <w:tcW w:w="992" w:type="pc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0D73B5" w:rsidRPr="0049631C" w:rsidRDefault="000D73B5" w:rsidP="001E470F">
            <w:pPr>
              <w:spacing w:before="0" w:after="0"/>
              <w:jc w:val="left"/>
              <w:rPr>
                <w:rFonts w:ascii="Arial" w:hAnsi="Arial" w:cs="Arial"/>
                <w:sz w:val="20"/>
              </w:rPr>
            </w:pPr>
            <w:r w:rsidRPr="0049631C">
              <w:rPr>
                <w:rFonts w:ascii="Arial" w:hAnsi="Arial" w:cs="Arial"/>
                <w:sz w:val="20"/>
              </w:rPr>
              <w:t>Western Aquifer</w:t>
            </w:r>
          </w:p>
        </w:tc>
        <w:tc>
          <w:tcPr>
            <w:tcW w:w="732" w:type="pct"/>
            <w:tcBorders>
              <w:top w:val="single" w:sz="4" w:space="0" w:color="auto"/>
              <w:left w:val="single" w:sz="4" w:space="0" w:color="auto"/>
              <w:bottom w:val="single" w:sz="4" w:space="0" w:color="auto"/>
              <w:right w:val="single" w:sz="4" w:space="0" w:color="auto"/>
            </w:tcBorders>
          </w:tcPr>
          <w:p w:rsidR="000D73B5" w:rsidRPr="0049631C" w:rsidRDefault="000D73B5" w:rsidP="001E470F">
            <w:pPr>
              <w:spacing w:before="0" w:after="0"/>
              <w:jc w:val="center"/>
              <w:rPr>
                <w:rFonts w:ascii="Arial" w:hAnsi="Arial" w:cs="Arial"/>
                <w:sz w:val="20"/>
              </w:rPr>
            </w:pPr>
            <w:r w:rsidRPr="0049631C">
              <w:rPr>
                <w:rFonts w:ascii="Arial" w:hAnsi="Arial" w:cs="Arial"/>
                <w:sz w:val="20"/>
              </w:rPr>
              <w:t>1,767</w:t>
            </w:r>
          </w:p>
        </w:tc>
        <w:tc>
          <w:tcPr>
            <w:tcW w:w="993" w:type="pct"/>
            <w:tcBorders>
              <w:top w:val="single" w:sz="4" w:space="0" w:color="auto"/>
              <w:left w:val="single" w:sz="4" w:space="0" w:color="auto"/>
              <w:bottom w:val="single" w:sz="4" w:space="0" w:color="auto"/>
              <w:right w:val="single" w:sz="4" w:space="0" w:color="auto"/>
            </w:tcBorders>
          </w:tcPr>
          <w:p w:rsidR="000D73B5" w:rsidRPr="0049631C" w:rsidRDefault="000D73B5" w:rsidP="001E470F">
            <w:pPr>
              <w:spacing w:before="0" w:after="0"/>
              <w:jc w:val="center"/>
              <w:rPr>
                <w:rFonts w:ascii="Arial" w:hAnsi="Arial" w:cs="Arial"/>
                <w:sz w:val="20"/>
              </w:rPr>
            </w:pPr>
            <w:r w:rsidRPr="0049631C">
              <w:rPr>
                <w:rFonts w:ascii="Arial" w:hAnsi="Arial" w:cs="Arial"/>
                <w:sz w:val="20"/>
              </w:rPr>
              <w:t>407</w:t>
            </w:r>
          </w:p>
        </w:tc>
        <w:tc>
          <w:tcPr>
            <w:tcW w:w="993" w:type="pct"/>
            <w:tcBorders>
              <w:top w:val="single" w:sz="4" w:space="0" w:color="auto"/>
              <w:left w:val="single" w:sz="4" w:space="0" w:color="auto"/>
              <w:bottom w:val="single" w:sz="4" w:space="0" w:color="auto"/>
              <w:right w:val="single" w:sz="4" w:space="0" w:color="auto"/>
            </w:tcBorders>
          </w:tcPr>
          <w:p w:rsidR="000D73B5" w:rsidRPr="0049631C" w:rsidRDefault="000D73B5" w:rsidP="001E470F">
            <w:pPr>
              <w:spacing w:before="0" w:after="0"/>
              <w:jc w:val="center"/>
              <w:rPr>
                <w:rFonts w:ascii="Arial" w:hAnsi="Arial" w:cs="Arial"/>
                <w:sz w:val="20"/>
              </w:rPr>
            </w:pPr>
            <w:r w:rsidRPr="0049631C">
              <w:rPr>
                <w:rFonts w:ascii="Arial" w:hAnsi="Arial" w:cs="Arial"/>
                <w:sz w:val="20"/>
              </w:rPr>
              <w:t>311</w:t>
            </w:r>
          </w:p>
        </w:tc>
        <w:tc>
          <w:tcPr>
            <w:tcW w:w="1283" w:type="pct"/>
            <w:tcBorders>
              <w:top w:val="single" w:sz="4" w:space="0" w:color="auto"/>
              <w:left w:val="single" w:sz="4" w:space="0" w:color="auto"/>
              <w:bottom w:val="single" w:sz="4" w:space="0" w:color="auto"/>
              <w:right w:val="single" w:sz="4" w:space="0" w:color="auto"/>
            </w:tcBorders>
          </w:tcPr>
          <w:p w:rsidR="000D73B5" w:rsidRPr="0049631C" w:rsidRDefault="000D73B5" w:rsidP="001E470F">
            <w:pPr>
              <w:spacing w:before="0" w:after="0"/>
              <w:jc w:val="center"/>
              <w:rPr>
                <w:rFonts w:ascii="Arial" w:hAnsi="Arial" w:cs="Arial"/>
                <w:sz w:val="20"/>
              </w:rPr>
            </w:pPr>
            <w:r w:rsidRPr="0049631C">
              <w:rPr>
                <w:rFonts w:ascii="Arial" w:hAnsi="Arial" w:cs="Arial"/>
                <w:sz w:val="20"/>
              </w:rPr>
              <w:t>318-430</w:t>
            </w:r>
          </w:p>
        </w:tc>
      </w:tr>
      <w:tr w:rsidR="000D73B5" w:rsidRPr="0049631C" w:rsidTr="001E470F">
        <w:trPr>
          <w:gridAfter w:val="1"/>
          <w:wAfter w:w="7" w:type="pct"/>
          <w:trHeight w:val="99"/>
        </w:trPr>
        <w:tc>
          <w:tcPr>
            <w:tcW w:w="992" w:type="pc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0D73B5" w:rsidRPr="0049631C" w:rsidRDefault="000D73B5" w:rsidP="001E470F">
            <w:pPr>
              <w:spacing w:before="0" w:after="0"/>
              <w:jc w:val="left"/>
              <w:rPr>
                <w:rFonts w:ascii="Arial" w:hAnsi="Arial" w:cs="Arial"/>
                <w:sz w:val="20"/>
              </w:rPr>
            </w:pPr>
            <w:r w:rsidRPr="0049631C">
              <w:rPr>
                <w:rFonts w:ascii="Arial" w:hAnsi="Arial" w:cs="Arial"/>
                <w:sz w:val="20"/>
              </w:rPr>
              <w:t>North Eastern Aquifer</w:t>
            </w:r>
          </w:p>
        </w:tc>
        <w:tc>
          <w:tcPr>
            <w:tcW w:w="732" w:type="pct"/>
            <w:tcBorders>
              <w:top w:val="single" w:sz="4" w:space="0" w:color="auto"/>
              <w:left w:val="single" w:sz="4" w:space="0" w:color="auto"/>
              <w:bottom w:val="single" w:sz="4" w:space="0" w:color="auto"/>
              <w:right w:val="single" w:sz="4" w:space="0" w:color="auto"/>
            </w:tcBorders>
          </w:tcPr>
          <w:p w:rsidR="000D73B5" w:rsidRPr="0049631C" w:rsidRDefault="000D73B5" w:rsidP="001E470F">
            <w:pPr>
              <w:spacing w:before="0" w:after="0"/>
              <w:jc w:val="center"/>
              <w:rPr>
                <w:rFonts w:ascii="Arial" w:hAnsi="Arial" w:cs="Arial"/>
                <w:sz w:val="20"/>
              </w:rPr>
            </w:pPr>
            <w:r w:rsidRPr="0049631C">
              <w:rPr>
                <w:rFonts w:ascii="Arial" w:hAnsi="Arial" w:cs="Arial"/>
                <w:sz w:val="20"/>
              </w:rPr>
              <w:t>981</w:t>
            </w:r>
          </w:p>
        </w:tc>
        <w:tc>
          <w:tcPr>
            <w:tcW w:w="993" w:type="pct"/>
            <w:tcBorders>
              <w:top w:val="single" w:sz="4" w:space="0" w:color="auto"/>
              <w:left w:val="single" w:sz="4" w:space="0" w:color="auto"/>
              <w:bottom w:val="single" w:sz="4" w:space="0" w:color="auto"/>
              <w:right w:val="single" w:sz="4" w:space="0" w:color="auto"/>
            </w:tcBorders>
          </w:tcPr>
          <w:p w:rsidR="000D73B5" w:rsidRPr="0049631C" w:rsidRDefault="000D73B5" w:rsidP="001E470F">
            <w:pPr>
              <w:spacing w:before="0" w:after="0"/>
              <w:jc w:val="center"/>
              <w:rPr>
                <w:rFonts w:ascii="Arial" w:hAnsi="Arial" w:cs="Arial"/>
                <w:sz w:val="20"/>
              </w:rPr>
            </w:pPr>
            <w:r w:rsidRPr="0049631C">
              <w:rPr>
                <w:rFonts w:ascii="Arial" w:hAnsi="Arial" w:cs="Arial"/>
                <w:sz w:val="20"/>
              </w:rPr>
              <w:t>433</w:t>
            </w:r>
          </w:p>
        </w:tc>
        <w:tc>
          <w:tcPr>
            <w:tcW w:w="993" w:type="pct"/>
            <w:tcBorders>
              <w:top w:val="single" w:sz="4" w:space="0" w:color="auto"/>
              <w:left w:val="single" w:sz="4" w:space="0" w:color="auto"/>
              <w:bottom w:val="single" w:sz="4" w:space="0" w:color="auto"/>
              <w:right w:val="single" w:sz="4" w:space="0" w:color="auto"/>
            </w:tcBorders>
          </w:tcPr>
          <w:p w:rsidR="000D73B5" w:rsidRPr="0049631C" w:rsidRDefault="000D73B5" w:rsidP="001E470F">
            <w:pPr>
              <w:spacing w:before="0" w:after="0"/>
              <w:jc w:val="center"/>
              <w:rPr>
                <w:rFonts w:ascii="Arial" w:hAnsi="Arial" w:cs="Arial"/>
                <w:sz w:val="20"/>
              </w:rPr>
            </w:pPr>
            <w:r w:rsidRPr="0049631C">
              <w:rPr>
                <w:rFonts w:ascii="Arial" w:hAnsi="Arial" w:cs="Arial"/>
                <w:sz w:val="20"/>
              </w:rPr>
              <w:t>134</w:t>
            </w:r>
          </w:p>
        </w:tc>
        <w:tc>
          <w:tcPr>
            <w:tcW w:w="1283" w:type="pct"/>
            <w:tcBorders>
              <w:top w:val="single" w:sz="4" w:space="0" w:color="auto"/>
              <w:left w:val="single" w:sz="4" w:space="0" w:color="auto"/>
              <w:bottom w:val="single" w:sz="4" w:space="0" w:color="auto"/>
              <w:right w:val="single" w:sz="4" w:space="0" w:color="auto"/>
            </w:tcBorders>
          </w:tcPr>
          <w:p w:rsidR="000D73B5" w:rsidRPr="0049631C" w:rsidRDefault="000D73B5" w:rsidP="001E470F">
            <w:pPr>
              <w:spacing w:before="0" w:after="0"/>
              <w:jc w:val="center"/>
              <w:rPr>
                <w:rFonts w:ascii="Arial" w:hAnsi="Arial" w:cs="Arial"/>
                <w:sz w:val="20"/>
              </w:rPr>
            </w:pPr>
            <w:r w:rsidRPr="0049631C">
              <w:rPr>
                <w:rFonts w:ascii="Arial" w:hAnsi="Arial" w:cs="Arial"/>
                <w:sz w:val="20"/>
              </w:rPr>
              <w:t>135-187</w:t>
            </w:r>
          </w:p>
        </w:tc>
      </w:tr>
      <w:tr w:rsidR="000D73B5" w:rsidRPr="0049631C" w:rsidTr="001E470F">
        <w:trPr>
          <w:gridAfter w:val="1"/>
          <w:wAfter w:w="7" w:type="pct"/>
          <w:trHeight w:val="99"/>
        </w:trPr>
        <w:tc>
          <w:tcPr>
            <w:tcW w:w="992" w:type="pc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0D73B5" w:rsidRPr="0049631C" w:rsidRDefault="000D73B5" w:rsidP="001E470F">
            <w:pPr>
              <w:spacing w:before="0" w:after="0"/>
              <w:jc w:val="left"/>
              <w:rPr>
                <w:rFonts w:ascii="Arial" w:hAnsi="Arial" w:cs="Arial"/>
                <w:sz w:val="20"/>
              </w:rPr>
            </w:pPr>
            <w:r w:rsidRPr="0049631C">
              <w:rPr>
                <w:rFonts w:ascii="Arial" w:hAnsi="Arial" w:cs="Arial"/>
                <w:sz w:val="20"/>
              </w:rPr>
              <w:t>Eastern Aquifer</w:t>
            </w:r>
          </w:p>
        </w:tc>
        <w:tc>
          <w:tcPr>
            <w:tcW w:w="732" w:type="pct"/>
            <w:tcBorders>
              <w:top w:val="single" w:sz="4" w:space="0" w:color="auto"/>
              <w:left w:val="single" w:sz="4" w:space="0" w:color="auto"/>
              <w:bottom w:val="single" w:sz="4" w:space="0" w:color="auto"/>
              <w:right w:val="single" w:sz="4" w:space="0" w:color="auto"/>
            </w:tcBorders>
          </w:tcPr>
          <w:p w:rsidR="000D73B5" w:rsidRPr="0049631C" w:rsidRDefault="000D73B5" w:rsidP="001E470F">
            <w:pPr>
              <w:spacing w:before="0" w:after="0"/>
              <w:jc w:val="center"/>
              <w:rPr>
                <w:rFonts w:ascii="Arial" w:hAnsi="Arial" w:cs="Arial"/>
                <w:sz w:val="20"/>
              </w:rPr>
            </w:pPr>
            <w:r w:rsidRPr="0049631C">
              <w:rPr>
                <w:rFonts w:ascii="Arial" w:hAnsi="Arial" w:cs="Arial"/>
                <w:sz w:val="20"/>
              </w:rPr>
              <w:t>2,896</w:t>
            </w:r>
          </w:p>
        </w:tc>
        <w:tc>
          <w:tcPr>
            <w:tcW w:w="993" w:type="pct"/>
            <w:tcBorders>
              <w:top w:val="single" w:sz="4" w:space="0" w:color="auto"/>
              <w:left w:val="single" w:sz="4" w:space="0" w:color="auto"/>
              <w:bottom w:val="single" w:sz="4" w:space="0" w:color="auto"/>
              <w:right w:val="single" w:sz="4" w:space="0" w:color="auto"/>
            </w:tcBorders>
          </w:tcPr>
          <w:p w:rsidR="000D73B5" w:rsidRPr="0049631C" w:rsidRDefault="000D73B5" w:rsidP="001E470F">
            <w:pPr>
              <w:spacing w:before="0" w:after="0"/>
              <w:jc w:val="center"/>
              <w:rPr>
                <w:rFonts w:ascii="Arial" w:hAnsi="Arial" w:cs="Arial"/>
                <w:sz w:val="20"/>
              </w:rPr>
            </w:pPr>
            <w:r w:rsidRPr="0049631C">
              <w:rPr>
                <w:rFonts w:ascii="Arial" w:hAnsi="Arial" w:cs="Arial"/>
                <w:sz w:val="20"/>
              </w:rPr>
              <w:t>281</w:t>
            </w:r>
          </w:p>
        </w:tc>
        <w:tc>
          <w:tcPr>
            <w:tcW w:w="993" w:type="pct"/>
            <w:tcBorders>
              <w:top w:val="single" w:sz="4" w:space="0" w:color="auto"/>
              <w:left w:val="single" w:sz="4" w:space="0" w:color="auto"/>
              <w:bottom w:val="single" w:sz="4" w:space="0" w:color="auto"/>
              <w:right w:val="single" w:sz="4" w:space="0" w:color="auto"/>
            </w:tcBorders>
          </w:tcPr>
          <w:p w:rsidR="000D73B5" w:rsidRPr="0049631C" w:rsidRDefault="000D73B5" w:rsidP="001E470F">
            <w:pPr>
              <w:spacing w:before="0" w:after="0"/>
              <w:jc w:val="center"/>
              <w:rPr>
                <w:rFonts w:ascii="Arial" w:hAnsi="Arial" w:cs="Arial"/>
                <w:sz w:val="20"/>
              </w:rPr>
            </w:pPr>
            <w:r w:rsidRPr="0049631C">
              <w:rPr>
                <w:rFonts w:ascii="Arial" w:hAnsi="Arial" w:cs="Arial"/>
                <w:sz w:val="20"/>
              </w:rPr>
              <w:t>153</w:t>
            </w:r>
          </w:p>
        </w:tc>
        <w:tc>
          <w:tcPr>
            <w:tcW w:w="1283" w:type="pct"/>
            <w:tcBorders>
              <w:top w:val="single" w:sz="4" w:space="0" w:color="auto"/>
              <w:left w:val="single" w:sz="4" w:space="0" w:color="auto"/>
              <w:bottom w:val="single" w:sz="4" w:space="0" w:color="auto"/>
              <w:right w:val="single" w:sz="4" w:space="0" w:color="auto"/>
            </w:tcBorders>
          </w:tcPr>
          <w:p w:rsidR="000D73B5" w:rsidRPr="0049631C" w:rsidRDefault="000D73B5" w:rsidP="001E470F">
            <w:pPr>
              <w:spacing w:before="0" w:after="0"/>
              <w:jc w:val="center"/>
              <w:rPr>
                <w:rFonts w:ascii="Arial" w:hAnsi="Arial" w:cs="Arial"/>
                <w:sz w:val="20"/>
              </w:rPr>
            </w:pPr>
            <w:r w:rsidRPr="0049631C">
              <w:rPr>
                <w:rFonts w:ascii="Arial" w:hAnsi="Arial" w:cs="Arial"/>
                <w:sz w:val="20"/>
              </w:rPr>
              <w:t>125-197</w:t>
            </w:r>
          </w:p>
        </w:tc>
      </w:tr>
      <w:tr w:rsidR="000D73B5" w:rsidRPr="0049631C" w:rsidTr="001E470F">
        <w:trPr>
          <w:gridAfter w:val="1"/>
          <w:wAfter w:w="7" w:type="pct"/>
          <w:trHeight w:val="99"/>
        </w:trPr>
        <w:tc>
          <w:tcPr>
            <w:tcW w:w="992" w:type="pc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0D73B5" w:rsidRPr="0049631C" w:rsidRDefault="000D73B5" w:rsidP="001E470F">
            <w:pPr>
              <w:spacing w:before="0" w:after="0"/>
              <w:jc w:val="left"/>
              <w:rPr>
                <w:rFonts w:ascii="Arial" w:hAnsi="Arial" w:cs="Arial"/>
                <w:sz w:val="20"/>
              </w:rPr>
            </w:pPr>
            <w:r w:rsidRPr="0049631C">
              <w:rPr>
                <w:rFonts w:ascii="Arial" w:hAnsi="Arial" w:cs="Arial"/>
                <w:bCs/>
                <w:sz w:val="20"/>
              </w:rPr>
              <w:t>West Bank Total</w:t>
            </w:r>
          </w:p>
        </w:tc>
        <w:tc>
          <w:tcPr>
            <w:tcW w:w="732" w:type="pct"/>
            <w:tcBorders>
              <w:top w:val="single" w:sz="4" w:space="0" w:color="auto"/>
              <w:left w:val="single" w:sz="4" w:space="0" w:color="auto"/>
              <w:bottom w:val="single" w:sz="4" w:space="0" w:color="auto"/>
              <w:right w:val="single" w:sz="4" w:space="0" w:color="auto"/>
            </w:tcBorders>
          </w:tcPr>
          <w:p w:rsidR="000D73B5" w:rsidRPr="0049631C" w:rsidRDefault="000D73B5" w:rsidP="001E470F">
            <w:pPr>
              <w:spacing w:before="0" w:after="0"/>
              <w:jc w:val="center"/>
              <w:rPr>
                <w:rFonts w:ascii="Arial" w:hAnsi="Arial" w:cs="Arial"/>
                <w:sz w:val="20"/>
              </w:rPr>
            </w:pPr>
            <w:r w:rsidRPr="0049631C">
              <w:rPr>
                <w:rFonts w:ascii="Arial" w:hAnsi="Arial" w:cs="Arial"/>
                <w:bCs/>
                <w:sz w:val="20"/>
              </w:rPr>
              <w:t>5,644</w:t>
            </w:r>
          </w:p>
        </w:tc>
        <w:tc>
          <w:tcPr>
            <w:tcW w:w="993" w:type="pct"/>
            <w:tcBorders>
              <w:top w:val="single" w:sz="4" w:space="0" w:color="auto"/>
              <w:left w:val="single" w:sz="4" w:space="0" w:color="auto"/>
              <w:bottom w:val="single" w:sz="4" w:space="0" w:color="auto"/>
              <w:right w:val="single" w:sz="4" w:space="0" w:color="auto"/>
            </w:tcBorders>
          </w:tcPr>
          <w:p w:rsidR="000D73B5" w:rsidRPr="0049631C" w:rsidRDefault="000D73B5" w:rsidP="001E470F">
            <w:pPr>
              <w:spacing w:before="0" w:after="0"/>
              <w:jc w:val="center"/>
              <w:rPr>
                <w:rFonts w:ascii="Arial" w:hAnsi="Arial" w:cs="Arial"/>
                <w:sz w:val="20"/>
              </w:rPr>
            </w:pPr>
            <w:r w:rsidRPr="0049631C">
              <w:rPr>
                <w:rFonts w:ascii="Arial" w:hAnsi="Arial" w:cs="Arial"/>
                <w:bCs/>
                <w:sz w:val="20"/>
              </w:rPr>
              <w:t>347</w:t>
            </w:r>
          </w:p>
        </w:tc>
        <w:tc>
          <w:tcPr>
            <w:tcW w:w="993" w:type="pct"/>
            <w:tcBorders>
              <w:top w:val="single" w:sz="4" w:space="0" w:color="auto"/>
              <w:left w:val="single" w:sz="4" w:space="0" w:color="auto"/>
              <w:bottom w:val="single" w:sz="4" w:space="0" w:color="auto"/>
              <w:right w:val="single" w:sz="4" w:space="0" w:color="auto"/>
            </w:tcBorders>
          </w:tcPr>
          <w:p w:rsidR="000D73B5" w:rsidRPr="0049631C" w:rsidRDefault="000D73B5" w:rsidP="001E470F">
            <w:pPr>
              <w:spacing w:before="0" w:after="0"/>
              <w:jc w:val="center"/>
              <w:rPr>
                <w:rFonts w:ascii="Arial" w:hAnsi="Arial" w:cs="Arial"/>
                <w:sz w:val="20"/>
              </w:rPr>
            </w:pPr>
            <w:r w:rsidRPr="0049631C">
              <w:rPr>
                <w:rFonts w:ascii="Arial" w:hAnsi="Arial" w:cs="Arial"/>
                <w:bCs/>
                <w:sz w:val="20"/>
              </w:rPr>
              <w:t>598</w:t>
            </w:r>
          </w:p>
        </w:tc>
        <w:tc>
          <w:tcPr>
            <w:tcW w:w="1283" w:type="pct"/>
            <w:tcBorders>
              <w:top w:val="single" w:sz="4" w:space="0" w:color="auto"/>
              <w:left w:val="single" w:sz="4" w:space="0" w:color="auto"/>
              <w:bottom w:val="single" w:sz="4" w:space="0" w:color="auto"/>
              <w:right w:val="single" w:sz="4" w:space="0" w:color="auto"/>
            </w:tcBorders>
          </w:tcPr>
          <w:p w:rsidR="000D73B5" w:rsidRPr="0049631C" w:rsidRDefault="000D73B5" w:rsidP="001E470F">
            <w:pPr>
              <w:spacing w:before="0" w:after="0"/>
              <w:jc w:val="center"/>
              <w:rPr>
                <w:rFonts w:ascii="Arial" w:hAnsi="Arial" w:cs="Arial"/>
                <w:sz w:val="20"/>
              </w:rPr>
            </w:pPr>
            <w:r w:rsidRPr="0049631C">
              <w:rPr>
                <w:rFonts w:ascii="Arial" w:hAnsi="Arial" w:cs="Arial"/>
                <w:bCs/>
                <w:sz w:val="20"/>
              </w:rPr>
              <w:t>578-814</w:t>
            </w:r>
          </w:p>
        </w:tc>
      </w:tr>
      <w:tr w:rsidR="000D73B5" w:rsidRPr="0049631C" w:rsidTr="001E470F">
        <w:trPr>
          <w:gridAfter w:val="1"/>
          <w:wAfter w:w="7" w:type="pct"/>
          <w:trHeight w:val="110"/>
        </w:trPr>
        <w:tc>
          <w:tcPr>
            <w:tcW w:w="992" w:type="pc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0D73B5" w:rsidRPr="0049631C" w:rsidRDefault="000D73B5" w:rsidP="001E470F">
            <w:pPr>
              <w:spacing w:before="0" w:after="0"/>
              <w:jc w:val="left"/>
              <w:rPr>
                <w:rFonts w:ascii="Arial" w:hAnsi="Arial" w:cs="Arial"/>
                <w:sz w:val="20"/>
              </w:rPr>
            </w:pPr>
            <w:r w:rsidRPr="0049631C">
              <w:rPr>
                <w:rFonts w:ascii="Arial" w:hAnsi="Arial" w:cs="Arial"/>
                <w:sz w:val="20"/>
              </w:rPr>
              <w:t>Coastal Aquifer</w:t>
            </w:r>
          </w:p>
        </w:tc>
        <w:tc>
          <w:tcPr>
            <w:tcW w:w="732" w:type="pct"/>
            <w:tcBorders>
              <w:top w:val="single" w:sz="4" w:space="0" w:color="auto"/>
              <w:left w:val="single" w:sz="4" w:space="0" w:color="auto"/>
              <w:bottom w:val="single" w:sz="4" w:space="0" w:color="auto"/>
              <w:right w:val="single" w:sz="4" w:space="0" w:color="auto"/>
            </w:tcBorders>
          </w:tcPr>
          <w:p w:rsidR="000D73B5" w:rsidRPr="0049631C" w:rsidRDefault="000D73B5" w:rsidP="001E470F">
            <w:pPr>
              <w:spacing w:before="0" w:after="0"/>
              <w:jc w:val="center"/>
              <w:rPr>
                <w:rFonts w:ascii="Arial" w:hAnsi="Arial" w:cs="Arial"/>
                <w:sz w:val="20"/>
              </w:rPr>
            </w:pPr>
            <w:r w:rsidRPr="0049631C">
              <w:rPr>
                <w:rFonts w:ascii="Arial" w:hAnsi="Arial" w:cs="Arial"/>
                <w:sz w:val="20"/>
              </w:rPr>
              <w:t>365</w:t>
            </w:r>
          </w:p>
        </w:tc>
        <w:tc>
          <w:tcPr>
            <w:tcW w:w="993" w:type="pct"/>
            <w:tcBorders>
              <w:top w:val="single" w:sz="4" w:space="0" w:color="auto"/>
              <w:left w:val="single" w:sz="4" w:space="0" w:color="auto"/>
              <w:bottom w:val="single" w:sz="4" w:space="0" w:color="auto"/>
              <w:right w:val="single" w:sz="4" w:space="0" w:color="auto"/>
            </w:tcBorders>
          </w:tcPr>
          <w:p w:rsidR="000D73B5" w:rsidRPr="0049631C" w:rsidRDefault="000D73B5" w:rsidP="001E470F">
            <w:pPr>
              <w:spacing w:before="0" w:after="0"/>
              <w:jc w:val="center"/>
              <w:rPr>
                <w:rFonts w:ascii="Arial" w:hAnsi="Arial" w:cs="Arial"/>
                <w:sz w:val="20"/>
              </w:rPr>
            </w:pPr>
            <w:r w:rsidRPr="0049631C">
              <w:rPr>
                <w:rFonts w:ascii="Arial" w:hAnsi="Arial" w:cs="Arial"/>
                <w:sz w:val="20"/>
              </w:rPr>
              <w:t>225</w:t>
            </w:r>
          </w:p>
        </w:tc>
        <w:tc>
          <w:tcPr>
            <w:tcW w:w="993" w:type="pct"/>
            <w:tcBorders>
              <w:top w:val="single" w:sz="4" w:space="0" w:color="auto"/>
              <w:left w:val="single" w:sz="4" w:space="0" w:color="auto"/>
              <w:bottom w:val="single" w:sz="4" w:space="0" w:color="auto"/>
              <w:right w:val="single" w:sz="4" w:space="0" w:color="auto"/>
            </w:tcBorders>
          </w:tcPr>
          <w:p w:rsidR="000D73B5" w:rsidRPr="0049631C" w:rsidRDefault="000D73B5" w:rsidP="001E470F">
            <w:pPr>
              <w:spacing w:before="0" w:after="0"/>
              <w:jc w:val="center"/>
              <w:rPr>
                <w:rFonts w:ascii="Arial" w:hAnsi="Arial" w:cs="Arial"/>
                <w:sz w:val="20"/>
              </w:rPr>
            </w:pPr>
            <w:r w:rsidRPr="0049631C">
              <w:rPr>
                <w:rFonts w:ascii="Arial" w:hAnsi="Arial" w:cs="Arial"/>
                <w:sz w:val="20"/>
              </w:rPr>
              <w:t>33</w:t>
            </w:r>
          </w:p>
        </w:tc>
        <w:tc>
          <w:tcPr>
            <w:tcW w:w="1283" w:type="pct"/>
            <w:tcBorders>
              <w:top w:val="single" w:sz="4" w:space="0" w:color="auto"/>
              <w:left w:val="single" w:sz="4" w:space="0" w:color="auto"/>
              <w:bottom w:val="single" w:sz="4" w:space="0" w:color="auto"/>
              <w:right w:val="single" w:sz="4" w:space="0" w:color="auto"/>
            </w:tcBorders>
          </w:tcPr>
          <w:p w:rsidR="000D73B5" w:rsidRPr="0049631C" w:rsidRDefault="000D73B5" w:rsidP="001E470F">
            <w:pPr>
              <w:spacing w:before="0" w:after="0"/>
              <w:jc w:val="center"/>
              <w:rPr>
                <w:rFonts w:ascii="Arial" w:hAnsi="Arial" w:cs="Arial"/>
                <w:sz w:val="20"/>
              </w:rPr>
            </w:pPr>
            <w:r w:rsidRPr="0049631C">
              <w:rPr>
                <w:rFonts w:ascii="Arial" w:hAnsi="Arial" w:cs="Arial"/>
                <w:sz w:val="20"/>
              </w:rPr>
              <w:t>55-60</w:t>
            </w:r>
          </w:p>
        </w:tc>
      </w:tr>
      <w:tr w:rsidR="000D73B5" w:rsidRPr="0049631C" w:rsidTr="001E470F">
        <w:trPr>
          <w:trHeight w:val="110"/>
        </w:trPr>
        <w:tc>
          <w:tcPr>
            <w:tcW w:w="992" w:type="pc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0D73B5" w:rsidRPr="0049631C" w:rsidRDefault="000D73B5" w:rsidP="001E470F">
            <w:pPr>
              <w:spacing w:before="0" w:after="0"/>
              <w:jc w:val="left"/>
              <w:rPr>
                <w:rFonts w:ascii="Arial" w:hAnsi="Arial" w:cs="Arial"/>
                <w:sz w:val="20"/>
              </w:rPr>
            </w:pPr>
            <w:r w:rsidRPr="0049631C">
              <w:rPr>
                <w:rFonts w:ascii="Arial" w:hAnsi="Arial" w:cs="Arial"/>
                <w:bCs/>
                <w:sz w:val="20"/>
              </w:rPr>
              <w:t>Palestine Total</w:t>
            </w:r>
          </w:p>
        </w:tc>
        <w:tc>
          <w:tcPr>
            <w:tcW w:w="732" w:type="pct"/>
            <w:tcBorders>
              <w:top w:val="single" w:sz="4" w:space="0" w:color="auto"/>
              <w:left w:val="single" w:sz="4" w:space="0" w:color="auto"/>
              <w:bottom w:val="single" w:sz="4" w:space="0" w:color="auto"/>
              <w:right w:val="single" w:sz="4" w:space="0" w:color="auto"/>
            </w:tcBorders>
          </w:tcPr>
          <w:p w:rsidR="000D73B5" w:rsidRPr="0049631C" w:rsidRDefault="000D73B5" w:rsidP="001E470F">
            <w:pPr>
              <w:spacing w:before="0" w:after="0"/>
              <w:jc w:val="center"/>
              <w:rPr>
                <w:rFonts w:ascii="Arial" w:hAnsi="Arial" w:cs="Arial"/>
                <w:sz w:val="20"/>
              </w:rPr>
            </w:pPr>
            <w:r w:rsidRPr="0049631C">
              <w:rPr>
                <w:rFonts w:ascii="Arial" w:hAnsi="Arial" w:cs="Arial"/>
                <w:bCs/>
                <w:sz w:val="20"/>
              </w:rPr>
              <w:t>6,009 km2</w:t>
            </w:r>
          </w:p>
        </w:tc>
        <w:tc>
          <w:tcPr>
            <w:tcW w:w="993" w:type="pct"/>
            <w:tcBorders>
              <w:top w:val="single" w:sz="4" w:space="0" w:color="auto"/>
              <w:left w:val="single" w:sz="4" w:space="0" w:color="auto"/>
              <w:bottom w:val="single" w:sz="4" w:space="0" w:color="auto"/>
              <w:right w:val="single" w:sz="4" w:space="0" w:color="auto"/>
            </w:tcBorders>
          </w:tcPr>
          <w:p w:rsidR="000D73B5" w:rsidRPr="0049631C" w:rsidRDefault="000D73B5" w:rsidP="001E470F">
            <w:pPr>
              <w:spacing w:before="0" w:after="0"/>
              <w:jc w:val="center"/>
              <w:rPr>
                <w:rFonts w:ascii="Arial" w:hAnsi="Arial" w:cs="Arial"/>
                <w:sz w:val="20"/>
              </w:rPr>
            </w:pPr>
          </w:p>
        </w:tc>
        <w:tc>
          <w:tcPr>
            <w:tcW w:w="993" w:type="pct"/>
            <w:tcBorders>
              <w:top w:val="single" w:sz="4" w:space="0" w:color="auto"/>
              <w:left w:val="single" w:sz="4" w:space="0" w:color="auto"/>
              <w:bottom w:val="single" w:sz="4" w:space="0" w:color="auto"/>
              <w:right w:val="single" w:sz="4" w:space="0" w:color="auto"/>
            </w:tcBorders>
          </w:tcPr>
          <w:p w:rsidR="000D73B5" w:rsidRPr="0049631C" w:rsidRDefault="000D73B5" w:rsidP="001E470F">
            <w:pPr>
              <w:spacing w:before="0" w:after="0"/>
              <w:jc w:val="center"/>
              <w:rPr>
                <w:rFonts w:ascii="Arial" w:hAnsi="Arial" w:cs="Arial"/>
                <w:sz w:val="20"/>
              </w:rPr>
            </w:pPr>
            <w:r w:rsidRPr="0049631C">
              <w:rPr>
                <w:rFonts w:ascii="Arial" w:hAnsi="Arial" w:cs="Arial"/>
                <w:sz w:val="20"/>
              </w:rPr>
              <w:t>631</w:t>
            </w:r>
          </w:p>
        </w:tc>
        <w:tc>
          <w:tcPr>
            <w:tcW w:w="1290" w:type="pct"/>
            <w:gridSpan w:val="2"/>
            <w:tcBorders>
              <w:top w:val="single" w:sz="4" w:space="0" w:color="auto"/>
              <w:left w:val="single" w:sz="4" w:space="0" w:color="auto"/>
              <w:bottom w:val="single" w:sz="4" w:space="0" w:color="auto"/>
              <w:right w:val="single" w:sz="4" w:space="0" w:color="auto"/>
            </w:tcBorders>
          </w:tcPr>
          <w:p w:rsidR="000D73B5" w:rsidRPr="0049631C" w:rsidRDefault="000D73B5" w:rsidP="001E470F">
            <w:pPr>
              <w:spacing w:before="0" w:after="0"/>
              <w:jc w:val="center"/>
              <w:rPr>
                <w:rFonts w:ascii="Arial" w:hAnsi="Arial" w:cs="Arial"/>
                <w:sz w:val="20"/>
              </w:rPr>
            </w:pPr>
            <w:r w:rsidRPr="0049631C">
              <w:rPr>
                <w:rFonts w:ascii="Arial" w:hAnsi="Arial" w:cs="Arial"/>
                <w:bCs/>
                <w:sz w:val="20"/>
              </w:rPr>
              <w:t>633-874</w:t>
            </w:r>
          </w:p>
        </w:tc>
      </w:tr>
    </w:tbl>
    <w:p w:rsidR="000D73B5" w:rsidRPr="001E470F" w:rsidRDefault="000D73B5" w:rsidP="001E470F">
      <w:pPr>
        <w:spacing w:before="0" w:after="0"/>
        <w:jc w:val="center"/>
        <w:rPr>
          <w:rFonts w:ascii="Arial" w:hAnsi="Arial" w:cs="Arial"/>
          <w:i/>
        </w:rPr>
      </w:pPr>
      <w:r w:rsidRPr="001E470F">
        <w:rPr>
          <w:rFonts w:ascii="Arial" w:hAnsi="Arial" w:cs="Arial"/>
          <w:i/>
        </w:rPr>
        <w:t>*PWA assessment</w:t>
      </w:r>
    </w:p>
    <w:p w:rsidR="000D73B5" w:rsidRPr="001E470F" w:rsidRDefault="000D73B5" w:rsidP="001E470F">
      <w:pPr>
        <w:spacing w:before="0" w:after="0"/>
        <w:rPr>
          <w:rFonts w:ascii="Arial" w:hAnsi="Arial" w:cs="Arial"/>
          <w:sz w:val="22"/>
          <w:szCs w:val="22"/>
        </w:rPr>
      </w:pPr>
      <w:r w:rsidRPr="001E470F">
        <w:rPr>
          <w:rFonts w:ascii="Arial" w:hAnsi="Arial" w:cs="Arial"/>
          <w:sz w:val="22"/>
          <w:szCs w:val="22"/>
        </w:rPr>
        <w:t xml:space="preserve">There is one </w:t>
      </w:r>
      <w:r w:rsidRPr="001E470F">
        <w:rPr>
          <w:rFonts w:ascii="Arial" w:hAnsi="Arial" w:cs="Arial"/>
          <w:b/>
          <w:color w:val="1F497D" w:themeColor="text2"/>
          <w:sz w:val="22"/>
          <w:szCs w:val="22"/>
        </w:rPr>
        <w:t>seawater desalination plant</w:t>
      </w:r>
      <w:r w:rsidRPr="001E470F">
        <w:rPr>
          <w:rFonts w:ascii="Arial" w:hAnsi="Arial" w:cs="Arial"/>
          <w:sz w:val="22"/>
          <w:szCs w:val="22"/>
        </w:rPr>
        <w:t xml:space="preserve"> located in the middle area of Gaza Strip (</w:t>
      </w:r>
      <w:proofErr w:type="spellStart"/>
      <w:r w:rsidRPr="001E470F">
        <w:rPr>
          <w:rFonts w:ascii="Arial" w:hAnsi="Arial" w:cs="Arial"/>
          <w:sz w:val="22"/>
          <w:szCs w:val="22"/>
        </w:rPr>
        <w:t>Deir</w:t>
      </w:r>
      <w:proofErr w:type="spellEnd"/>
      <w:r w:rsidRPr="001E470F">
        <w:rPr>
          <w:rFonts w:ascii="Arial" w:hAnsi="Arial" w:cs="Arial"/>
          <w:sz w:val="22"/>
          <w:szCs w:val="22"/>
        </w:rPr>
        <w:t xml:space="preserve"> El </w:t>
      </w:r>
      <w:proofErr w:type="spellStart"/>
      <w:r w:rsidRPr="001E470F">
        <w:rPr>
          <w:rFonts w:ascii="Arial" w:hAnsi="Arial" w:cs="Arial"/>
          <w:sz w:val="22"/>
          <w:szCs w:val="22"/>
        </w:rPr>
        <w:t>Balah</w:t>
      </w:r>
      <w:proofErr w:type="spellEnd"/>
      <w:r w:rsidRPr="001E470F">
        <w:rPr>
          <w:rFonts w:ascii="Arial" w:hAnsi="Arial" w:cs="Arial"/>
          <w:sz w:val="22"/>
          <w:szCs w:val="22"/>
        </w:rPr>
        <w:t xml:space="preserve">) with a capacity of 600 m3/day by using two beach wells, that will be expanded to about 2000 m3/d by the year 2014. A large seawater desalination plant with a capacity of 50 Mm3/year, as a first phase, is scheduled to be constructed by year 2017 and to be located in the central part of Gaza Strip. In addition, there are 8 groundwater desalination plants operated by the CMWU in the southern parts of the Gaza Strip (Khan </w:t>
      </w:r>
      <w:proofErr w:type="spellStart"/>
      <w:r w:rsidRPr="001E470F">
        <w:rPr>
          <w:rFonts w:ascii="Arial" w:hAnsi="Arial" w:cs="Arial"/>
          <w:sz w:val="22"/>
          <w:szCs w:val="22"/>
        </w:rPr>
        <w:t>Younis</w:t>
      </w:r>
      <w:proofErr w:type="spellEnd"/>
      <w:r w:rsidRPr="001E470F">
        <w:rPr>
          <w:rFonts w:ascii="Arial" w:hAnsi="Arial" w:cs="Arial"/>
          <w:sz w:val="22"/>
          <w:szCs w:val="22"/>
        </w:rPr>
        <w:t xml:space="preserve">- </w:t>
      </w:r>
      <w:proofErr w:type="spellStart"/>
      <w:r w:rsidRPr="001E470F">
        <w:rPr>
          <w:rFonts w:ascii="Arial" w:hAnsi="Arial" w:cs="Arial"/>
          <w:sz w:val="22"/>
          <w:szCs w:val="22"/>
        </w:rPr>
        <w:t>Deir</w:t>
      </w:r>
      <w:proofErr w:type="spellEnd"/>
      <w:r w:rsidRPr="001E470F">
        <w:rPr>
          <w:rFonts w:ascii="Arial" w:hAnsi="Arial" w:cs="Arial"/>
          <w:sz w:val="22"/>
          <w:szCs w:val="22"/>
        </w:rPr>
        <w:t xml:space="preserve"> Al </w:t>
      </w:r>
      <w:proofErr w:type="spellStart"/>
      <w:r w:rsidRPr="001E470F">
        <w:rPr>
          <w:rFonts w:ascii="Arial" w:hAnsi="Arial" w:cs="Arial"/>
          <w:sz w:val="22"/>
          <w:szCs w:val="22"/>
        </w:rPr>
        <w:t>Balah</w:t>
      </w:r>
      <w:proofErr w:type="spellEnd"/>
      <w:r w:rsidRPr="001E470F">
        <w:rPr>
          <w:rFonts w:ascii="Arial" w:hAnsi="Arial" w:cs="Arial"/>
          <w:sz w:val="22"/>
          <w:szCs w:val="22"/>
        </w:rPr>
        <w:t xml:space="preserve"> and </w:t>
      </w:r>
      <w:proofErr w:type="spellStart"/>
      <w:r w:rsidRPr="001E470F">
        <w:rPr>
          <w:rFonts w:ascii="Arial" w:hAnsi="Arial" w:cs="Arial"/>
          <w:sz w:val="22"/>
          <w:szCs w:val="22"/>
        </w:rPr>
        <w:t>Rafah</w:t>
      </w:r>
      <w:proofErr w:type="spellEnd"/>
      <w:r w:rsidRPr="001E470F">
        <w:rPr>
          <w:rFonts w:ascii="Arial" w:hAnsi="Arial" w:cs="Arial"/>
          <w:sz w:val="22"/>
          <w:szCs w:val="22"/>
        </w:rPr>
        <w:t xml:space="preserve">) whose water is distributed through the domestic distribution networks, which is mixed with well water (total capacity of 1 Mm3/year). </w:t>
      </w:r>
      <w:r w:rsidRPr="001E470F">
        <w:rPr>
          <w:rFonts w:ascii="Arial" w:hAnsi="Arial" w:cs="Arial"/>
          <w:b/>
          <w:bCs/>
          <w:i/>
          <w:iCs/>
          <w:color w:val="0000FF"/>
          <w:sz w:val="22"/>
          <w:szCs w:val="22"/>
        </w:rPr>
        <w:t xml:space="preserve"> </w:t>
      </w:r>
      <w:r w:rsidRPr="001E470F">
        <w:rPr>
          <w:rFonts w:ascii="Arial" w:hAnsi="Arial" w:cs="Arial"/>
          <w:sz w:val="22"/>
          <w:szCs w:val="22"/>
        </w:rPr>
        <w:t xml:space="preserve">It must be noted that the desalinated seawater facilities impact significantly on the water tariff due to their high needs in energy. </w:t>
      </w:r>
    </w:p>
    <w:p w:rsidR="000D73B5" w:rsidRPr="001E470F" w:rsidRDefault="000D73B5" w:rsidP="001E470F">
      <w:pPr>
        <w:spacing w:before="0" w:after="0"/>
        <w:rPr>
          <w:rFonts w:ascii="Arial" w:hAnsi="Arial" w:cs="Arial"/>
          <w:sz w:val="22"/>
          <w:szCs w:val="22"/>
        </w:rPr>
      </w:pPr>
    </w:p>
    <w:p w:rsidR="000D73B5" w:rsidRPr="001E470F" w:rsidRDefault="000D73B5" w:rsidP="001E470F">
      <w:pPr>
        <w:spacing w:before="0" w:after="0"/>
        <w:rPr>
          <w:rFonts w:ascii="Arial" w:hAnsi="Arial" w:cs="Arial"/>
          <w:sz w:val="22"/>
          <w:szCs w:val="22"/>
        </w:rPr>
      </w:pPr>
      <w:r w:rsidRPr="001E470F">
        <w:rPr>
          <w:rFonts w:ascii="Arial" w:hAnsi="Arial" w:cs="Arial"/>
          <w:sz w:val="22"/>
          <w:szCs w:val="22"/>
        </w:rPr>
        <w:t xml:space="preserve">In the Gaza Strip there are about one hundred water vendors selling drinking water produced through </w:t>
      </w:r>
      <w:r w:rsidRPr="001E470F">
        <w:rPr>
          <w:rFonts w:ascii="Arial" w:hAnsi="Arial" w:cs="Arial"/>
          <w:b/>
          <w:color w:val="1F497D" w:themeColor="text2"/>
          <w:sz w:val="22"/>
          <w:szCs w:val="22"/>
        </w:rPr>
        <w:t>brackish water desalination plants</w:t>
      </w:r>
      <w:r w:rsidRPr="001E470F">
        <w:rPr>
          <w:rFonts w:ascii="Arial" w:hAnsi="Arial" w:cs="Arial"/>
          <w:sz w:val="22"/>
          <w:szCs w:val="22"/>
        </w:rPr>
        <w:t xml:space="preserve"> with a capacity of 20-40 m3/day and operated for 4-6 hours/day, with total supplied quantities of 2.8 Mm3/year. More than 80% of the Gaza people use this water for fulfilling their drinking and cooking water needs. The remaining 20% use in-house </w:t>
      </w:r>
      <w:r w:rsidRPr="001E470F">
        <w:rPr>
          <w:rFonts w:ascii="Arial" w:hAnsi="Arial" w:cs="Arial"/>
          <w:sz w:val="22"/>
          <w:szCs w:val="22"/>
        </w:rPr>
        <w:lastRenderedPageBreak/>
        <w:t>reverse osmosis units for desalination. Small pilot desalination projects for Brackish Water exist mainly in the Jordan Valley established by the private sector with a total capacity of less than 0.5 Mm3/year and are used mainly for agricultural purposes.</w:t>
      </w:r>
    </w:p>
    <w:p w:rsidR="000D73B5" w:rsidRPr="001E470F" w:rsidRDefault="000D73B5" w:rsidP="001E470F">
      <w:pPr>
        <w:spacing w:before="0" w:after="0"/>
        <w:rPr>
          <w:rFonts w:ascii="Arial" w:hAnsi="Arial" w:cs="Arial"/>
          <w:sz w:val="22"/>
          <w:szCs w:val="22"/>
        </w:rPr>
      </w:pPr>
    </w:p>
    <w:p w:rsidR="000D73B5" w:rsidRPr="001E470F" w:rsidRDefault="000D73B5" w:rsidP="001E470F">
      <w:pPr>
        <w:spacing w:before="0" w:after="0"/>
        <w:rPr>
          <w:rFonts w:ascii="Arial" w:hAnsi="Arial" w:cs="Arial"/>
          <w:sz w:val="22"/>
          <w:szCs w:val="22"/>
        </w:rPr>
      </w:pPr>
      <w:r w:rsidRPr="001E470F">
        <w:rPr>
          <w:rFonts w:ascii="Arial" w:hAnsi="Arial" w:cs="Arial"/>
          <w:sz w:val="22"/>
          <w:szCs w:val="22"/>
        </w:rPr>
        <w:t xml:space="preserve">The </w:t>
      </w:r>
      <w:r w:rsidRPr="001E470F">
        <w:rPr>
          <w:rFonts w:ascii="Arial" w:hAnsi="Arial" w:cs="Arial"/>
          <w:b/>
          <w:color w:val="1F497D" w:themeColor="text2"/>
          <w:sz w:val="22"/>
          <w:szCs w:val="22"/>
        </w:rPr>
        <w:t>reuse of treated wastewater</w:t>
      </w:r>
      <w:r w:rsidRPr="001E470F">
        <w:rPr>
          <w:rFonts w:ascii="Arial" w:hAnsi="Arial" w:cs="Arial"/>
          <w:sz w:val="22"/>
          <w:szCs w:val="22"/>
        </w:rPr>
        <w:t xml:space="preserve"> remains up to now as small pilot projects in scattered areas with total reuse quantities of around 1 Mm3/ year. There are very few activities or projects for reuse (small scale projects on community level are implemented such as Anza, </w:t>
      </w:r>
      <w:proofErr w:type="spellStart"/>
      <w:r w:rsidRPr="001E470F">
        <w:rPr>
          <w:rFonts w:ascii="Arial" w:hAnsi="Arial" w:cs="Arial"/>
          <w:sz w:val="22"/>
          <w:szCs w:val="22"/>
        </w:rPr>
        <w:t>Attil</w:t>
      </w:r>
      <w:proofErr w:type="spellEnd"/>
      <w:r w:rsidRPr="001E470F">
        <w:rPr>
          <w:rFonts w:ascii="Arial" w:hAnsi="Arial" w:cs="Arial"/>
          <w:sz w:val="22"/>
          <w:szCs w:val="22"/>
        </w:rPr>
        <w:t xml:space="preserve">, </w:t>
      </w:r>
      <w:proofErr w:type="spellStart"/>
      <w:r w:rsidRPr="001E470F">
        <w:rPr>
          <w:rFonts w:ascii="Arial" w:hAnsi="Arial" w:cs="Arial"/>
          <w:sz w:val="22"/>
          <w:szCs w:val="22"/>
        </w:rPr>
        <w:t>Kharas</w:t>
      </w:r>
      <w:proofErr w:type="spellEnd"/>
      <w:r w:rsidRPr="001E470F">
        <w:rPr>
          <w:rFonts w:ascii="Arial" w:hAnsi="Arial" w:cs="Arial"/>
          <w:sz w:val="22"/>
          <w:szCs w:val="22"/>
        </w:rPr>
        <w:t>). Additional water resources will become available through the scheduled developments of wastewater treatment plants and this potential resource could be relatively large, but its development raises some important issues that are yet to be resolved.</w:t>
      </w:r>
    </w:p>
    <w:p w:rsidR="000D73B5" w:rsidRPr="001E470F" w:rsidRDefault="000D73B5" w:rsidP="001E470F">
      <w:pPr>
        <w:spacing w:before="0" w:after="0"/>
        <w:rPr>
          <w:rFonts w:ascii="Arial" w:hAnsi="Arial" w:cs="Arial"/>
          <w:sz w:val="22"/>
          <w:szCs w:val="22"/>
        </w:rPr>
      </w:pPr>
    </w:p>
    <w:p w:rsidR="000D73B5" w:rsidRPr="001E470F" w:rsidRDefault="000D73B5" w:rsidP="001E470F">
      <w:pPr>
        <w:spacing w:before="0" w:after="0"/>
        <w:rPr>
          <w:rFonts w:ascii="Arial" w:hAnsi="Arial" w:cs="Arial"/>
          <w:sz w:val="22"/>
          <w:szCs w:val="22"/>
        </w:rPr>
      </w:pPr>
      <w:r w:rsidRPr="001E470F">
        <w:rPr>
          <w:rFonts w:ascii="Arial" w:hAnsi="Arial" w:cs="Arial"/>
          <w:sz w:val="22"/>
          <w:szCs w:val="22"/>
        </w:rPr>
        <w:t xml:space="preserve">Water </w:t>
      </w:r>
      <w:r w:rsidRPr="001E470F">
        <w:rPr>
          <w:rFonts w:ascii="Arial" w:hAnsi="Arial" w:cs="Arial"/>
          <w:b/>
          <w:color w:val="1F497D" w:themeColor="text2"/>
          <w:sz w:val="22"/>
          <w:szCs w:val="22"/>
        </w:rPr>
        <w:t>resources availability</w:t>
      </w:r>
      <w:r w:rsidRPr="001E470F">
        <w:rPr>
          <w:rFonts w:ascii="Arial" w:hAnsi="Arial" w:cs="Arial"/>
          <w:sz w:val="22"/>
          <w:szCs w:val="22"/>
        </w:rPr>
        <w:t xml:space="preserve"> between West Bank-Gaza (WBG) and Israel shows a large discrepancy, with fresh water per capita in Israel about four times that of WBG</w:t>
      </w:r>
      <w:r w:rsidRPr="001E470F">
        <w:rPr>
          <w:rStyle w:val="Rimandonotaapidipagina"/>
          <w:rFonts w:ascii="Arial" w:hAnsi="Arial" w:cs="Arial"/>
          <w:sz w:val="22"/>
          <w:szCs w:val="22"/>
        </w:rPr>
        <w:footnoteReference w:id="30"/>
      </w:r>
      <w:r w:rsidRPr="001E470F">
        <w:rPr>
          <w:rFonts w:ascii="Arial" w:hAnsi="Arial" w:cs="Arial"/>
          <w:sz w:val="22"/>
          <w:szCs w:val="22"/>
        </w:rPr>
        <w:t>. Whereas Israel is known for efficient water infrastructure and management, Palestinians are struggling to attain the most basic level of infrastructure and services of a low-income country. In the Gaza Strip, scarcity and overuse reach critical levels which result in the intrusion of seawater into the Coastal Aquifers and a consequent deterioration in water quality. The West Bank, with groundwater abstraction being within sustainable limits, suffers from the uneven distribution of water between the Palestine, Israeli settlements and green-line Israel, rather than from absolute water scarcity.</w:t>
      </w:r>
    </w:p>
    <w:p w:rsidR="000D73B5" w:rsidRPr="001E470F" w:rsidRDefault="000D73B5" w:rsidP="001E470F">
      <w:pPr>
        <w:spacing w:before="0" w:after="0"/>
        <w:rPr>
          <w:rFonts w:ascii="Arial" w:eastAsiaTheme="minorEastAsia" w:hAnsi="Arial" w:cs="Arial"/>
          <w:color w:val="000000"/>
          <w:sz w:val="22"/>
          <w:szCs w:val="22"/>
          <w:lang w:eastAsia="ja-JP"/>
        </w:rPr>
      </w:pPr>
    </w:p>
    <w:p w:rsidR="000D73B5" w:rsidRPr="001E470F" w:rsidRDefault="000D73B5" w:rsidP="001E470F">
      <w:pPr>
        <w:spacing w:before="0" w:after="0"/>
        <w:rPr>
          <w:rFonts w:ascii="Arial" w:eastAsiaTheme="minorEastAsia" w:hAnsi="Arial" w:cs="Arial"/>
          <w:color w:val="000000"/>
          <w:sz w:val="22"/>
          <w:szCs w:val="22"/>
          <w:lang w:eastAsia="ja-JP"/>
        </w:rPr>
      </w:pPr>
      <w:r w:rsidRPr="001E470F">
        <w:rPr>
          <w:rFonts w:ascii="Arial" w:eastAsiaTheme="minorEastAsia" w:hAnsi="Arial" w:cs="Arial"/>
          <w:color w:val="000000"/>
          <w:sz w:val="22"/>
          <w:szCs w:val="22"/>
          <w:lang w:eastAsia="ja-JP"/>
        </w:rPr>
        <w:t>Currently, Israel consumes about 2,000 MCM of water for all uses</w:t>
      </w:r>
      <w:r w:rsidRPr="001E470F">
        <w:rPr>
          <w:rStyle w:val="Rimandonotaapidipagina"/>
          <w:rFonts w:ascii="Arial" w:eastAsiaTheme="minorEastAsia" w:hAnsi="Arial" w:cs="Arial"/>
          <w:color w:val="000000"/>
          <w:sz w:val="22"/>
          <w:szCs w:val="22"/>
          <w:lang w:eastAsia="ja-JP"/>
        </w:rPr>
        <w:footnoteReference w:id="31"/>
      </w:r>
      <w:r w:rsidRPr="001E470F">
        <w:rPr>
          <w:rFonts w:ascii="Arial" w:eastAsiaTheme="minorEastAsia" w:hAnsi="Arial" w:cs="Arial"/>
          <w:sz w:val="22"/>
          <w:szCs w:val="22"/>
          <w:lang w:eastAsia="ja-JP"/>
        </w:rPr>
        <w:t xml:space="preserve"> </w:t>
      </w:r>
      <w:r w:rsidRPr="001E470F">
        <w:rPr>
          <w:rFonts w:ascii="Arial" w:eastAsiaTheme="minorEastAsia" w:hAnsi="Arial" w:cs="Arial"/>
          <w:color w:val="000000"/>
          <w:sz w:val="22"/>
          <w:szCs w:val="22"/>
          <w:lang w:eastAsia="ja-JP"/>
        </w:rPr>
        <w:t xml:space="preserve">when only 1,700 Mm3 are available. This generates an annual water deficit of 300 Mm3 that is essentially covered by the overexploitation of aquifers and the River Jordan. This overexploitation of the aquifers produces a progressive </w:t>
      </w:r>
      <w:proofErr w:type="spellStart"/>
      <w:r w:rsidRPr="001E470F">
        <w:rPr>
          <w:rFonts w:ascii="Arial" w:eastAsiaTheme="minorEastAsia" w:hAnsi="Arial" w:cs="Arial"/>
          <w:color w:val="000000"/>
          <w:sz w:val="22"/>
          <w:szCs w:val="22"/>
          <w:lang w:eastAsia="ja-JP"/>
        </w:rPr>
        <w:t>salination</w:t>
      </w:r>
      <w:proofErr w:type="spellEnd"/>
      <w:r w:rsidRPr="001E470F">
        <w:rPr>
          <w:rFonts w:ascii="Arial" w:eastAsiaTheme="minorEastAsia" w:hAnsi="Arial" w:cs="Arial"/>
          <w:color w:val="000000"/>
          <w:sz w:val="22"/>
          <w:szCs w:val="22"/>
          <w:lang w:eastAsia="ja-JP"/>
        </w:rPr>
        <w:t xml:space="preserve"> process and will probably be accentuated in the future as a consequence of the continuous water abstraction for consumption.  The West Bank controls and consumes about 20% of groundwater resources (138 Mm3), while Israel controls approximately 80% of these resources (562 Mm3) to meet 25% of its water needs. </w:t>
      </w:r>
    </w:p>
    <w:p w:rsidR="000D73B5" w:rsidRPr="001E470F" w:rsidRDefault="000D73B5" w:rsidP="001E470F">
      <w:pPr>
        <w:spacing w:before="0" w:after="0"/>
        <w:rPr>
          <w:rFonts w:ascii="Arial" w:eastAsiaTheme="minorEastAsia" w:hAnsi="Arial" w:cs="Arial"/>
          <w:color w:val="000000"/>
          <w:sz w:val="22"/>
          <w:szCs w:val="22"/>
          <w:lang w:eastAsia="ja-JP"/>
        </w:rPr>
      </w:pPr>
    </w:p>
    <w:p w:rsidR="000D73B5" w:rsidRDefault="000D73B5" w:rsidP="001E470F">
      <w:pPr>
        <w:spacing w:before="0" w:after="0"/>
        <w:rPr>
          <w:rFonts w:ascii="Arial" w:hAnsi="Arial" w:cs="Arial"/>
          <w:sz w:val="22"/>
          <w:szCs w:val="22"/>
        </w:rPr>
      </w:pPr>
      <w:r w:rsidRPr="001E470F">
        <w:rPr>
          <w:rFonts w:ascii="Arial" w:eastAsiaTheme="minorEastAsia" w:hAnsi="Arial" w:cs="Arial"/>
          <w:color w:val="000000"/>
          <w:sz w:val="22"/>
          <w:szCs w:val="22"/>
          <w:lang w:eastAsia="ja-JP"/>
        </w:rPr>
        <w:t>This imbalance is reflected in the per capita water consumption. In the West Bank the water available per capita range around 103 l/inhabitant/day</w:t>
      </w:r>
      <w:r w:rsidRPr="001E470F">
        <w:rPr>
          <w:rStyle w:val="Rimandonotaapidipagina"/>
          <w:rFonts w:ascii="Arial" w:eastAsiaTheme="minorEastAsia" w:hAnsi="Arial" w:cs="Arial"/>
          <w:color w:val="000000"/>
          <w:sz w:val="22"/>
          <w:szCs w:val="22"/>
          <w:lang w:eastAsia="ja-JP"/>
        </w:rPr>
        <w:footnoteReference w:id="32"/>
      </w:r>
      <w:r w:rsidRPr="001E470F">
        <w:rPr>
          <w:rFonts w:ascii="Arial" w:eastAsiaTheme="minorEastAsia" w:hAnsi="Arial" w:cs="Arial"/>
          <w:color w:val="000000"/>
          <w:sz w:val="22"/>
          <w:szCs w:val="22"/>
          <w:lang w:eastAsia="ja-JP"/>
        </w:rPr>
        <w:t xml:space="preserve"> and Israel consumes approximately 293 l/inhabitant/day. </w:t>
      </w:r>
      <w:r w:rsidRPr="001E470F">
        <w:rPr>
          <w:rFonts w:ascii="Arial" w:hAnsi="Arial" w:cs="Arial"/>
          <w:sz w:val="22"/>
          <w:szCs w:val="22"/>
        </w:rPr>
        <w:t>Inadequate maintenance of municipal water systems has led to the deterioration of water services and some parts of the Palestinian population therefore rely on tankers to deliver water. This water does not necessarily meet the required water quality standards, despite increasing water prices.</w:t>
      </w:r>
    </w:p>
    <w:p w:rsidR="00DE2A81" w:rsidRPr="001E470F" w:rsidRDefault="00DE2A81" w:rsidP="001E470F">
      <w:pPr>
        <w:spacing w:before="0" w:after="0"/>
        <w:rPr>
          <w:rFonts w:ascii="Arial" w:eastAsiaTheme="minorEastAsia" w:hAnsi="Arial" w:cs="Arial"/>
          <w:color w:val="000000"/>
          <w:sz w:val="22"/>
          <w:szCs w:val="22"/>
          <w:lang w:eastAsia="ja-JP"/>
        </w:rPr>
      </w:pPr>
    </w:p>
    <w:p w:rsidR="00DE2A81" w:rsidRPr="00DE2A81" w:rsidRDefault="00DE2A81" w:rsidP="00DE2A81">
      <w:pPr>
        <w:spacing w:before="0" w:after="0"/>
        <w:jc w:val="center"/>
        <w:rPr>
          <w:rFonts w:ascii="Arial" w:hAnsi="Arial" w:cs="Arial"/>
          <w:b/>
          <w:color w:val="1F497D" w:themeColor="text2"/>
          <w:sz w:val="20"/>
        </w:rPr>
      </w:pPr>
      <w:r w:rsidRPr="00DE2A81">
        <w:rPr>
          <w:rFonts w:ascii="Arial" w:hAnsi="Arial" w:cs="Arial"/>
          <w:b/>
          <w:color w:val="1F497D" w:themeColor="text2"/>
          <w:sz w:val="20"/>
        </w:rPr>
        <w:t>Table 4: WATSAN facilities coverage (2011) and national targets (2013)</w:t>
      </w:r>
    </w:p>
    <w:tbl>
      <w:tblPr>
        <w:tblStyle w:val="Grigliatabella"/>
        <w:tblW w:w="5000" w:type="pct"/>
        <w:tblBorders>
          <w:top w:val="single" w:sz="12" w:space="0" w:color="1F497D" w:themeColor="text2"/>
          <w:left w:val="single" w:sz="12" w:space="0" w:color="1F497D" w:themeColor="text2"/>
          <w:bottom w:val="single" w:sz="12" w:space="0" w:color="1F497D" w:themeColor="text2"/>
          <w:right w:val="single" w:sz="12" w:space="0" w:color="1F497D" w:themeColor="text2"/>
          <w:insideH w:val="single" w:sz="6" w:space="0" w:color="1F497D" w:themeColor="text2"/>
          <w:insideV w:val="single" w:sz="6" w:space="0" w:color="1F497D" w:themeColor="text2"/>
        </w:tblBorders>
        <w:tblLook w:val="04A0"/>
      </w:tblPr>
      <w:tblGrid>
        <w:gridCol w:w="6267"/>
        <w:gridCol w:w="1803"/>
        <w:gridCol w:w="1784"/>
      </w:tblGrid>
      <w:tr w:rsidR="00DE2A81" w:rsidRPr="00DE2A81" w:rsidTr="00A85671">
        <w:trPr>
          <w:trHeight w:val="286"/>
        </w:trPr>
        <w:tc>
          <w:tcPr>
            <w:tcW w:w="3180" w:type="pct"/>
            <w:tcBorders>
              <w:bottom w:val="single" w:sz="6" w:space="0" w:color="1F497D" w:themeColor="text2"/>
            </w:tcBorders>
            <w:shd w:val="clear" w:color="auto" w:fill="1F497D" w:themeFill="text2"/>
          </w:tcPr>
          <w:p w:rsidR="00DE2A81" w:rsidRPr="00DE2A81" w:rsidRDefault="00DE2A81" w:rsidP="00DE2A81">
            <w:pPr>
              <w:spacing w:before="0" w:after="0"/>
              <w:contextualSpacing/>
              <w:jc w:val="center"/>
              <w:rPr>
                <w:rFonts w:ascii="Arial" w:hAnsi="Arial" w:cs="Arial"/>
                <w:b/>
                <w:color w:val="FFFFFF" w:themeColor="background1"/>
                <w:sz w:val="20"/>
                <w:lang w:val="en-GB"/>
              </w:rPr>
            </w:pPr>
            <w:r w:rsidRPr="00DE2A81">
              <w:rPr>
                <w:rFonts w:ascii="Arial" w:hAnsi="Arial" w:cs="Arial"/>
                <w:b/>
                <w:color w:val="FFFFFF" w:themeColor="background1"/>
                <w:sz w:val="20"/>
                <w:lang w:val="en-GB"/>
              </w:rPr>
              <w:t>Indicator</w:t>
            </w:r>
          </w:p>
        </w:tc>
        <w:tc>
          <w:tcPr>
            <w:tcW w:w="915" w:type="pct"/>
            <w:tcBorders>
              <w:bottom w:val="single" w:sz="6" w:space="0" w:color="1F497D" w:themeColor="text2"/>
            </w:tcBorders>
            <w:shd w:val="clear" w:color="auto" w:fill="1F497D" w:themeFill="text2"/>
          </w:tcPr>
          <w:p w:rsidR="00DE2A81" w:rsidRPr="00DE2A81" w:rsidRDefault="00DE2A81" w:rsidP="00DE2A81">
            <w:pPr>
              <w:spacing w:before="0" w:after="0"/>
              <w:contextualSpacing/>
              <w:jc w:val="center"/>
              <w:rPr>
                <w:rFonts w:ascii="Arial" w:hAnsi="Arial" w:cs="Arial"/>
                <w:b/>
                <w:color w:val="FFFFFF" w:themeColor="background1"/>
                <w:sz w:val="20"/>
                <w:lang w:val="en-GB"/>
              </w:rPr>
            </w:pPr>
            <w:r w:rsidRPr="00DE2A81">
              <w:rPr>
                <w:rFonts w:ascii="Arial" w:hAnsi="Arial" w:cs="Arial"/>
                <w:b/>
                <w:color w:val="FFFFFF" w:themeColor="background1"/>
                <w:sz w:val="20"/>
                <w:lang w:val="en-GB"/>
              </w:rPr>
              <w:t>2011</w:t>
            </w:r>
          </w:p>
        </w:tc>
        <w:tc>
          <w:tcPr>
            <w:tcW w:w="905" w:type="pct"/>
            <w:tcBorders>
              <w:bottom w:val="single" w:sz="6" w:space="0" w:color="1F497D" w:themeColor="text2"/>
            </w:tcBorders>
            <w:shd w:val="clear" w:color="auto" w:fill="1F497D" w:themeFill="text2"/>
          </w:tcPr>
          <w:p w:rsidR="00DE2A81" w:rsidRPr="00DE2A81" w:rsidRDefault="00DE2A81" w:rsidP="00DE2A81">
            <w:pPr>
              <w:spacing w:before="0" w:after="0"/>
              <w:contextualSpacing/>
              <w:jc w:val="center"/>
              <w:rPr>
                <w:rFonts w:ascii="Arial" w:hAnsi="Arial" w:cs="Arial"/>
                <w:b/>
                <w:color w:val="FFFFFF" w:themeColor="background1"/>
                <w:sz w:val="20"/>
                <w:lang w:val="en-GB"/>
              </w:rPr>
            </w:pPr>
            <w:r w:rsidRPr="00DE2A81">
              <w:rPr>
                <w:rFonts w:ascii="Arial" w:hAnsi="Arial" w:cs="Arial"/>
                <w:b/>
                <w:color w:val="FFFFFF" w:themeColor="background1"/>
                <w:sz w:val="20"/>
                <w:lang w:val="en-GB"/>
              </w:rPr>
              <w:t>2013 Targets</w:t>
            </w:r>
          </w:p>
        </w:tc>
      </w:tr>
      <w:tr w:rsidR="00DE2A81" w:rsidRPr="00DE2A81" w:rsidTr="00A85671">
        <w:trPr>
          <w:trHeight w:val="267"/>
        </w:trPr>
        <w:tc>
          <w:tcPr>
            <w:tcW w:w="3180" w:type="pct"/>
            <w:tcBorders>
              <w:top w:val="single" w:sz="6" w:space="0" w:color="1F497D" w:themeColor="text2"/>
              <w:bottom w:val="single" w:sz="6" w:space="0" w:color="1F497D" w:themeColor="text2"/>
              <w:right w:val="nil"/>
            </w:tcBorders>
            <w:vAlign w:val="center"/>
          </w:tcPr>
          <w:p w:rsidR="00DE2A81" w:rsidRPr="00DE2A81" w:rsidRDefault="00DE2A81" w:rsidP="00DE2A81">
            <w:pPr>
              <w:spacing w:before="0" w:after="0"/>
              <w:contextualSpacing/>
              <w:rPr>
                <w:rFonts w:ascii="Arial" w:hAnsi="Arial" w:cs="Arial"/>
                <w:sz w:val="20"/>
                <w:lang w:val="en-GB"/>
              </w:rPr>
            </w:pPr>
            <w:r w:rsidRPr="00DE2A81">
              <w:rPr>
                <w:rFonts w:ascii="Arial" w:hAnsi="Arial" w:cs="Arial"/>
                <w:sz w:val="20"/>
                <w:lang w:val="en-GB"/>
              </w:rPr>
              <w:t>% of households connected to clean water supply</w:t>
            </w:r>
          </w:p>
        </w:tc>
        <w:tc>
          <w:tcPr>
            <w:tcW w:w="915" w:type="pct"/>
            <w:tcBorders>
              <w:top w:val="single" w:sz="6" w:space="0" w:color="1F497D" w:themeColor="text2"/>
              <w:left w:val="nil"/>
              <w:bottom w:val="single" w:sz="6" w:space="0" w:color="1F497D" w:themeColor="text2"/>
              <w:right w:val="nil"/>
            </w:tcBorders>
            <w:vAlign w:val="center"/>
          </w:tcPr>
          <w:p w:rsidR="00DE2A81" w:rsidRPr="00DE2A81" w:rsidRDefault="00DE2A81" w:rsidP="00DE2A81">
            <w:pPr>
              <w:spacing w:before="0" w:after="0"/>
              <w:contextualSpacing/>
              <w:jc w:val="center"/>
              <w:rPr>
                <w:rFonts w:ascii="Arial" w:hAnsi="Arial" w:cs="Arial"/>
                <w:sz w:val="20"/>
                <w:lang w:val="en-GB"/>
              </w:rPr>
            </w:pPr>
            <w:r w:rsidRPr="00DE2A81">
              <w:rPr>
                <w:rFonts w:ascii="Arial" w:hAnsi="Arial" w:cs="Arial"/>
                <w:sz w:val="20"/>
                <w:lang w:val="en-GB"/>
              </w:rPr>
              <w:t>88.4%</w:t>
            </w:r>
          </w:p>
        </w:tc>
        <w:tc>
          <w:tcPr>
            <w:tcW w:w="905" w:type="pct"/>
            <w:tcBorders>
              <w:top w:val="single" w:sz="6" w:space="0" w:color="1F497D" w:themeColor="text2"/>
              <w:left w:val="nil"/>
              <w:bottom w:val="single" w:sz="6" w:space="0" w:color="1F497D" w:themeColor="text2"/>
            </w:tcBorders>
            <w:vAlign w:val="center"/>
          </w:tcPr>
          <w:p w:rsidR="00DE2A81" w:rsidRPr="00DE2A81" w:rsidRDefault="00DE2A81" w:rsidP="00DE2A81">
            <w:pPr>
              <w:spacing w:before="0" w:after="0"/>
              <w:contextualSpacing/>
              <w:jc w:val="center"/>
              <w:rPr>
                <w:rFonts w:ascii="Arial" w:hAnsi="Arial" w:cs="Arial"/>
                <w:sz w:val="20"/>
                <w:lang w:val="en-GB"/>
              </w:rPr>
            </w:pPr>
            <w:r w:rsidRPr="00DE2A81">
              <w:rPr>
                <w:rFonts w:ascii="Arial" w:hAnsi="Arial" w:cs="Arial"/>
                <w:sz w:val="20"/>
                <w:lang w:val="en-GB"/>
              </w:rPr>
              <w:t>95%</w:t>
            </w:r>
          </w:p>
        </w:tc>
      </w:tr>
      <w:tr w:rsidR="00DE2A81" w:rsidRPr="00DE2A81" w:rsidTr="00A85671">
        <w:trPr>
          <w:trHeight w:val="267"/>
        </w:trPr>
        <w:tc>
          <w:tcPr>
            <w:tcW w:w="3180" w:type="pct"/>
            <w:tcBorders>
              <w:top w:val="single" w:sz="6" w:space="0" w:color="1F497D" w:themeColor="text2"/>
              <w:bottom w:val="single" w:sz="6" w:space="0" w:color="1F497D" w:themeColor="text2"/>
              <w:right w:val="nil"/>
            </w:tcBorders>
            <w:vAlign w:val="center"/>
          </w:tcPr>
          <w:p w:rsidR="00DE2A81" w:rsidRPr="00DE2A81" w:rsidRDefault="00DE2A81" w:rsidP="00DE2A81">
            <w:pPr>
              <w:spacing w:before="0" w:after="0"/>
              <w:contextualSpacing/>
              <w:rPr>
                <w:rFonts w:ascii="Arial" w:hAnsi="Arial" w:cs="Arial"/>
                <w:sz w:val="20"/>
                <w:lang w:val="en-GB"/>
              </w:rPr>
            </w:pPr>
            <w:r w:rsidRPr="00DE2A81">
              <w:rPr>
                <w:rFonts w:ascii="Arial" w:hAnsi="Arial" w:cs="Arial"/>
                <w:sz w:val="20"/>
                <w:lang w:val="en-GB"/>
              </w:rPr>
              <w:t>Per capita water consumption (litres/day)</w:t>
            </w:r>
          </w:p>
        </w:tc>
        <w:tc>
          <w:tcPr>
            <w:tcW w:w="915" w:type="pct"/>
            <w:tcBorders>
              <w:top w:val="single" w:sz="6" w:space="0" w:color="1F497D" w:themeColor="text2"/>
              <w:left w:val="nil"/>
              <w:bottom w:val="single" w:sz="6" w:space="0" w:color="1F497D" w:themeColor="text2"/>
              <w:right w:val="nil"/>
            </w:tcBorders>
            <w:vAlign w:val="center"/>
          </w:tcPr>
          <w:p w:rsidR="00DE2A81" w:rsidRPr="00DE2A81" w:rsidRDefault="00DE2A81" w:rsidP="00DE2A81">
            <w:pPr>
              <w:spacing w:before="0" w:after="0"/>
              <w:contextualSpacing/>
              <w:jc w:val="center"/>
              <w:rPr>
                <w:rFonts w:ascii="Arial" w:hAnsi="Arial" w:cs="Arial"/>
                <w:sz w:val="20"/>
                <w:lang w:val="en-GB"/>
              </w:rPr>
            </w:pPr>
            <w:r w:rsidRPr="00DE2A81">
              <w:rPr>
                <w:rFonts w:ascii="Arial" w:hAnsi="Arial" w:cs="Arial"/>
                <w:sz w:val="20"/>
                <w:lang w:val="en-GB"/>
              </w:rPr>
              <w:t>80</w:t>
            </w:r>
          </w:p>
        </w:tc>
        <w:tc>
          <w:tcPr>
            <w:tcW w:w="905" w:type="pct"/>
            <w:tcBorders>
              <w:top w:val="single" w:sz="6" w:space="0" w:color="1F497D" w:themeColor="text2"/>
              <w:left w:val="nil"/>
              <w:bottom w:val="single" w:sz="6" w:space="0" w:color="1F497D" w:themeColor="text2"/>
            </w:tcBorders>
            <w:vAlign w:val="center"/>
          </w:tcPr>
          <w:p w:rsidR="00DE2A81" w:rsidRPr="00DE2A81" w:rsidRDefault="00DE2A81" w:rsidP="00DE2A81">
            <w:pPr>
              <w:spacing w:before="0" w:after="0"/>
              <w:contextualSpacing/>
              <w:jc w:val="center"/>
              <w:rPr>
                <w:rFonts w:ascii="Arial" w:hAnsi="Arial" w:cs="Arial"/>
                <w:sz w:val="20"/>
                <w:lang w:val="en-GB"/>
              </w:rPr>
            </w:pPr>
            <w:r w:rsidRPr="00DE2A81">
              <w:rPr>
                <w:rFonts w:ascii="Arial" w:hAnsi="Arial" w:cs="Arial"/>
                <w:sz w:val="20"/>
                <w:lang w:val="en-GB"/>
              </w:rPr>
              <w:t>84</w:t>
            </w:r>
          </w:p>
        </w:tc>
      </w:tr>
      <w:tr w:rsidR="00DE2A81" w:rsidRPr="00DE2A81" w:rsidTr="00A85671">
        <w:trPr>
          <w:trHeight w:val="286"/>
        </w:trPr>
        <w:tc>
          <w:tcPr>
            <w:tcW w:w="3180" w:type="pct"/>
            <w:tcBorders>
              <w:top w:val="single" w:sz="6" w:space="0" w:color="1F497D" w:themeColor="text2"/>
              <w:bottom w:val="single" w:sz="6" w:space="0" w:color="1F497D" w:themeColor="text2"/>
              <w:right w:val="nil"/>
            </w:tcBorders>
            <w:vAlign w:val="center"/>
          </w:tcPr>
          <w:p w:rsidR="00DE2A81" w:rsidRPr="00DE2A81" w:rsidRDefault="00DE2A81" w:rsidP="00DE2A81">
            <w:pPr>
              <w:spacing w:before="0" w:after="0"/>
              <w:contextualSpacing/>
              <w:rPr>
                <w:rFonts w:ascii="Arial" w:hAnsi="Arial" w:cs="Arial"/>
                <w:sz w:val="20"/>
                <w:lang w:val="en-GB"/>
              </w:rPr>
            </w:pPr>
            <w:r w:rsidRPr="00DE2A81">
              <w:rPr>
                <w:rFonts w:ascii="Arial" w:hAnsi="Arial" w:cs="Arial"/>
                <w:sz w:val="20"/>
                <w:lang w:val="en-GB"/>
              </w:rPr>
              <w:t>% of households connected to sewage network – WB/GS</w:t>
            </w:r>
          </w:p>
        </w:tc>
        <w:tc>
          <w:tcPr>
            <w:tcW w:w="915" w:type="pct"/>
            <w:tcBorders>
              <w:top w:val="single" w:sz="6" w:space="0" w:color="1F497D" w:themeColor="text2"/>
              <w:left w:val="nil"/>
              <w:bottom w:val="single" w:sz="6" w:space="0" w:color="1F497D" w:themeColor="text2"/>
              <w:right w:val="nil"/>
            </w:tcBorders>
            <w:vAlign w:val="center"/>
          </w:tcPr>
          <w:p w:rsidR="00DE2A81" w:rsidRPr="00DE2A81" w:rsidRDefault="00DE2A81" w:rsidP="00DE2A81">
            <w:pPr>
              <w:spacing w:before="0" w:after="0"/>
              <w:contextualSpacing/>
              <w:jc w:val="center"/>
              <w:rPr>
                <w:rFonts w:ascii="Arial" w:hAnsi="Arial" w:cs="Arial"/>
                <w:sz w:val="20"/>
                <w:lang w:val="en-GB"/>
              </w:rPr>
            </w:pPr>
            <w:r w:rsidRPr="00DE2A81">
              <w:rPr>
                <w:rFonts w:ascii="Arial" w:hAnsi="Arial" w:cs="Arial"/>
                <w:sz w:val="20"/>
                <w:lang w:val="en-GB"/>
              </w:rPr>
              <w:t>35,5% / 83,3%</w:t>
            </w:r>
          </w:p>
        </w:tc>
        <w:tc>
          <w:tcPr>
            <w:tcW w:w="905" w:type="pct"/>
            <w:tcBorders>
              <w:top w:val="single" w:sz="6" w:space="0" w:color="1F497D" w:themeColor="text2"/>
              <w:left w:val="nil"/>
              <w:bottom w:val="single" w:sz="6" w:space="0" w:color="1F497D" w:themeColor="text2"/>
            </w:tcBorders>
            <w:vAlign w:val="center"/>
          </w:tcPr>
          <w:p w:rsidR="00DE2A81" w:rsidRPr="00DE2A81" w:rsidRDefault="00DE2A81" w:rsidP="00DE2A81">
            <w:pPr>
              <w:spacing w:before="0" w:after="0"/>
              <w:contextualSpacing/>
              <w:jc w:val="center"/>
              <w:rPr>
                <w:rFonts w:ascii="Arial" w:hAnsi="Arial" w:cs="Arial"/>
                <w:sz w:val="20"/>
                <w:lang w:val="en-GB"/>
              </w:rPr>
            </w:pPr>
            <w:r w:rsidRPr="00DE2A81">
              <w:rPr>
                <w:rFonts w:ascii="Arial" w:hAnsi="Arial" w:cs="Arial"/>
                <w:sz w:val="20"/>
                <w:lang w:val="en-GB"/>
              </w:rPr>
              <w:t>65% / 92%</w:t>
            </w:r>
          </w:p>
        </w:tc>
      </w:tr>
      <w:tr w:rsidR="00DE2A81" w:rsidRPr="00DE2A81" w:rsidTr="00A85671">
        <w:trPr>
          <w:trHeight w:val="267"/>
        </w:trPr>
        <w:tc>
          <w:tcPr>
            <w:tcW w:w="3180" w:type="pct"/>
            <w:tcBorders>
              <w:top w:val="single" w:sz="6" w:space="0" w:color="1F497D" w:themeColor="text2"/>
              <w:bottom w:val="single" w:sz="6" w:space="0" w:color="1F497D" w:themeColor="text2"/>
              <w:right w:val="nil"/>
            </w:tcBorders>
            <w:vAlign w:val="center"/>
          </w:tcPr>
          <w:p w:rsidR="00DE2A81" w:rsidRPr="00DE2A81" w:rsidRDefault="00DE2A81" w:rsidP="00DE2A81">
            <w:pPr>
              <w:spacing w:before="0" w:after="0"/>
              <w:contextualSpacing/>
              <w:rPr>
                <w:rFonts w:ascii="Arial" w:hAnsi="Arial" w:cs="Arial"/>
                <w:sz w:val="20"/>
                <w:lang w:val="en-GB"/>
              </w:rPr>
            </w:pPr>
            <w:r w:rsidRPr="00DE2A81">
              <w:rPr>
                <w:rFonts w:ascii="Arial" w:hAnsi="Arial" w:cs="Arial"/>
                <w:sz w:val="20"/>
                <w:lang w:val="en-GB"/>
              </w:rPr>
              <w:t>% of households connected to solid waste collection services</w:t>
            </w:r>
          </w:p>
        </w:tc>
        <w:tc>
          <w:tcPr>
            <w:tcW w:w="915" w:type="pct"/>
            <w:tcBorders>
              <w:top w:val="single" w:sz="6" w:space="0" w:color="1F497D" w:themeColor="text2"/>
              <w:left w:val="nil"/>
              <w:bottom w:val="single" w:sz="6" w:space="0" w:color="1F497D" w:themeColor="text2"/>
              <w:right w:val="nil"/>
            </w:tcBorders>
            <w:vAlign w:val="center"/>
          </w:tcPr>
          <w:p w:rsidR="00DE2A81" w:rsidRPr="00DE2A81" w:rsidRDefault="00DE2A81" w:rsidP="00DE2A81">
            <w:pPr>
              <w:spacing w:before="0" w:after="0"/>
              <w:contextualSpacing/>
              <w:jc w:val="center"/>
              <w:rPr>
                <w:rFonts w:ascii="Arial" w:hAnsi="Arial" w:cs="Arial"/>
                <w:sz w:val="20"/>
                <w:lang w:val="en-GB"/>
              </w:rPr>
            </w:pPr>
            <w:r w:rsidRPr="00DE2A81">
              <w:rPr>
                <w:rFonts w:ascii="Arial" w:hAnsi="Arial" w:cs="Arial"/>
                <w:sz w:val="20"/>
                <w:lang w:val="en-GB"/>
              </w:rPr>
              <w:t>80%</w:t>
            </w:r>
          </w:p>
        </w:tc>
        <w:tc>
          <w:tcPr>
            <w:tcW w:w="905" w:type="pct"/>
            <w:tcBorders>
              <w:top w:val="single" w:sz="6" w:space="0" w:color="1F497D" w:themeColor="text2"/>
              <w:left w:val="nil"/>
              <w:bottom w:val="single" w:sz="6" w:space="0" w:color="1F497D" w:themeColor="text2"/>
            </w:tcBorders>
            <w:vAlign w:val="center"/>
          </w:tcPr>
          <w:p w:rsidR="00DE2A81" w:rsidRPr="00DE2A81" w:rsidRDefault="00DE2A81" w:rsidP="00DE2A81">
            <w:pPr>
              <w:spacing w:before="0" w:after="0"/>
              <w:contextualSpacing/>
              <w:jc w:val="center"/>
              <w:rPr>
                <w:rFonts w:ascii="Arial" w:hAnsi="Arial" w:cs="Arial"/>
                <w:sz w:val="20"/>
                <w:lang w:val="en-GB"/>
              </w:rPr>
            </w:pPr>
            <w:r w:rsidRPr="00DE2A81">
              <w:rPr>
                <w:rFonts w:ascii="Arial" w:hAnsi="Arial" w:cs="Arial"/>
                <w:sz w:val="20"/>
                <w:lang w:val="en-GB"/>
              </w:rPr>
              <w:t>97%</w:t>
            </w:r>
          </w:p>
        </w:tc>
      </w:tr>
      <w:tr w:rsidR="00DE2A81" w:rsidRPr="00DE2A81" w:rsidTr="00A85671">
        <w:trPr>
          <w:trHeight w:val="286"/>
        </w:trPr>
        <w:tc>
          <w:tcPr>
            <w:tcW w:w="3180" w:type="pct"/>
            <w:tcBorders>
              <w:top w:val="single" w:sz="6" w:space="0" w:color="1F497D" w:themeColor="text2"/>
              <w:bottom w:val="single" w:sz="6" w:space="0" w:color="1F497D" w:themeColor="text2"/>
              <w:right w:val="nil"/>
            </w:tcBorders>
            <w:vAlign w:val="center"/>
          </w:tcPr>
          <w:p w:rsidR="00DE2A81" w:rsidRPr="00DE2A81" w:rsidRDefault="00DE2A81" w:rsidP="00DE2A81">
            <w:pPr>
              <w:spacing w:before="0" w:after="0"/>
              <w:contextualSpacing/>
              <w:rPr>
                <w:rFonts w:ascii="Arial" w:hAnsi="Arial" w:cs="Arial"/>
                <w:sz w:val="20"/>
                <w:lang w:val="en-GB"/>
              </w:rPr>
            </w:pPr>
            <w:r w:rsidRPr="00DE2A81">
              <w:rPr>
                <w:rFonts w:ascii="Arial" w:hAnsi="Arial" w:cs="Arial"/>
                <w:sz w:val="20"/>
                <w:lang w:val="en-GB"/>
              </w:rPr>
              <w:t>% of total solid waste disposed in sanitary landfills</w:t>
            </w:r>
          </w:p>
        </w:tc>
        <w:tc>
          <w:tcPr>
            <w:tcW w:w="915" w:type="pct"/>
            <w:tcBorders>
              <w:top w:val="single" w:sz="6" w:space="0" w:color="1F497D" w:themeColor="text2"/>
              <w:left w:val="nil"/>
              <w:bottom w:val="single" w:sz="6" w:space="0" w:color="1F497D" w:themeColor="text2"/>
              <w:right w:val="nil"/>
            </w:tcBorders>
            <w:vAlign w:val="center"/>
          </w:tcPr>
          <w:p w:rsidR="00DE2A81" w:rsidRPr="00DE2A81" w:rsidRDefault="00DE2A81" w:rsidP="00DE2A81">
            <w:pPr>
              <w:spacing w:before="0" w:after="0"/>
              <w:contextualSpacing/>
              <w:jc w:val="center"/>
              <w:rPr>
                <w:rFonts w:ascii="Arial" w:hAnsi="Arial" w:cs="Arial"/>
                <w:sz w:val="20"/>
                <w:lang w:val="en-GB"/>
              </w:rPr>
            </w:pPr>
            <w:r w:rsidRPr="00DE2A81">
              <w:rPr>
                <w:rFonts w:ascii="Arial" w:hAnsi="Arial" w:cs="Arial"/>
                <w:sz w:val="20"/>
                <w:lang w:val="en-GB"/>
              </w:rPr>
              <w:t>22%</w:t>
            </w:r>
          </w:p>
        </w:tc>
        <w:tc>
          <w:tcPr>
            <w:tcW w:w="905" w:type="pct"/>
            <w:tcBorders>
              <w:top w:val="single" w:sz="6" w:space="0" w:color="1F497D" w:themeColor="text2"/>
              <w:left w:val="nil"/>
              <w:bottom w:val="single" w:sz="6" w:space="0" w:color="1F497D" w:themeColor="text2"/>
            </w:tcBorders>
            <w:vAlign w:val="center"/>
          </w:tcPr>
          <w:p w:rsidR="00DE2A81" w:rsidRPr="00DE2A81" w:rsidRDefault="00DE2A81" w:rsidP="00DE2A81">
            <w:pPr>
              <w:spacing w:before="0" w:after="0"/>
              <w:contextualSpacing/>
              <w:jc w:val="center"/>
              <w:rPr>
                <w:rFonts w:ascii="Arial" w:hAnsi="Arial" w:cs="Arial"/>
                <w:sz w:val="20"/>
                <w:lang w:val="en-GB"/>
              </w:rPr>
            </w:pPr>
            <w:r w:rsidRPr="00DE2A81">
              <w:rPr>
                <w:rFonts w:ascii="Arial" w:hAnsi="Arial" w:cs="Arial"/>
                <w:sz w:val="20"/>
                <w:lang w:val="en-GB"/>
              </w:rPr>
              <w:t>90%</w:t>
            </w:r>
          </w:p>
        </w:tc>
      </w:tr>
      <w:tr w:rsidR="00DE2A81" w:rsidRPr="00DE2A81" w:rsidTr="00A85671">
        <w:trPr>
          <w:trHeight w:val="267"/>
        </w:trPr>
        <w:tc>
          <w:tcPr>
            <w:tcW w:w="3180" w:type="pct"/>
            <w:tcBorders>
              <w:top w:val="single" w:sz="6" w:space="0" w:color="1F497D" w:themeColor="text2"/>
              <w:bottom w:val="single" w:sz="6" w:space="0" w:color="1F497D" w:themeColor="text2"/>
              <w:right w:val="nil"/>
            </w:tcBorders>
            <w:vAlign w:val="center"/>
          </w:tcPr>
          <w:p w:rsidR="00DE2A81" w:rsidRPr="00DE2A81" w:rsidRDefault="00DE2A81" w:rsidP="00DE2A81">
            <w:pPr>
              <w:spacing w:before="0" w:after="0"/>
              <w:contextualSpacing/>
              <w:rPr>
                <w:rFonts w:ascii="Arial" w:hAnsi="Arial" w:cs="Arial"/>
                <w:sz w:val="20"/>
                <w:lang w:val="en-GB"/>
              </w:rPr>
            </w:pPr>
            <w:r w:rsidRPr="00DE2A81">
              <w:rPr>
                <w:rFonts w:ascii="Arial" w:hAnsi="Arial" w:cs="Arial"/>
                <w:sz w:val="20"/>
                <w:lang w:val="en-GB"/>
              </w:rPr>
              <w:t>% of treated wastewater reused</w:t>
            </w:r>
          </w:p>
        </w:tc>
        <w:tc>
          <w:tcPr>
            <w:tcW w:w="915" w:type="pct"/>
            <w:tcBorders>
              <w:top w:val="single" w:sz="6" w:space="0" w:color="1F497D" w:themeColor="text2"/>
              <w:left w:val="nil"/>
              <w:bottom w:val="single" w:sz="6" w:space="0" w:color="1F497D" w:themeColor="text2"/>
              <w:right w:val="nil"/>
            </w:tcBorders>
            <w:vAlign w:val="center"/>
          </w:tcPr>
          <w:p w:rsidR="00DE2A81" w:rsidRPr="00DE2A81" w:rsidRDefault="00DE2A81" w:rsidP="00DE2A81">
            <w:pPr>
              <w:spacing w:before="0" w:after="0"/>
              <w:contextualSpacing/>
              <w:jc w:val="center"/>
              <w:rPr>
                <w:rFonts w:ascii="Arial" w:hAnsi="Arial" w:cs="Arial"/>
                <w:sz w:val="20"/>
                <w:lang w:val="en-GB"/>
              </w:rPr>
            </w:pPr>
            <w:r w:rsidRPr="00DE2A81">
              <w:rPr>
                <w:rFonts w:ascii="Arial" w:hAnsi="Arial" w:cs="Arial"/>
                <w:sz w:val="20"/>
                <w:lang w:val="en-GB"/>
              </w:rPr>
              <w:t>1%</w:t>
            </w:r>
          </w:p>
        </w:tc>
        <w:tc>
          <w:tcPr>
            <w:tcW w:w="905" w:type="pct"/>
            <w:tcBorders>
              <w:top w:val="single" w:sz="6" w:space="0" w:color="1F497D" w:themeColor="text2"/>
              <w:left w:val="nil"/>
              <w:bottom w:val="single" w:sz="6" w:space="0" w:color="1F497D" w:themeColor="text2"/>
            </w:tcBorders>
            <w:vAlign w:val="center"/>
          </w:tcPr>
          <w:p w:rsidR="00DE2A81" w:rsidRPr="00DE2A81" w:rsidRDefault="00DE2A81" w:rsidP="00DE2A81">
            <w:pPr>
              <w:spacing w:before="0" w:after="0"/>
              <w:contextualSpacing/>
              <w:jc w:val="center"/>
              <w:rPr>
                <w:rFonts w:ascii="Arial" w:hAnsi="Arial" w:cs="Arial"/>
                <w:sz w:val="20"/>
                <w:lang w:val="en-GB"/>
              </w:rPr>
            </w:pPr>
            <w:r w:rsidRPr="00DE2A81">
              <w:rPr>
                <w:rFonts w:ascii="Arial" w:hAnsi="Arial" w:cs="Arial"/>
                <w:sz w:val="20"/>
                <w:lang w:val="en-GB"/>
              </w:rPr>
              <w:t>30%</w:t>
            </w:r>
          </w:p>
        </w:tc>
      </w:tr>
      <w:tr w:rsidR="00DE2A81" w:rsidRPr="00DE2A81" w:rsidTr="00A85671">
        <w:trPr>
          <w:trHeight w:val="267"/>
        </w:trPr>
        <w:tc>
          <w:tcPr>
            <w:tcW w:w="3180" w:type="pct"/>
            <w:tcBorders>
              <w:top w:val="single" w:sz="6" w:space="0" w:color="1F497D" w:themeColor="text2"/>
              <w:bottom w:val="single" w:sz="6" w:space="0" w:color="1F497D" w:themeColor="text2"/>
              <w:right w:val="nil"/>
            </w:tcBorders>
            <w:vAlign w:val="center"/>
          </w:tcPr>
          <w:p w:rsidR="00DE2A81" w:rsidRPr="00DE2A81" w:rsidRDefault="00DE2A81" w:rsidP="00DE2A81">
            <w:pPr>
              <w:spacing w:before="0" w:after="0"/>
              <w:contextualSpacing/>
              <w:rPr>
                <w:rFonts w:ascii="Arial" w:hAnsi="Arial" w:cs="Arial"/>
                <w:sz w:val="20"/>
                <w:lang w:val="en-GB"/>
              </w:rPr>
            </w:pPr>
            <w:r w:rsidRPr="00DE2A81">
              <w:rPr>
                <w:rFonts w:ascii="Arial" w:hAnsi="Arial" w:cs="Arial"/>
                <w:sz w:val="20"/>
                <w:lang w:val="en-GB"/>
              </w:rPr>
              <w:t>% of solid waste recycled</w:t>
            </w:r>
          </w:p>
        </w:tc>
        <w:tc>
          <w:tcPr>
            <w:tcW w:w="915" w:type="pct"/>
            <w:tcBorders>
              <w:top w:val="single" w:sz="6" w:space="0" w:color="1F497D" w:themeColor="text2"/>
              <w:left w:val="nil"/>
              <w:bottom w:val="single" w:sz="6" w:space="0" w:color="1F497D" w:themeColor="text2"/>
              <w:right w:val="nil"/>
            </w:tcBorders>
            <w:vAlign w:val="center"/>
          </w:tcPr>
          <w:p w:rsidR="00DE2A81" w:rsidRPr="00DE2A81" w:rsidRDefault="00DE2A81" w:rsidP="00DE2A81">
            <w:pPr>
              <w:spacing w:before="0" w:after="0"/>
              <w:contextualSpacing/>
              <w:jc w:val="center"/>
              <w:rPr>
                <w:rFonts w:ascii="Arial" w:hAnsi="Arial" w:cs="Arial"/>
                <w:sz w:val="20"/>
                <w:lang w:val="en-GB"/>
              </w:rPr>
            </w:pPr>
            <w:r w:rsidRPr="00DE2A81">
              <w:rPr>
                <w:rFonts w:ascii="Arial" w:hAnsi="Arial" w:cs="Arial"/>
                <w:sz w:val="20"/>
                <w:lang w:val="en-GB"/>
              </w:rPr>
              <w:t>5%</w:t>
            </w:r>
          </w:p>
        </w:tc>
        <w:tc>
          <w:tcPr>
            <w:tcW w:w="905" w:type="pct"/>
            <w:tcBorders>
              <w:top w:val="single" w:sz="6" w:space="0" w:color="1F497D" w:themeColor="text2"/>
              <w:left w:val="nil"/>
              <w:bottom w:val="single" w:sz="6" w:space="0" w:color="1F497D" w:themeColor="text2"/>
            </w:tcBorders>
            <w:vAlign w:val="center"/>
          </w:tcPr>
          <w:p w:rsidR="00DE2A81" w:rsidRPr="00DE2A81" w:rsidRDefault="00DE2A81" w:rsidP="00DE2A81">
            <w:pPr>
              <w:spacing w:before="0" w:after="0"/>
              <w:contextualSpacing/>
              <w:jc w:val="center"/>
              <w:rPr>
                <w:rFonts w:ascii="Arial" w:hAnsi="Arial" w:cs="Arial"/>
                <w:sz w:val="20"/>
                <w:lang w:val="en-GB"/>
              </w:rPr>
            </w:pPr>
            <w:r w:rsidRPr="00DE2A81">
              <w:rPr>
                <w:rFonts w:ascii="Arial" w:hAnsi="Arial" w:cs="Arial"/>
                <w:sz w:val="20"/>
                <w:lang w:val="en-GB"/>
              </w:rPr>
              <w:t>20%</w:t>
            </w:r>
          </w:p>
        </w:tc>
      </w:tr>
      <w:tr w:rsidR="00DE2A81" w:rsidRPr="00DE2A81" w:rsidTr="00A85671">
        <w:trPr>
          <w:trHeight w:val="286"/>
        </w:trPr>
        <w:tc>
          <w:tcPr>
            <w:tcW w:w="3180" w:type="pct"/>
            <w:tcBorders>
              <w:top w:val="single" w:sz="6" w:space="0" w:color="1F497D" w:themeColor="text2"/>
              <w:bottom w:val="single" w:sz="6" w:space="0" w:color="1F497D" w:themeColor="text2"/>
              <w:right w:val="nil"/>
            </w:tcBorders>
            <w:vAlign w:val="center"/>
          </w:tcPr>
          <w:p w:rsidR="00DE2A81" w:rsidRPr="00DE2A81" w:rsidRDefault="00DE2A81" w:rsidP="00DE2A81">
            <w:pPr>
              <w:spacing w:before="0" w:after="0"/>
              <w:contextualSpacing/>
              <w:rPr>
                <w:rFonts w:ascii="Arial" w:hAnsi="Arial" w:cs="Arial"/>
                <w:sz w:val="20"/>
                <w:lang w:val="en-GB"/>
              </w:rPr>
            </w:pPr>
            <w:r w:rsidRPr="00DE2A81">
              <w:rPr>
                <w:rFonts w:ascii="Arial" w:hAnsi="Arial" w:cs="Arial"/>
                <w:sz w:val="20"/>
                <w:lang w:val="en-GB"/>
              </w:rPr>
              <w:t>% of losses from leakage from water network</w:t>
            </w:r>
          </w:p>
        </w:tc>
        <w:tc>
          <w:tcPr>
            <w:tcW w:w="915" w:type="pct"/>
            <w:tcBorders>
              <w:top w:val="single" w:sz="6" w:space="0" w:color="1F497D" w:themeColor="text2"/>
              <w:left w:val="nil"/>
              <w:bottom w:val="single" w:sz="6" w:space="0" w:color="1F497D" w:themeColor="text2"/>
              <w:right w:val="nil"/>
            </w:tcBorders>
            <w:vAlign w:val="center"/>
          </w:tcPr>
          <w:p w:rsidR="00DE2A81" w:rsidRPr="00DE2A81" w:rsidRDefault="00DE2A81" w:rsidP="00DE2A81">
            <w:pPr>
              <w:spacing w:before="0" w:after="0"/>
              <w:contextualSpacing/>
              <w:jc w:val="center"/>
              <w:rPr>
                <w:rFonts w:ascii="Arial" w:hAnsi="Arial" w:cs="Arial"/>
                <w:sz w:val="20"/>
                <w:lang w:val="en-GB"/>
              </w:rPr>
            </w:pPr>
            <w:r w:rsidRPr="00DE2A81">
              <w:rPr>
                <w:rFonts w:ascii="Arial" w:hAnsi="Arial" w:cs="Arial"/>
                <w:sz w:val="20"/>
                <w:lang w:val="en-GB"/>
              </w:rPr>
              <w:t>37%</w:t>
            </w:r>
          </w:p>
        </w:tc>
        <w:tc>
          <w:tcPr>
            <w:tcW w:w="905" w:type="pct"/>
            <w:tcBorders>
              <w:top w:val="single" w:sz="6" w:space="0" w:color="1F497D" w:themeColor="text2"/>
              <w:left w:val="nil"/>
              <w:bottom w:val="single" w:sz="6" w:space="0" w:color="1F497D" w:themeColor="text2"/>
            </w:tcBorders>
            <w:vAlign w:val="center"/>
          </w:tcPr>
          <w:p w:rsidR="00DE2A81" w:rsidRPr="00DE2A81" w:rsidRDefault="00DE2A81" w:rsidP="00DE2A81">
            <w:pPr>
              <w:spacing w:before="0" w:after="0"/>
              <w:contextualSpacing/>
              <w:jc w:val="center"/>
              <w:rPr>
                <w:rFonts w:ascii="Arial" w:hAnsi="Arial" w:cs="Arial"/>
                <w:sz w:val="20"/>
                <w:lang w:val="en-GB"/>
              </w:rPr>
            </w:pPr>
            <w:r w:rsidRPr="00DE2A81">
              <w:rPr>
                <w:rFonts w:ascii="Arial" w:hAnsi="Arial" w:cs="Arial"/>
                <w:sz w:val="20"/>
                <w:lang w:val="en-GB"/>
              </w:rPr>
              <w:t>25%</w:t>
            </w:r>
          </w:p>
        </w:tc>
      </w:tr>
      <w:tr w:rsidR="00DE2A81" w:rsidRPr="00DE2A81" w:rsidTr="00A85671">
        <w:trPr>
          <w:trHeight w:val="286"/>
        </w:trPr>
        <w:tc>
          <w:tcPr>
            <w:tcW w:w="3180" w:type="pct"/>
            <w:tcBorders>
              <w:top w:val="single" w:sz="6" w:space="0" w:color="1F497D" w:themeColor="text2"/>
              <w:bottom w:val="single" w:sz="12" w:space="0" w:color="1F497D" w:themeColor="text2"/>
              <w:right w:val="nil"/>
            </w:tcBorders>
            <w:vAlign w:val="center"/>
          </w:tcPr>
          <w:p w:rsidR="00DE2A81" w:rsidRPr="00DE2A81" w:rsidRDefault="00DE2A81" w:rsidP="00DE2A81">
            <w:pPr>
              <w:spacing w:before="0" w:after="0"/>
              <w:contextualSpacing/>
              <w:rPr>
                <w:rFonts w:ascii="Arial" w:hAnsi="Arial" w:cs="Arial"/>
                <w:sz w:val="20"/>
                <w:lang w:val="en-GB"/>
              </w:rPr>
            </w:pPr>
            <w:r w:rsidRPr="00DE2A81">
              <w:rPr>
                <w:rFonts w:ascii="Arial" w:hAnsi="Arial" w:cs="Arial"/>
                <w:sz w:val="20"/>
                <w:lang w:val="en-GB"/>
              </w:rPr>
              <w:t>% of existing sanitary landfill operating costs covered by revenues</w:t>
            </w:r>
          </w:p>
        </w:tc>
        <w:tc>
          <w:tcPr>
            <w:tcW w:w="915" w:type="pct"/>
            <w:tcBorders>
              <w:top w:val="single" w:sz="6" w:space="0" w:color="1F497D" w:themeColor="text2"/>
              <w:left w:val="nil"/>
              <w:bottom w:val="single" w:sz="12" w:space="0" w:color="1F497D" w:themeColor="text2"/>
              <w:right w:val="nil"/>
            </w:tcBorders>
            <w:vAlign w:val="center"/>
          </w:tcPr>
          <w:p w:rsidR="00DE2A81" w:rsidRPr="00DE2A81" w:rsidRDefault="00DE2A81" w:rsidP="00DE2A81">
            <w:pPr>
              <w:spacing w:before="0" w:after="0"/>
              <w:contextualSpacing/>
              <w:jc w:val="center"/>
              <w:rPr>
                <w:rFonts w:ascii="Arial" w:hAnsi="Arial" w:cs="Arial"/>
                <w:sz w:val="20"/>
                <w:lang w:val="en-GB"/>
              </w:rPr>
            </w:pPr>
            <w:r w:rsidRPr="00DE2A81">
              <w:rPr>
                <w:rFonts w:ascii="Arial" w:hAnsi="Arial" w:cs="Arial"/>
                <w:sz w:val="20"/>
                <w:lang w:val="en-GB"/>
              </w:rPr>
              <w:t>80%</w:t>
            </w:r>
          </w:p>
        </w:tc>
        <w:tc>
          <w:tcPr>
            <w:tcW w:w="905" w:type="pct"/>
            <w:tcBorders>
              <w:top w:val="single" w:sz="6" w:space="0" w:color="1F497D" w:themeColor="text2"/>
              <w:left w:val="nil"/>
              <w:bottom w:val="single" w:sz="12" w:space="0" w:color="1F497D" w:themeColor="text2"/>
            </w:tcBorders>
            <w:vAlign w:val="center"/>
          </w:tcPr>
          <w:p w:rsidR="00DE2A81" w:rsidRPr="00DE2A81" w:rsidRDefault="00DE2A81" w:rsidP="00DE2A81">
            <w:pPr>
              <w:spacing w:before="0" w:after="0"/>
              <w:contextualSpacing/>
              <w:jc w:val="center"/>
              <w:rPr>
                <w:rFonts w:ascii="Arial" w:hAnsi="Arial" w:cs="Arial"/>
                <w:sz w:val="20"/>
                <w:lang w:val="en-GB"/>
              </w:rPr>
            </w:pPr>
            <w:r w:rsidRPr="00DE2A81">
              <w:rPr>
                <w:rFonts w:ascii="Arial" w:hAnsi="Arial" w:cs="Arial"/>
                <w:sz w:val="20"/>
                <w:lang w:val="en-GB"/>
              </w:rPr>
              <w:t>100%</w:t>
            </w:r>
          </w:p>
        </w:tc>
      </w:tr>
    </w:tbl>
    <w:p w:rsidR="00DE2A81" w:rsidRPr="00DE2A81" w:rsidRDefault="00DE2A81" w:rsidP="00DE2A81">
      <w:pPr>
        <w:spacing w:before="0" w:after="0"/>
        <w:jc w:val="center"/>
        <w:rPr>
          <w:rFonts w:ascii="Arial" w:hAnsi="Arial" w:cs="Arial"/>
          <w:i/>
        </w:rPr>
      </w:pPr>
      <w:r w:rsidRPr="00DE2A81">
        <w:rPr>
          <w:rFonts w:ascii="Arial" w:hAnsi="Arial" w:cs="Arial"/>
          <w:i/>
        </w:rPr>
        <w:t>Source: National Development Plan 2011-2013 – Establishing the State, Building our Future – April 2011</w:t>
      </w:r>
    </w:p>
    <w:p w:rsidR="00DE2A81" w:rsidRPr="00DE2A81" w:rsidRDefault="00DE2A81" w:rsidP="00DE2A81">
      <w:pPr>
        <w:widowControl w:val="0"/>
        <w:autoSpaceDE w:val="0"/>
        <w:autoSpaceDN w:val="0"/>
        <w:adjustRightInd w:val="0"/>
        <w:spacing w:before="0" w:after="0"/>
        <w:rPr>
          <w:rFonts w:ascii="Arial" w:hAnsi="Arial" w:cs="Arial"/>
          <w:b/>
          <w:iCs/>
          <w:lang w:eastAsia="it-IT"/>
        </w:rPr>
      </w:pPr>
    </w:p>
    <w:p w:rsidR="00DE2A81" w:rsidRPr="00DE2A81" w:rsidRDefault="00DE2A81" w:rsidP="00DE2A81">
      <w:pPr>
        <w:spacing w:before="0" w:after="0"/>
        <w:jc w:val="left"/>
        <w:rPr>
          <w:rFonts w:ascii="Arial" w:hAnsi="Arial" w:cs="Arial"/>
        </w:rPr>
      </w:pPr>
    </w:p>
    <w:p w:rsidR="000D73B5" w:rsidRPr="00DE2A81" w:rsidRDefault="000D73B5" w:rsidP="00DE2A81">
      <w:pPr>
        <w:spacing w:before="0" w:after="0"/>
        <w:jc w:val="left"/>
        <w:rPr>
          <w:rFonts w:ascii="Arial" w:hAnsi="Arial" w:cs="Arial"/>
        </w:rPr>
      </w:pPr>
    </w:p>
    <w:p w:rsidR="000D73B5" w:rsidRPr="00DE2A81" w:rsidRDefault="000D73B5" w:rsidP="00DE2A81">
      <w:pPr>
        <w:spacing w:before="0" w:after="0"/>
        <w:jc w:val="center"/>
        <w:rPr>
          <w:rFonts w:ascii="Arial" w:hAnsi="Arial" w:cs="Arial"/>
          <w:b/>
          <w:color w:val="1F497D" w:themeColor="text2"/>
          <w:sz w:val="20"/>
        </w:rPr>
      </w:pPr>
      <w:r w:rsidRPr="00DE2A81">
        <w:rPr>
          <w:rFonts w:ascii="Arial" w:hAnsi="Arial" w:cs="Arial"/>
          <w:b/>
          <w:noProof/>
          <w:color w:val="1F497D" w:themeColor="text2"/>
          <w:sz w:val="20"/>
          <w:lang w:val="it-IT" w:eastAsia="it-IT"/>
        </w:rPr>
        <w:lastRenderedPageBreak/>
        <w:drawing>
          <wp:anchor distT="0" distB="0" distL="114300" distR="114300" simplePos="0" relativeHeight="251737088" behindDoc="0" locked="0" layoutInCell="1" allowOverlap="1">
            <wp:simplePos x="0" y="0"/>
            <wp:positionH relativeFrom="column">
              <wp:posOffset>160655</wp:posOffset>
            </wp:positionH>
            <wp:positionV relativeFrom="paragraph">
              <wp:posOffset>204470</wp:posOffset>
            </wp:positionV>
            <wp:extent cx="5557520" cy="3704590"/>
            <wp:effectExtent l="0" t="0" r="5080" b="3810"/>
            <wp:wrapTight wrapText="bothSides">
              <wp:wrapPolygon edited="0">
                <wp:start x="0" y="0"/>
                <wp:lineTo x="0" y="21474"/>
                <wp:lineTo x="21521" y="21474"/>
                <wp:lineTo x="21521" y="0"/>
                <wp:lineTo x="0" y="0"/>
              </wp:wrapPolygon>
            </wp:wrapTight>
            <wp:docPr id="3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36"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8313" r="3082" b="42609"/>
                    <a:stretch/>
                  </pic:blipFill>
                  <pic:spPr bwMode="auto">
                    <a:xfrm>
                      <a:off x="0" y="0"/>
                      <a:ext cx="5557520" cy="3704590"/>
                    </a:xfrm>
                    <a:prstGeom prst="rect">
                      <a:avLst/>
                    </a:prstGeom>
                    <a:noFill/>
                    <a:ln>
                      <a:noFill/>
                    </a:ln>
                    <a:extLst>
                      <a:ext uri="{53640926-AAD7-44d8-BBD7-CCE9431645EC}">
                        <a14:shadowObscured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 uri="{FAA26D3D-D897-4be2-8F04-BA451C77F1D7}">
                        <ma14:placeholderFlag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ma14="http://schemas.microsoft.com/office/mac/drawingml/2011/main"/>
                      </a:ext>
                    </a:extLst>
                  </pic:spPr>
                </pic:pic>
              </a:graphicData>
            </a:graphic>
          </wp:anchor>
        </w:drawing>
      </w:r>
      <w:r w:rsidRPr="00DE2A81">
        <w:rPr>
          <w:rFonts w:ascii="Arial" w:hAnsi="Arial" w:cs="Arial"/>
          <w:b/>
          <w:color w:val="1F497D" w:themeColor="text2"/>
          <w:sz w:val="20"/>
        </w:rPr>
        <w:t>Table</w:t>
      </w:r>
      <w:r w:rsidR="00DE2A81" w:rsidRPr="00DE2A81">
        <w:rPr>
          <w:rFonts w:ascii="Arial" w:hAnsi="Arial" w:cs="Arial"/>
          <w:b/>
          <w:color w:val="1F497D" w:themeColor="text2"/>
          <w:sz w:val="20"/>
        </w:rPr>
        <w:t xml:space="preserve"> 5</w:t>
      </w:r>
      <w:r w:rsidR="001E470F" w:rsidRPr="00DE2A81">
        <w:rPr>
          <w:rFonts w:ascii="Arial" w:hAnsi="Arial" w:cs="Arial"/>
          <w:b/>
          <w:color w:val="1F497D" w:themeColor="text2"/>
          <w:sz w:val="20"/>
        </w:rPr>
        <w:t xml:space="preserve"> </w:t>
      </w:r>
      <w:r w:rsidRPr="00DE2A81">
        <w:rPr>
          <w:rFonts w:ascii="Arial" w:hAnsi="Arial" w:cs="Arial"/>
          <w:b/>
          <w:color w:val="1F497D" w:themeColor="text2"/>
          <w:sz w:val="20"/>
        </w:rPr>
        <w:t>: Quantity of water supply and daily allocation per capita, 2012</w:t>
      </w:r>
      <w:r w:rsidRPr="00DE2A81">
        <w:rPr>
          <w:rStyle w:val="Rimandonotaapidipagina"/>
          <w:rFonts w:ascii="Arial" w:hAnsi="Arial" w:cs="Arial"/>
          <w:b/>
          <w:color w:val="1F497D" w:themeColor="text2"/>
          <w:szCs w:val="20"/>
        </w:rPr>
        <w:footnoteReference w:id="33"/>
      </w:r>
    </w:p>
    <w:p w:rsidR="000D73B5" w:rsidRPr="00DE2A81" w:rsidRDefault="000D73B5" w:rsidP="00DE2A81">
      <w:pPr>
        <w:spacing w:before="0" w:after="0"/>
        <w:rPr>
          <w:rFonts w:ascii="Arial" w:hAnsi="Arial" w:cs="Arial"/>
          <w:sz w:val="22"/>
          <w:szCs w:val="22"/>
        </w:rPr>
      </w:pPr>
      <w:bookmarkStart w:id="58" w:name="_Toc252910830"/>
      <w:r w:rsidRPr="00DE2A81">
        <w:rPr>
          <w:rFonts w:ascii="Arial" w:hAnsi="Arial" w:cs="Arial"/>
          <w:b/>
          <w:color w:val="1F497D" w:themeColor="text2"/>
          <w:sz w:val="22"/>
          <w:szCs w:val="22"/>
        </w:rPr>
        <w:t>Wastewater</w:t>
      </w:r>
      <w:bookmarkEnd w:id="58"/>
      <w:r w:rsidR="004C54F8">
        <w:rPr>
          <w:rFonts w:ascii="Arial" w:hAnsi="Arial" w:cs="Arial"/>
          <w:b/>
          <w:color w:val="1F497D" w:themeColor="text2"/>
          <w:sz w:val="22"/>
          <w:szCs w:val="22"/>
        </w:rPr>
        <w:t xml:space="preserve">. </w:t>
      </w:r>
      <w:r w:rsidRPr="00DE2A81">
        <w:rPr>
          <w:rFonts w:ascii="Arial" w:hAnsi="Arial" w:cs="Arial"/>
          <w:sz w:val="22"/>
          <w:szCs w:val="22"/>
        </w:rPr>
        <w:t xml:space="preserve">A key problem related to water is the pollution from wastewater and associated public health impacts due to polluted and standing waters. The wastewater treatment plants in Palestine are inadequate to serve the amount of wastewater being generated, with 58% of total generated wastewater being discharged without treatment to the environment (PWA 2011). There is at this stage no proper wastewater treatment in the West Bank. On the whole, only 5% of all wastewater is treated adequately, the rest is discharged into the environment without treatment. As the West Bank is the area of recharge for its aquifer system, the direct discharge of untreated or partially treated wastewater into open areas endangers the groundwater quality. In Gaza, three wastewater treatment plants exist but these operate well above their capacity and are in need of upgrade and maintenance, and therefore do not function effectively. </w:t>
      </w:r>
      <w:r w:rsidRPr="00DE2A81">
        <w:rPr>
          <w:rFonts w:ascii="Arial" w:eastAsiaTheme="minorEastAsia" w:hAnsi="Arial" w:cs="Arial"/>
          <w:sz w:val="22"/>
          <w:szCs w:val="22"/>
        </w:rPr>
        <w:t>Most of the networks receive industrial</w:t>
      </w:r>
      <w:r w:rsidRPr="00DE2A81">
        <w:rPr>
          <w:rFonts w:ascii="Arial" w:eastAsiaTheme="minorEastAsia" w:hAnsi="Arial" w:cs="Arial"/>
          <w:color w:val="000000"/>
          <w:sz w:val="22"/>
          <w:szCs w:val="22"/>
          <w:lang w:eastAsia="ja-JP"/>
        </w:rPr>
        <w:t xml:space="preserve"> wastewater resulted from several industries such as, food industry, dairy industry, quarries, olive oil mills, textile factories and car wash garages. However, a few quantity of the industrial wastewater is being pre-treated before being discharged into the public sewage network. </w:t>
      </w:r>
    </w:p>
    <w:p w:rsidR="000D73B5" w:rsidRPr="00DE2A81" w:rsidRDefault="000D73B5" w:rsidP="00DE2A81">
      <w:pPr>
        <w:spacing w:before="0" w:after="0"/>
        <w:rPr>
          <w:rFonts w:ascii="Arial" w:eastAsiaTheme="minorEastAsia" w:hAnsi="Arial" w:cs="Arial"/>
          <w:color w:val="000000"/>
          <w:sz w:val="22"/>
          <w:szCs w:val="22"/>
          <w:lang w:eastAsia="ja-JP"/>
        </w:rPr>
      </w:pPr>
    </w:p>
    <w:p w:rsidR="000D73B5" w:rsidRDefault="000D73B5" w:rsidP="00DE2A81">
      <w:pPr>
        <w:spacing w:before="0" w:after="0"/>
        <w:rPr>
          <w:rFonts w:ascii="Arial" w:eastAsiaTheme="minorEastAsia" w:hAnsi="Arial" w:cs="Arial"/>
          <w:color w:val="000000"/>
          <w:sz w:val="22"/>
          <w:szCs w:val="22"/>
          <w:lang w:eastAsia="ja-JP"/>
        </w:rPr>
      </w:pPr>
      <w:r w:rsidRPr="00DE2A81">
        <w:rPr>
          <w:rFonts w:ascii="Arial" w:eastAsiaTheme="minorEastAsia" w:hAnsi="Arial" w:cs="Arial"/>
          <w:color w:val="000000"/>
          <w:sz w:val="22"/>
          <w:szCs w:val="22"/>
          <w:lang w:eastAsia="ja-JP"/>
        </w:rPr>
        <w:t xml:space="preserve">Appropriate treatment of wastewater has been neglected (both from Israel and PA) and little investment has been made in the field of wastewater treatment since the Oslo Accords. Only 6.3% (2,836 MCM) of the generated wastewater in the West Bank is treated in a </w:t>
      </w:r>
      <w:proofErr w:type="spellStart"/>
      <w:r w:rsidRPr="00DE2A81">
        <w:rPr>
          <w:rFonts w:ascii="Arial" w:eastAsiaTheme="minorEastAsia" w:hAnsi="Arial" w:cs="Arial"/>
          <w:color w:val="000000"/>
          <w:sz w:val="22"/>
          <w:szCs w:val="22"/>
          <w:lang w:eastAsia="ja-JP"/>
        </w:rPr>
        <w:t>centralised</w:t>
      </w:r>
      <w:proofErr w:type="spellEnd"/>
      <w:r w:rsidRPr="00DE2A81">
        <w:rPr>
          <w:rFonts w:ascii="Arial" w:eastAsiaTheme="minorEastAsia" w:hAnsi="Arial" w:cs="Arial"/>
          <w:color w:val="000000"/>
          <w:sz w:val="22"/>
          <w:szCs w:val="22"/>
          <w:lang w:eastAsia="ja-JP"/>
        </w:rPr>
        <w:t xml:space="preserve"> and collective wastewater treatment plant, the remaining 93.7% being discharged untreated into the environment.</w:t>
      </w:r>
    </w:p>
    <w:p w:rsidR="00DE2A81" w:rsidRDefault="00DE2A81" w:rsidP="00DE2A81">
      <w:pPr>
        <w:spacing w:before="0" w:after="0"/>
        <w:rPr>
          <w:rFonts w:ascii="Arial" w:eastAsiaTheme="minorEastAsia" w:hAnsi="Arial" w:cs="Arial"/>
          <w:color w:val="000000"/>
          <w:sz w:val="22"/>
          <w:szCs w:val="22"/>
          <w:lang w:eastAsia="ja-JP"/>
        </w:rPr>
      </w:pPr>
    </w:p>
    <w:p w:rsidR="004C54F8" w:rsidRPr="00DE2A81" w:rsidRDefault="004C54F8" w:rsidP="004C54F8">
      <w:pPr>
        <w:spacing w:before="0" w:after="0"/>
        <w:rPr>
          <w:rFonts w:ascii="Arial" w:hAnsi="Arial" w:cs="Arial"/>
          <w:sz w:val="22"/>
          <w:szCs w:val="22"/>
        </w:rPr>
      </w:pPr>
      <w:r w:rsidRPr="00DE2A81">
        <w:rPr>
          <w:rFonts w:ascii="Arial" w:hAnsi="Arial" w:cs="Arial"/>
          <w:sz w:val="22"/>
          <w:szCs w:val="22"/>
        </w:rPr>
        <w:t xml:space="preserve">The lack of effective wastewater treatment leads to deteriorating nature, biodiversity and groundwater quality while it endangers public health. The improper treatment of sewage and wastewater remains the single most detrimental factor behind the spread of infectious and parasitic diseases in many Palestinian communities. The flooding of collection systems (cesspits, open channels, and pipelines) can result in spillage of raw sewage in residential areas, encouraging the spread of pathogens and insect breeding. This causes public health risks through direct exposure, as well as the reuse of untreated wastewater on irrigated lands. The pollution of the water aquifer in Gaza has the potential to significantly damage the drinking water for almost 1.5 million </w:t>
      </w:r>
      <w:r w:rsidRPr="00DE2A81">
        <w:rPr>
          <w:rFonts w:ascii="Arial" w:hAnsi="Arial" w:cs="Arial"/>
          <w:sz w:val="22"/>
          <w:szCs w:val="22"/>
        </w:rPr>
        <w:lastRenderedPageBreak/>
        <w:t>Palestinians. The most common waterborne diseases found include Amoebas, Hepatitis A, and blue baby syndrome.</w:t>
      </w:r>
    </w:p>
    <w:p w:rsidR="004C54F8" w:rsidRDefault="004C54F8" w:rsidP="00DE2A81">
      <w:pPr>
        <w:spacing w:before="0" w:after="0"/>
        <w:rPr>
          <w:rFonts w:ascii="Arial" w:eastAsiaTheme="minorEastAsia" w:hAnsi="Arial" w:cs="Arial"/>
          <w:color w:val="000000"/>
          <w:sz w:val="22"/>
          <w:szCs w:val="22"/>
          <w:lang w:eastAsia="ja-JP"/>
        </w:rPr>
      </w:pPr>
    </w:p>
    <w:tbl>
      <w:tblPr>
        <w:tblStyle w:val="Grigliatabella"/>
        <w:tblpPr w:leftFromText="141" w:rightFromText="141" w:vertAnchor="text" w:tblpY="1"/>
        <w:tblOverlap w:val="never"/>
        <w:tblW w:w="0" w:type="auto"/>
        <w:tblLook w:val="04A0"/>
      </w:tblPr>
      <w:tblGrid>
        <w:gridCol w:w="6066"/>
      </w:tblGrid>
      <w:tr w:rsidR="00DE2A81" w:rsidTr="004C54F8">
        <w:trPr>
          <w:trHeight w:val="4797"/>
        </w:trPr>
        <w:tc>
          <w:tcPr>
            <w:tcW w:w="5732" w:type="dxa"/>
          </w:tcPr>
          <w:p w:rsidR="00DE2A81" w:rsidRPr="00DE2A81" w:rsidRDefault="00DE2A81" w:rsidP="004C54F8">
            <w:pPr>
              <w:spacing w:before="0" w:after="0"/>
              <w:jc w:val="center"/>
              <w:rPr>
                <w:rFonts w:ascii="Arial" w:eastAsiaTheme="minorEastAsia" w:hAnsi="Arial" w:cs="Arial"/>
                <w:color w:val="000000"/>
                <w:sz w:val="22"/>
                <w:szCs w:val="22"/>
                <w:lang w:eastAsia="ja-JP"/>
              </w:rPr>
            </w:pPr>
            <w:r w:rsidRPr="004C54F8">
              <w:rPr>
                <w:rFonts w:ascii="Arial" w:hAnsi="Arial" w:cs="Arial"/>
                <w:b/>
                <w:color w:val="1F497D" w:themeColor="text2"/>
                <w:sz w:val="20"/>
              </w:rPr>
              <w:t>Table 6: Volume of treated wastewater in the West Bank (source ARIJ – 2013</w:t>
            </w:r>
            <w:r w:rsidRPr="00DE2A81">
              <w:rPr>
                <w:rFonts w:ascii="Arial" w:hAnsi="Arial" w:cs="Arial"/>
                <w:sz w:val="22"/>
                <w:szCs w:val="22"/>
              </w:rPr>
              <w:t>)</w:t>
            </w:r>
          </w:p>
          <w:p w:rsidR="00DE2A81" w:rsidRPr="00DE2A81" w:rsidRDefault="00DE2A81" w:rsidP="004C54F8">
            <w:pPr>
              <w:spacing w:before="0" w:after="0"/>
              <w:jc w:val="center"/>
              <w:rPr>
                <w:rFonts w:ascii="Arial" w:hAnsi="Arial" w:cs="Arial"/>
                <w:sz w:val="22"/>
                <w:szCs w:val="22"/>
              </w:rPr>
            </w:pPr>
            <w:r w:rsidRPr="00DE2A81">
              <w:rPr>
                <w:rFonts w:ascii="Arial" w:hAnsi="Arial" w:cs="Arial"/>
                <w:noProof/>
                <w:sz w:val="22"/>
                <w:szCs w:val="22"/>
                <w:lang w:val="it-IT" w:eastAsia="it-IT"/>
              </w:rPr>
              <w:drawing>
                <wp:inline distT="0" distB="0" distL="0" distR="0">
                  <wp:extent cx="3688466" cy="2838202"/>
                  <wp:effectExtent l="19050" t="0" r="7234" b="0"/>
                  <wp:docPr id="66"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7"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91375" cy="2840440"/>
                          </a:xfrm>
                          <a:prstGeom prst="rect">
                            <a:avLst/>
                          </a:prstGeom>
                          <a:noFill/>
                          <a:ln>
                            <a:noFill/>
                          </a:ln>
                          <a:extLst>
                            <a:ext uri="{FAA26D3D-D897-4be2-8F04-BA451C77F1D7}">
                              <ma14:placeholderFlag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ma14="http://schemas.microsoft.com/office/mac/drawingml/2011/main"/>
                            </a:ext>
                          </a:extLst>
                        </pic:spPr>
                      </pic:pic>
                    </a:graphicData>
                  </a:graphic>
                </wp:inline>
              </w:drawing>
            </w:r>
          </w:p>
          <w:p w:rsidR="00DE2A81" w:rsidRDefault="00DE2A81" w:rsidP="004C54F8">
            <w:pPr>
              <w:spacing w:before="0" w:after="0"/>
              <w:rPr>
                <w:rFonts w:ascii="Arial" w:eastAsiaTheme="minorEastAsia" w:hAnsi="Arial" w:cs="Arial"/>
                <w:color w:val="000000"/>
                <w:sz w:val="22"/>
                <w:szCs w:val="22"/>
                <w:lang w:eastAsia="ja-JP"/>
              </w:rPr>
            </w:pPr>
          </w:p>
        </w:tc>
      </w:tr>
    </w:tbl>
    <w:p w:rsidR="000D73B5" w:rsidRPr="00DE2A81" w:rsidRDefault="000D73B5" w:rsidP="00DE2A81">
      <w:pPr>
        <w:spacing w:before="0" w:after="0"/>
        <w:rPr>
          <w:rFonts w:ascii="Arial" w:hAnsi="Arial" w:cs="Arial"/>
          <w:sz w:val="22"/>
          <w:szCs w:val="22"/>
        </w:rPr>
      </w:pPr>
      <w:r w:rsidRPr="00DE2A81">
        <w:rPr>
          <w:rFonts w:ascii="Arial" w:hAnsi="Arial" w:cs="Arial"/>
          <w:sz w:val="22"/>
          <w:szCs w:val="22"/>
        </w:rPr>
        <w:t>The Israeli occupation prevents an effective management and operation of wastewater treatment infrastructure in Palestine, including the maintenance of existing and construction of new infrastructure. Since the current governance system under the Oslo Agreement requires the Israeli approval of any proposed management measure or infrastructure project related to water and wastewater, and since the Israeli authorities have withheld this approval in several occasions, an integrated planning and management of water and wastewater infrastructure is essentially impossible.</w:t>
      </w:r>
    </w:p>
    <w:p w:rsidR="000D73B5" w:rsidRDefault="000D73B5" w:rsidP="00DE2A81">
      <w:pPr>
        <w:spacing w:before="0" w:after="0"/>
        <w:rPr>
          <w:rFonts w:ascii="Arial" w:hAnsi="Arial" w:cs="Arial"/>
          <w:sz w:val="22"/>
          <w:szCs w:val="22"/>
        </w:rPr>
      </w:pPr>
    </w:p>
    <w:p w:rsidR="004C54F8" w:rsidRDefault="004C54F8" w:rsidP="004C54F8">
      <w:pPr>
        <w:spacing w:before="0" w:after="0"/>
        <w:rPr>
          <w:rFonts w:ascii="Arial" w:hAnsi="Arial" w:cs="Arial"/>
          <w:b/>
          <w:color w:val="1F497D" w:themeColor="text2"/>
          <w:sz w:val="22"/>
          <w:szCs w:val="22"/>
        </w:rPr>
      </w:pPr>
      <w:bookmarkStart w:id="59" w:name="_Toc252910831"/>
    </w:p>
    <w:p w:rsidR="004C54F8" w:rsidRDefault="004C54F8" w:rsidP="004C54F8">
      <w:pPr>
        <w:spacing w:before="0" w:after="0"/>
        <w:rPr>
          <w:rFonts w:ascii="Arial" w:hAnsi="Arial" w:cs="Arial"/>
          <w:b/>
          <w:color w:val="1F497D" w:themeColor="text2"/>
          <w:sz w:val="22"/>
          <w:szCs w:val="22"/>
        </w:rPr>
      </w:pPr>
    </w:p>
    <w:p w:rsidR="004C54F8" w:rsidRDefault="004C54F8" w:rsidP="004C54F8">
      <w:pPr>
        <w:spacing w:before="0" w:after="0"/>
        <w:rPr>
          <w:rFonts w:ascii="Arial" w:hAnsi="Arial" w:cs="Arial"/>
          <w:b/>
          <w:color w:val="1F497D" w:themeColor="text2"/>
          <w:sz w:val="22"/>
          <w:szCs w:val="22"/>
        </w:rPr>
      </w:pPr>
    </w:p>
    <w:p w:rsidR="000D73B5" w:rsidRPr="004C54F8" w:rsidRDefault="000D73B5" w:rsidP="004C54F8">
      <w:pPr>
        <w:spacing w:before="0" w:after="0"/>
        <w:rPr>
          <w:rFonts w:ascii="Arial" w:hAnsi="Arial" w:cs="Arial"/>
          <w:sz w:val="22"/>
          <w:szCs w:val="22"/>
        </w:rPr>
      </w:pPr>
      <w:r w:rsidRPr="004C54F8">
        <w:rPr>
          <w:rFonts w:ascii="Arial" w:hAnsi="Arial" w:cs="Arial"/>
          <w:b/>
          <w:color w:val="1F497D" w:themeColor="text2"/>
          <w:sz w:val="22"/>
          <w:szCs w:val="22"/>
        </w:rPr>
        <w:t>Solid Waste</w:t>
      </w:r>
      <w:bookmarkEnd w:id="59"/>
      <w:r w:rsidR="004C54F8" w:rsidRPr="004C54F8">
        <w:rPr>
          <w:rFonts w:ascii="Arial" w:hAnsi="Arial" w:cs="Arial"/>
          <w:b/>
          <w:color w:val="1F497D" w:themeColor="text2"/>
          <w:sz w:val="22"/>
          <w:szCs w:val="22"/>
        </w:rPr>
        <w:t xml:space="preserve">. </w:t>
      </w:r>
      <w:r w:rsidRPr="004C54F8">
        <w:rPr>
          <w:rFonts w:ascii="Arial" w:hAnsi="Arial" w:cs="Arial"/>
          <w:sz w:val="22"/>
          <w:szCs w:val="22"/>
        </w:rPr>
        <w:t xml:space="preserve">Municipal Solid Waste (MSW) is a significant contributor of environmental and health-related problems in Palestine with waste management being still at its infancy. Existing waste infrastructure are deteriorated and only limited development of new infrastructure take place. There are only few sanitary landfills built to international standards, while the majority of the waste is still dumped on random dumpsites, which lack proper management or monitoring. This results in a number of environmental and health problems, such as increased air pollution, continued degradation of nature and biodiversity including increased salinity and heavy metal concentrations in the soil, an aesthetic distortion of the visual environment, and an overall lower quality of life for the Palestinian population. In most cases, neither the location nor the set-up of the dumping sites is selected in accordance with minimal environmental, health or economic considerations. </w:t>
      </w:r>
    </w:p>
    <w:p w:rsidR="000D73B5" w:rsidRPr="004C54F8" w:rsidRDefault="000D73B5" w:rsidP="004C54F8">
      <w:pPr>
        <w:spacing w:before="0" w:after="0"/>
        <w:rPr>
          <w:rFonts w:ascii="Arial" w:hAnsi="Arial" w:cs="Arial"/>
          <w:sz w:val="22"/>
          <w:szCs w:val="22"/>
        </w:rPr>
      </w:pPr>
    </w:p>
    <w:p w:rsidR="000D73B5" w:rsidRPr="004C54F8" w:rsidRDefault="000D73B5" w:rsidP="004C54F8">
      <w:pPr>
        <w:spacing w:before="0" w:after="0"/>
        <w:rPr>
          <w:rFonts w:ascii="Arial" w:hAnsi="Arial" w:cs="Arial"/>
          <w:sz w:val="22"/>
          <w:szCs w:val="22"/>
        </w:rPr>
      </w:pPr>
      <w:r w:rsidRPr="004C54F8">
        <w:rPr>
          <w:rFonts w:ascii="Arial" w:hAnsi="Arial" w:cs="Arial"/>
          <w:sz w:val="22"/>
          <w:szCs w:val="22"/>
        </w:rPr>
        <w:t xml:space="preserve">Most solid waste dumping sites are unlined, which causes </w:t>
      </w:r>
      <w:proofErr w:type="spellStart"/>
      <w:r w:rsidRPr="004C54F8">
        <w:rPr>
          <w:rFonts w:ascii="Arial" w:hAnsi="Arial" w:cs="Arial"/>
          <w:sz w:val="22"/>
          <w:szCs w:val="22"/>
        </w:rPr>
        <w:t>leachate</w:t>
      </w:r>
      <w:proofErr w:type="spellEnd"/>
      <w:r w:rsidRPr="004C54F8">
        <w:rPr>
          <w:rFonts w:ascii="Arial" w:hAnsi="Arial" w:cs="Arial"/>
          <w:sz w:val="22"/>
          <w:szCs w:val="22"/>
        </w:rPr>
        <w:t xml:space="preserve"> to seep into the ground and may pollute the groundwater aquifers. Solid waste is also often burned on the site to reduce the bad </w:t>
      </w:r>
      <w:proofErr w:type="spellStart"/>
      <w:r w:rsidRPr="004C54F8">
        <w:rPr>
          <w:rFonts w:ascii="Arial" w:hAnsi="Arial" w:cs="Arial"/>
          <w:sz w:val="22"/>
          <w:szCs w:val="22"/>
        </w:rPr>
        <w:t>odours</w:t>
      </w:r>
      <w:proofErr w:type="spellEnd"/>
      <w:r w:rsidRPr="004C54F8">
        <w:rPr>
          <w:rFonts w:ascii="Arial" w:hAnsi="Arial" w:cs="Arial"/>
          <w:sz w:val="22"/>
          <w:szCs w:val="22"/>
        </w:rPr>
        <w:t>, thereby adding to air pollution by leading to emissions of acidifying and greenhouse gases. Biological degradation of remaining unburned organic waste adds to their emissions by generating landfill gases. Burning medical waste may pollute air with various heavy metals, especially cadmium, mercury, and dioxins that form through burning PVC.  Effective waste management is also hindered by the geographical discontinuity of land under Palestinian control (most clearly evidenced by the segregation wall). Finally, both Israeli settlements and Israeli industries in the West Bank are reported to release solid waste into the surrounding Palestinian environment without effective controls or restrictions.</w:t>
      </w:r>
    </w:p>
    <w:p w:rsidR="000D73B5" w:rsidRPr="004C54F8" w:rsidRDefault="000D73B5" w:rsidP="004C54F8">
      <w:pPr>
        <w:spacing w:before="0" w:after="0"/>
        <w:rPr>
          <w:rFonts w:ascii="Arial" w:hAnsi="Arial" w:cs="Arial"/>
          <w:sz w:val="22"/>
          <w:szCs w:val="22"/>
        </w:rPr>
      </w:pPr>
    </w:p>
    <w:p w:rsidR="000D73B5" w:rsidRPr="004C54F8" w:rsidRDefault="000D73B5" w:rsidP="000D73B5">
      <w:pPr>
        <w:rPr>
          <w:rFonts w:ascii="Arial" w:hAnsi="Arial" w:cs="Arial"/>
          <w:sz w:val="22"/>
          <w:szCs w:val="22"/>
        </w:rPr>
      </w:pPr>
      <w:bookmarkStart w:id="60" w:name="_Toc252910832"/>
      <w:r w:rsidRPr="004C54F8">
        <w:rPr>
          <w:rFonts w:ascii="Arial" w:hAnsi="Arial" w:cs="Arial"/>
          <w:color w:val="1F497D" w:themeColor="text2"/>
          <w:sz w:val="22"/>
          <w:szCs w:val="22"/>
        </w:rPr>
        <w:t>Air Quality</w:t>
      </w:r>
      <w:bookmarkEnd w:id="60"/>
      <w:r w:rsidR="004C54F8" w:rsidRPr="004C54F8">
        <w:rPr>
          <w:rFonts w:ascii="Arial" w:hAnsi="Arial" w:cs="Arial"/>
          <w:color w:val="1F497D" w:themeColor="text2"/>
          <w:sz w:val="22"/>
          <w:szCs w:val="22"/>
        </w:rPr>
        <w:t>.</w:t>
      </w:r>
      <w:r w:rsidR="004C54F8" w:rsidRPr="004C54F8">
        <w:rPr>
          <w:rFonts w:ascii="Arial Black" w:hAnsi="Arial Black"/>
          <w:color w:val="1F497D" w:themeColor="text2"/>
          <w:sz w:val="22"/>
          <w:szCs w:val="22"/>
        </w:rPr>
        <w:t xml:space="preserve"> </w:t>
      </w:r>
      <w:r w:rsidRPr="004C54F8">
        <w:rPr>
          <w:rFonts w:ascii="Arial" w:hAnsi="Arial" w:cs="Arial"/>
          <w:sz w:val="22"/>
          <w:szCs w:val="22"/>
        </w:rPr>
        <w:t xml:space="preserve">Air quality is not regarded as the most pressing issue. This perception is due to the fact that there is no power generation in the West Bank, and only one oil-fired power station in Gaza. Heavy industry is virtually absent both in the West Bank and Gaza. However, there are sources of air-borne emissions, such as the transport sector (in particular due to the aged fleet or cars and trucks), which is estimated to contribute about 40%-50% of the observed air pollution. Further sources are the widespread unmanaged burning of solid waste, as well as dust emissions from stone quarries and stone crushing facilities (stones being one of the Palestine most important export products). </w:t>
      </w:r>
    </w:p>
    <w:p w:rsidR="000D73B5" w:rsidRPr="00D57EA2" w:rsidRDefault="000D73B5" w:rsidP="00D57EA2">
      <w:pPr>
        <w:spacing w:before="0" w:after="0"/>
        <w:rPr>
          <w:rFonts w:ascii="Arial" w:hAnsi="Arial" w:cs="Arial"/>
          <w:b/>
          <w:i/>
          <w:sz w:val="22"/>
          <w:szCs w:val="22"/>
        </w:rPr>
      </w:pPr>
      <w:bookmarkStart w:id="61" w:name="_Toc252910833"/>
      <w:r w:rsidRPr="00D57EA2">
        <w:rPr>
          <w:rFonts w:ascii="Arial" w:hAnsi="Arial" w:cs="Arial"/>
          <w:b/>
          <w:color w:val="1F497D" w:themeColor="text2"/>
          <w:sz w:val="22"/>
          <w:szCs w:val="22"/>
        </w:rPr>
        <w:lastRenderedPageBreak/>
        <w:t>Water and Sanitation sector Governance</w:t>
      </w:r>
      <w:bookmarkEnd w:id="61"/>
      <w:r w:rsidR="00D57EA2" w:rsidRPr="00D57EA2">
        <w:rPr>
          <w:rFonts w:ascii="Arial" w:hAnsi="Arial" w:cs="Arial"/>
          <w:b/>
          <w:color w:val="1F497D" w:themeColor="text2"/>
          <w:sz w:val="22"/>
          <w:szCs w:val="22"/>
        </w:rPr>
        <w:t xml:space="preserve">. </w:t>
      </w:r>
      <w:r w:rsidRPr="00D57EA2">
        <w:rPr>
          <w:rFonts w:ascii="Arial" w:eastAsiaTheme="minorEastAsia" w:hAnsi="Arial" w:cs="Arial"/>
          <w:sz w:val="22"/>
          <w:szCs w:val="22"/>
        </w:rPr>
        <w:t xml:space="preserve">The Palestinian Water Authority (PWA) is the regulatory body for the water sector in the Palestinian Authority (PA). Its duties include the communications with the Israeli side and the management and distribution of the water resources in Palestinian areas. Other </w:t>
      </w:r>
      <w:r w:rsidRPr="00D57EA2">
        <w:rPr>
          <w:rFonts w:ascii="Arial" w:eastAsiaTheme="minorEastAsia" w:hAnsi="Arial" w:cs="Arial"/>
          <w:sz w:val="22"/>
          <w:szCs w:val="22"/>
          <w:lang w:eastAsia="ja-JP"/>
        </w:rPr>
        <w:t>institutions working in the water sector in one form or another with the PWA are:</w:t>
      </w:r>
    </w:p>
    <w:p w:rsidR="000D73B5" w:rsidRPr="00D57EA2" w:rsidRDefault="000D73B5" w:rsidP="00D57EA2">
      <w:pPr>
        <w:widowControl w:val="0"/>
        <w:numPr>
          <w:ilvl w:val="0"/>
          <w:numId w:val="114"/>
        </w:numPr>
        <w:autoSpaceDE w:val="0"/>
        <w:autoSpaceDN w:val="0"/>
        <w:adjustRightInd w:val="0"/>
        <w:spacing w:before="0" w:after="0"/>
        <w:ind w:left="284" w:hanging="284"/>
        <w:contextualSpacing/>
        <w:jc w:val="left"/>
        <w:rPr>
          <w:rFonts w:ascii="Arial" w:eastAsiaTheme="minorEastAsia" w:hAnsi="Arial" w:cs="Arial"/>
          <w:sz w:val="22"/>
          <w:szCs w:val="22"/>
          <w:lang w:eastAsia="ja-JP"/>
        </w:rPr>
      </w:pPr>
      <w:r w:rsidRPr="00D57EA2">
        <w:rPr>
          <w:rFonts w:ascii="Arial" w:eastAsiaTheme="minorEastAsia" w:hAnsi="Arial" w:cs="Arial"/>
          <w:sz w:val="22"/>
          <w:szCs w:val="22"/>
          <w:lang w:eastAsia="ja-JP"/>
        </w:rPr>
        <w:t>Ministry of Agriculture (Environmental Quality Authority EQA);</w:t>
      </w:r>
    </w:p>
    <w:p w:rsidR="000D73B5" w:rsidRPr="00D57EA2" w:rsidRDefault="000D73B5" w:rsidP="00D57EA2">
      <w:pPr>
        <w:widowControl w:val="0"/>
        <w:numPr>
          <w:ilvl w:val="0"/>
          <w:numId w:val="114"/>
        </w:numPr>
        <w:autoSpaceDE w:val="0"/>
        <w:autoSpaceDN w:val="0"/>
        <w:adjustRightInd w:val="0"/>
        <w:spacing w:before="0" w:after="0"/>
        <w:ind w:left="284" w:hanging="284"/>
        <w:contextualSpacing/>
        <w:jc w:val="left"/>
        <w:rPr>
          <w:rFonts w:ascii="Arial" w:eastAsiaTheme="minorEastAsia" w:hAnsi="Arial" w:cs="Arial"/>
          <w:sz w:val="22"/>
          <w:szCs w:val="22"/>
          <w:lang w:eastAsia="ja-JP"/>
        </w:rPr>
      </w:pPr>
      <w:r w:rsidRPr="00D57EA2">
        <w:rPr>
          <w:rFonts w:ascii="Arial" w:eastAsiaTheme="minorEastAsia" w:hAnsi="Arial" w:cs="Arial"/>
          <w:sz w:val="22"/>
          <w:szCs w:val="22"/>
          <w:lang w:eastAsia="ja-JP"/>
        </w:rPr>
        <w:t>Ministry of Local Government (Association of Water Service Providers);</w:t>
      </w:r>
    </w:p>
    <w:p w:rsidR="000D73B5" w:rsidRPr="00D57EA2" w:rsidRDefault="000D73B5" w:rsidP="00D57EA2">
      <w:pPr>
        <w:widowControl w:val="0"/>
        <w:numPr>
          <w:ilvl w:val="0"/>
          <w:numId w:val="114"/>
        </w:numPr>
        <w:autoSpaceDE w:val="0"/>
        <w:autoSpaceDN w:val="0"/>
        <w:adjustRightInd w:val="0"/>
        <w:spacing w:before="0" w:after="0"/>
        <w:ind w:left="284" w:hanging="284"/>
        <w:contextualSpacing/>
        <w:jc w:val="left"/>
        <w:rPr>
          <w:rFonts w:ascii="Arial" w:eastAsiaTheme="minorEastAsia" w:hAnsi="Arial" w:cs="Arial"/>
          <w:sz w:val="22"/>
          <w:szCs w:val="22"/>
          <w:lang w:eastAsia="ja-JP"/>
        </w:rPr>
      </w:pPr>
      <w:r w:rsidRPr="00D57EA2">
        <w:rPr>
          <w:rFonts w:ascii="Arial" w:eastAsiaTheme="minorEastAsia" w:hAnsi="Arial" w:cs="Arial"/>
          <w:sz w:val="22"/>
          <w:szCs w:val="22"/>
          <w:lang w:eastAsia="ja-JP"/>
        </w:rPr>
        <w:t xml:space="preserve">Ministry of Health; </w:t>
      </w:r>
    </w:p>
    <w:p w:rsidR="000D73B5" w:rsidRPr="00D57EA2" w:rsidRDefault="000D73B5" w:rsidP="00D57EA2">
      <w:pPr>
        <w:widowControl w:val="0"/>
        <w:numPr>
          <w:ilvl w:val="0"/>
          <w:numId w:val="114"/>
        </w:numPr>
        <w:autoSpaceDE w:val="0"/>
        <w:autoSpaceDN w:val="0"/>
        <w:adjustRightInd w:val="0"/>
        <w:spacing w:before="0" w:after="0"/>
        <w:ind w:left="284" w:hanging="284"/>
        <w:contextualSpacing/>
        <w:jc w:val="left"/>
        <w:rPr>
          <w:rFonts w:ascii="Arial" w:eastAsiaTheme="minorEastAsia" w:hAnsi="Arial" w:cs="Arial"/>
          <w:sz w:val="22"/>
          <w:szCs w:val="22"/>
          <w:lang w:eastAsia="ja-JP"/>
        </w:rPr>
      </w:pPr>
      <w:r w:rsidRPr="00D57EA2">
        <w:rPr>
          <w:rFonts w:ascii="Arial" w:eastAsiaTheme="minorEastAsia" w:hAnsi="Arial" w:cs="Arial"/>
          <w:sz w:val="22"/>
          <w:szCs w:val="22"/>
          <w:lang w:eastAsia="ja-JP"/>
        </w:rPr>
        <w:t>Ministry of Industry;</w:t>
      </w:r>
    </w:p>
    <w:p w:rsidR="000D73B5" w:rsidRPr="00D57EA2" w:rsidRDefault="000D73B5" w:rsidP="00D57EA2">
      <w:pPr>
        <w:widowControl w:val="0"/>
        <w:numPr>
          <w:ilvl w:val="0"/>
          <w:numId w:val="114"/>
        </w:numPr>
        <w:autoSpaceDE w:val="0"/>
        <w:autoSpaceDN w:val="0"/>
        <w:adjustRightInd w:val="0"/>
        <w:spacing w:before="0" w:after="0"/>
        <w:ind w:left="284" w:hanging="284"/>
        <w:contextualSpacing/>
        <w:jc w:val="left"/>
        <w:rPr>
          <w:rFonts w:ascii="Arial" w:eastAsiaTheme="minorEastAsia" w:hAnsi="Arial" w:cs="Arial"/>
          <w:sz w:val="22"/>
          <w:szCs w:val="22"/>
          <w:lang w:eastAsia="ja-JP"/>
        </w:rPr>
      </w:pPr>
      <w:r w:rsidRPr="00D57EA2">
        <w:rPr>
          <w:rFonts w:ascii="Arial" w:eastAsiaTheme="minorEastAsia" w:hAnsi="Arial" w:cs="Arial"/>
          <w:sz w:val="22"/>
          <w:szCs w:val="22"/>
          <w:lang w:eastAsia="ja-JP"/>
        </w:rPr>
        <w:t>Water Consumers Association;</w:t>
      </w:r>
    </w:p>
    <w:p w:rsidR="000D73B5" w:rsidRPr="00D57EA2" w:rsidRDefault="000D73B5" w:rsidP="00D57EA2">
      <w:pPr>
        <w:widowControl w:val="0"/>
        <w:numPr>
          <w:ilvl w:val="0"/>
          <w:numId w:val="114"/>
        </w:numPr>
        <w:autoSpaceDE w:val="0"/>
        <w:autoSpaceDN w:val="0"/>
        <w:adjustRightInd w:val="0"/>
        <w:spacing w:before="0" w:after="0"/>
        <w:ind w:left="284" w:hanging="284"/>
        <w:contextualSpacing/>
        <w:jc w:val="left"/>
        <w:rPr>
          <w:rFonts w:ascii="Arial" w:eastAsiaTheme="minorEastAsia" w:hAnsi="Arial" w:cs="Arial"/>
          <w:sz w:val="22"/>
          <w:szCs w:val="22"/>
          <w:lang w:eastAsia="ja-JP"/>
        </w:rPr>
      </w:pPr>
      <w:r w:rsidRPr="00D57EA2">
        <w:rPr>
          <w:rFonts w:ascii="Arial" w:eastAsiaTheme="minorEastAsia" w:hAnsi="Arial" w:cs="Arial"/>
          <w:sz w:val="22"/>
          <w:szCs w:val="22"/>
          <w:lang w:eastAsia="ja-JP"/>
        </w:rPr>
        <w:t>Regional Water Institutions (WB Water Department, Coastal Water Authority, Jerusalem Water Undertaking);</w:t>
      </w:r>
    </w:p>
    <w:p w:rsidR="000D73B5" w:rsidRPr="00D57EA2" w:rsidRDefault="000D73B5" w:rsidP="00D57EA2">
      <w:pPr>
        <w:widowControl w:val="0"/>
        <w:numPr>
          <w:ilvl w:val="0"/>
          <w:numId w:val="114"/>
        </w:numPr>
        <w:autoSpaceDE w:val="0"/>
        <w:autoSpaceDN w:val="0"/>
        <w:adjustRightInd w:val="0"/>
        <w:spacing w:before="0" w:after="0"/>
        <w:ind w:left="284" w:hanging="284"/>
        <w:contextualSpacing/>
        <w:jc w:val="left"/>
        <w:rPr>
          <w:rFonts w:ascii="Arial" w:eastAsiaTheme="minorEastAsia" w:hAnsi="Arial" w:cs="Arial"/>
          <w:sz w:val="22"/>
          <w:szCs w:val="22"/>
          <w:lang w:eastAsia="ja-JP"/>
        </w:rPr>
      </w:pPr>
      <w:r w:rsidRPr="00D57EA2">
        <w:rPr>
          <w:rFonts w:ascii="Arial" w:eastAsiaTheme="minorEastAsia" w:hAnsi="Arial" w:cs="Arial"/>
          <w:sz w:val="22"/>
          <w:szCs w:val="22"/>
          <w:lang w:eastAsia="ja-JP"/>
        </w:rPr>
        <w:t xml:space="preserve">Local universities, environmental and research </w:t>
      </w:r>
      <w:proofErr w:type="spellStart"/>
      <w:r w:rsidRPr="00D57EA2">
        <w:rPr>
          <w:rFonts w:ascii="Arial" w:eastAsiaTheme="minorEastAsia" w:hAnsi="Arial" w:cs="Arial"/>
          <w:sz w:val="22"/>
          <w:szCs w:val="22"/>
          <w:lang w:eastAsia="ja-JP"/>
        </w:rPr>
        <w:t>centres</w:t>
      </w:r>
      <w:proofErr w:type="spellEnd"/>
      <w:r w:rsidRPr="00D57EA2">
        <w:rPr>
          <w:rFonts w:ascii="Arial" w:eastAsiaTheme="minorEastAsia" w:hAnsi="Arial" w:cs="Arial"/>
          <w:sz w:val="22"/>
          <w:szCs w:val="22"/>
          <w:lang w:eastAsia="ja-JP"/>
        </w:rPr>
        <w:t>;</w:t>
      </w:r>
    </w:p>
    <w:p w:rsidR="000D73B5" w:rsidRPr="00D57EA2" w:rsidRDefault="000D73B5" w:rsidP="00D57EA2">
      <w:pPr>
        <w:widowControl w:val="0"/>
        <w:numPr>
          <w:ilvl w:val="0"/>
          <w:numId w:val="114"/>
        </w:numPr>
        <w:autoSpaceDE w:val="0"/>
        <w:autoSpaceDN w:val="0"/>
        <w:adjustRightInd w:val="0"/>
        <w:spacing w:before="0" w:after="0"/>
        <w:ind w:left="284" w:hanging="284"/>
        <w:contextualSpacing/>
        <w:jc w:val="left"/>
        <w:rPr>
          <w:rFonts w:ascii="Arial" w:eastAsiaTheme="minorEastAsia" w:hAnsi="Arial" w:cs="Arial"/>
          <w:sz w:val="22"/>
          <w:szCs w:val="22"/>
          <w:lang w:eastAsia="ja-JP"/>
        </w:rPr>
      </w:pPr>
      <w:r w:rsidRPr="00D57EA2">
        <w:rPr>
          <w:rFonts w:ascii="Arial" w:eastAsiaTheme="minorEastAsia" w:hAnsi="Arial" w:cs="Arial"/>
          <w:sz w:val="22"/>
          <w:szCs w:val="22"/>
          <w:lang w:eastAsia="ja-JP"/>
        </w:rPr>
        <w:t>NGO’s.</w:t>
      </w:r>
    </w:p>
    <w:p w:rsidR="00D57EA2" w:rsidRPr="00D57EA2" w:rsidRDefault="00D57EA2" w:rsidP="00D57EA2">
      <w:pPr>
        <w:widowControl w:val="0"/>
        <w:autoSpaceDE w:val="0"/>
        <w:autoSpaceDN w:val="0"/>
        <w:adjustRightInd w:val="0"/>
        <w:spacing w:before="0" w:after="0"/>
        <w:jc w:val="left"/>
        <w:rPr>
          <w:rFonts w:ascii="Arial" w:eastAsiaTheme="minorEastAsia" w:hAnsi="Arial" w:cs="Arial"/>
          <w:sz w:val="22"/>
          <w:szCs w:val="22"/>
          <w:lang w:eastAsia="ja-JP"/>
        </w:rPr>
      </w:pPr>
    </w:p>
    <w:p w:rsidR="000D73B5" w:rsidRPr="00D57EA2" w:rsidRDefault="000D73B5" w:rsidP="00D57EA2">
      <w:pPr>
        <w:widowControl w:val="0"/>
        <w:autoSpaceDE w:val="0"/>
        <w:autoSpaceDN w:val="0"/>
        <w:adjustRightInd w:val="0"/>
        <w:spacing w:before="0" w:after="0"/>
        <w:jc w:val="left"/>
        <w:rPr>
          <w:rFonts w:ascii="Arial" w:eastAsiaTheme="minorEastAsia" w:hAnsi="Arial" w:cs="Arial"/>
          <w:sz w:val="22"/>
          <w:szCs w:val="22"/>
          <w:lang w:eastAsia="ja-JP"/>
        </w:rPr>
      </w:pPr>
      <w:r w:rsidRPr="00D57EA2">
        <w:rPr>
          <w:rFonts w:ascii="Arial" w:eastAsiaTheme="minorEastAsia" w:hAnsi="Arial" w:cs="Arial"/>
          <w:sz w:val="22"/>
          <w:szCs w:val="22"/>
          <w:lang w:eastAsia="ja-JP"/>
        </w:rPr>
        <w:t>The private sector role is restricted to only executing infrastructure water sector projects.</w:t>
      </w:r>
    </w:p>
    <w:p w:rsidR="000D73B5" w:rsidRPr="00D57EA2" w:rsidRDefault="000D73B5" w:rsidP="00D57EA2">
      <w:pPr>
        <w:spacing w:before="0" w:after="0"/>
        <w:rPr>
          <w:rFonts w:ascii="Arial" w:hAnsi="Arial" w:cs="Arial"/>
          <w:sz w:val="22"/>
          <w:szCs w:val="22"/>
        </w:rPr>
      </w:pPr>
      <w:r w:rsidRPr="00D57EA2">
        <w:rPr>
          <w:rFonts w:ascii="Arial" w:hAnsi="Arial" w:cs="Arial"/>
          <w:sz w:val="22"/>
          <w:szCs w:val="22"/>
          <w:lang w:eastAsia="ja-JP"/>
        </w:rPr>
        <w:t>The Israeli control over Pal</w:t>
      </w:r>
      <w:r w:rsidRPr="00D57EA2">
        <w:rPr>
          <w:rFonts w:ascii="Arial" w:hAnsi="Arial" w:cs="Arial"/>
          <w:sz w:val="22"/>
          <w:szCs w:val="22"/>
          <w:lang w:eastAsia="ja-JP"/>
        </w:rPr>
        <w:softHyphen/>
        <w:t>estinian water resources is sus</w:t>
      </w:r>
      <w:r w:rsidRPr="00D57EA2">
        <w:rPr>
          <w:rFonts w:ascii="Arial" w:hAnsi="Arial" w:cs="Arial"/>
          <w:sz w:val="22"/>
          <w:szCs w:val="22"/>
          <w:lang w:eastAsia="ja-JP"/>
        </w:rPr>
        <w:softHyphen/>
        <w:t>tained by numerous laws and regulations, military or</w:t>
      </w:r>
      <w:r w:rsidRPr="00D57EA2">
        <w:rPr>
          <w:rFonts w:ascii="Arial" w:hAnsi="Arial" w:cs="Arial"/>
          <w:sz w:val="22"/>
          <w:szCs w:val="22"/>
          <w:lang w:eastAsia="ja-JP"/>
        </w:rPr>
        <w:softHyphen/>
        <w:t>ders, restrictive bureaucracy and other limitations which have led to a struc</w:t>
      </w:r>
      <w:r w:rsidRPr="00D57EA2">
        <w:rPr>
          <w:rFonts w:ascii="Arial" w:hAnsi="Arial" w:cs="Arial"/>
          <w:sz w:val="22"/>
          <w:szCs w:val="22"/>
          <w:lang w:eastAsia="ja-JP"/>
        </w:rPr>
        <w:softHyphen/>
        <w:t xml:space="preserve">tural imbalance between the two sides. </w:t>
      </w:r>
      <w:r w:rsidRPr="00D57EA2">
        <w:rPr>
          <w:rFonts w:ascii="Arial" w:hAnsi="Arial" w:cs="Arial"/>
          <w:sz w:val="22"/>
          <w:szCs w:val="22"/>
        </w:rPr>
        <w:t xml:space="preserve">In 1995 the </w:t>
      </w:r>
      <w:r w:rsidRPr="00D57EA2">
        <w:rPr>
          <w:rFonts w:ascii="Arial" w:hAnsi="Arial" w:cs="Arial"/>
          <w:b/>
          <w:sz w:val="22"/>
          <w:szCs w:val="22"/>
        </w:rPr>
        <w:t>Oslo II agreement (Art. 40)</w:t>
      </w:r>
      <w:r w:rsidRPr="00D57EA2">
        <w:rPr>
          <w:rFonts w:ascii="Arial" w:hAnsi="Arial" w:cs="Arial"/>
          <w:b/>
          <w:sz w:val="22"/>
          <w:szCs w:val="22"/>
          <w:u w:val="single"/>
        </w:rPr>
        <w:t xml:space="preserve"> </w:t>
      </w:r>
      <w:r w:rsidRPr="00D57EA2">
        <w:rPr>
          <w:rFonts w:ascii="Arial" w:hAnsi="Arial" w:cs="Arial"/>
          <w:sz w:val="22"/>
          <w:szCs w:val="22"/>
        </w:rPr>
        <w:t>contained provisions on water and sewage that recognized undefined Palestinian water rights, and returned some West Bank water resources and services responsibility to the PA</w:t>
      </w:r>
      <w:r w:rsidRPr="00D57EA2">
        <w:rPr>
          <w:rStyle w:val="Rimandonotaapidipagina"/>
          <w:rFonts w:ascii="Arial" w:hAnsi="Arial" w:cs="Arial"/>
          <w:sz w:val="22"/>
          <w:szCs w:val="22"/>
        </w:rPr>
        <w:footnoteReference w:id="34"/>
      </w:r>
      <w:r w:rsidRPr="00D57EA2">
        <w:rPr>
          <w:rFonts w:ascii="Arial" w:hAnsi="Arial" w:cs="Arial"/>
          <w:sz w:val="22"/>
          <w:szCs w:val="22"/>
        </w:rPr>
        <w:t xml:space="preserve">. </w:t>
      </w:r>
    </w:p>
    <w:p w:rsidR="000D73B5" w:rsidRPr="00D57EA2" w:rsidRDefault="000D73B5" w:rsidP="00D57EA2">
      <w:pPr>
        <w:spacing w:before="0" w:after="0"/>
        <w:ind w:left="1985"/>
        <w:rPr>
          <w:rFonts w:ascii="Arial" w:hAnsi="Arial" w:cs="Arial"/>
          <w:i/>
          <w:sz w:val="22"/>
          <w:szCs w:val="22"/>
        </w:rPr>
      </w:pPr>
    </w:p>
    <w:p w:rsidR="000D73B5" w:rsidRPr="00D57EA2" w:rsidRDefault="000D73B5" w:rsidP="00D57EA2">
      <w:pPr>
        <w:spacing w:before="0" w:after="0"/>
        <w:ind w:left="284" w:hanging="284"/>
        <w:rPr>
          <w:rFonts w:ascii="Arial" w:hAnsi="Arial" w:cs="Arial"/>
          <w:i/>
          <w:sz w:val="22"/>
          <w:szCs w:val="22"/>
        </w:rPr>
      </w:pPr>
      <w:r w:rsidRPr="00D57EA2">
        <w:rPr>
          <w:rFonts w:ascii="Arial" w:hAnsi="Arial" w:cs="Arial"/>
          <w:i/>
          <w:sz w:val="22"/>
          <w:szCs w:val="22"/>
        </w:rPr>
        <w:t>Essentially Article 40:</w:t>
      </w:r>
    </w:p>
    <w:p w:rsidR="000D73B5" w:rsidRPr="00D57EA2" w:rsidRDefault="000D73B5" w:rsidP="00D57EA2">
      <w:pPr>
        <w:numPr>
          <w:ilvl w:val="0"/>
          <w:numId w:val="113"/>
        </w:numPr>
        <w:spacing w:before="0" w:after="0"/>
        <w:ind w:left="284" w:hanging="284"/>
        <w:contextualSpacing/>
        <w:rPr>
          <w:rFonts w:ascii="Arial" w:hAnsi="Arial" w:cs="Arial"/>
          <w:i/>
          <w:sz w:val="22"/>
          <w:szCs w:val="22"/>
        </w:rPr>
      </w:pPr>
      <w:r w:rsidRPr="00D57EA2">
        <w:rPr>
          <w:rFonts w:ascii="Arial" w:hAnsi="Arial" w:cs="Arial"/>
          <w:i/>
          <w:sz w:val="22"/>
          <w:szCs w:val="22"/>
        </w:rPr>
        <w:t>Set governance arrangements for a five year interim period, notably a Joint Water Committee (JWC) to oversee management of the aquifers, with decisions to be based on consensus between the two parties;</w:t>
      </w:r>
    </w:p>
    <w:p w:rsidR="000D73B5" w:rsidRPr="00D57EA2" w:rsidRDefault="000D73B5" w:rsidP="00D57EA2">
      <w:pPr>
        <w:numPr>
          <w:ilvl w:val="0"/>
          <w:numId w:val="113"/>
        </w:numPr>
        <w:spacing w:before="0" w:after="0"/>
        <w:ind w:left="284" w:hanging="284"/>
        <w:contextualSpacing/>
        <w:rPr>
          <w:rFonts w:ascii="Arial" w:hAnsi="Arial" w:cs="Arial"/>
          <w:i/>
          <w:sz w:val="22"/>
          <w:szCs w:val="22"/>
        </w:rPr>
      </w:pPr>
      <w:r w:rsidRPr="00D57EA2">
        <w:rPr>
          <w:rFonts w:ascii="Arial" w:hAnsi="Arial" w:cs="Arial"/>
          <w:i/>
          <w:sz w:val="22"/>
          <w:szCs w:val="22"/>
        </w:rPr>
        <w:t>Allocated to either party specific quantities of the three West Bank aquifers underlying both territories - the share allocated to the Palestinian West Bank was about one quarter of the allocation to Israel and the settlements;</w:t>
      </w:r>
    </w:p>
    <w:p w:rsidR="000D73B5" w:rsidRPr="00D57EA2" w:rsidRDefault="000D73B5" w:rsidP="00D57EA2">
      <w:pPr>
        <w:numPr>
          <w:ilvl w:val="0"/>
          <w:numId w:val="113"/>
        </w:numPr>
        <w:spacing w:before="0" w:after="0"/>
        <w:ind w:left="284" w:hanging="284"/>
        <w:contextualSpacing/>
        <w:rPr>
          <w:rFonts w:ascii="Arial" w:hAnsi="Arial" w:cs="Arial"/>
          <w:i/>
          <w:sz w:val="22"/>
          <w:szCs w:val="22"/>
        </w:rPr>
      </w:pPr>
      <w:r w:rsidRPr="00D57EA2">
        <w:rPr>
          <w:rFonts w:ascii="Arial" w:hAnsi="Arial" w:cs="Arial"/>
          <w:i/>
          <w:sz w:val="22"/>
          <w:szCs w:val="22"/>
        </w:rPr>
        <w:t xml:space="preserve">Provided for interim extra supplies from new wells and from </w:t>
      </w:r>
      <w:proofErr w:type="spellStart"/>
      <w:r w:rsidRPr="00D57EA2">
        <w:rPr>
          <w:rFonts w:ascii="Arial" w:hAnsi="Arial" w:cs="Arial"/>
          <w:i/>
          <w:sz w:val="22"/>
          <w:szCs w:val="22"/>
        </w:rPr>
        <w:t>Mekorot</w:t>
      </w:r>
      <w:proofErr w:type="spellEnd"/>
      <w:r w:rsidRPr="00D57EA2">
        <w:rPr>
          <w:rFonts w:ascii="Arial" w:hAnsi="Arial" w:cs="Arial"/>
          <w:i/>
          <w:sz w:val="22"/>
          <w:szCs w:val="22"/>
        </w:rPr>
        <w:t xml:space="preserve"> - an extra 28.6 MCM was to be allocated to Palestinian needs;</w:t>
      </w:r>
    </w:p>
    <w:p w:rsidR="000D73B5" w:rsidRPr="00D57EA2" w:rsidRDefault="000D73B5" w:rsidP="00D57EA2">
      <w:pPr>
        <w:numPr>
          <w:ilvl w:val="0"/>
          <w:numId w:val="113"/>
        </w:numPr>
        <w:spacing w:before="0" w:after="0"/>
        <w:ind w:left="284" w:hanging="284"/>
        <w:contextualSpacing/>
        <w:rPr>
          <w:rFonts w:ascii="Arial" w:hAnsi="Arial" w:cs="Arial"/>
          <w:i/>
          <w:sz w:val="22"/>
          <w:szCs w:val="22"/>
        </w:rPr>
      </w:pPr>
      <w:r w:rsidRPr="00D57EA2">
        <w:rPr>
          <w:rFonts w:ascii="Arial" w:hAnsi="Arial" w:cs="Arial"/>
          <w:i/>
          <w:sz w:val="22"/>
          <w:szCs w:val="22"/>
        </w:rPr>
        <w:t>Estimated “future needs” for the Palestinian West Bank at 70-80 MCM.</w:t>
      </w:r>
    </w:p>
    <w:p w:rsidR="00D57EA2" w:rsidRPr="00D57EA2" w:rsidRDefault="00D57EA2" w:rsidP="00D57EA2">
      <w:pPr>
        <w:spacing w:before="0" w:after="0"/>
        <w:ind w:left="1985"/>
        <w:contextualSpacing/>
        <w:rPr>
          <w:rFonts w:ascii="Arial" w:hAnsi="Arial" w:cs="Arial"/>
          <w:i/>
          <w:sz w:val="22"/>
          <w:szCs w:val="22"/>
        </w:rPr>
      </w:pPr>
    </w:p>
    <w:p w:rsidR="000D73B5" w:rsidRPr="00D57EA2" w:rsidRDefault="000D73B5" w:rsidP="00D57EA2">
      <w:pPr>
        <w:spacing w:before="0" w:after="0"/>
        <w:rPr>
          <w:rFonts w:ascii="Arial" w:hAnsi="Arial" w:cs="Arial"/>
          <w:color w:val="221E1F"/>
          <w:sz w:val="22"/>
          <w:szCs w:val="22"/>
          <w:lang w:eastAsia="ja-JP"/>
        </w:rPr>
      </w:pPr>
      <w:r w:rsidRPr="00D57EA2">
        <w:rPr>
          <w:rFonts w:ascii="Arial" w:hAnsi="Arial" w:cs="Arial"/>
          <w:color w:val="221E1F"/>
          <w:sz w:val="22"/>
          <w:szCs w:val="22"/>
          <w:lang w:eastAsia="ja-JP"/>
        </w:rPr>
        <w:t>The Oslo Accords divided the West Bank into three geographic areas: A, B and C. This terri</w:t>
      </w:r>
      <w:r w:rsidRPr="00D57EA2">
        <w:rPr>
          <w:rFonts w:ascii="Arial" w:hAnsi="Arial" w:cs="Arial"/>
          <w:color w:val="221E1F"/>
          <w:sz w:val="22"/>
          <w:szCs w:val="22"/>
          <w:lang w:eastAsia="ja-JP"/>
        </w:rPr>
        <w:softHyphen/>
        <w:t>torial administration is also relevant in terms of water manage</w:t>
      </w:r>
      <w:r w:rsidRPr="00D57EA2">
        <w:rPr>
          <w:rFonts w:ascii="Arial" w:hAnsi="Arial" w:cs="Arial"/>
          <w:color w:val="221E1F"/>
          <w:sz w:val="22"/>
          <w:szCs w:val="22"/>
          <w:lang w:eastAsia="ja-JP"/>
        </w:rPr>
        <w:softHyphen/>
        <w:t>ment within the West Bank. In Areas A and B, springs and wells to access groundwater are mainly un</w:t>
      </w:r>
      <w:r w:rsidRPr="00D57EA2">
        <w:rPr>
          <w:rFonts w:ascii="Arial" w:hAnsi="Arial" w:cs="Arial"/>
          <w:color w:val="221E1F"/>
          <w:sz w:val="22"/>
          <w:szCs w:val="22"/>
          <w:lang w:eastAsia="ja-JP"/>
        </w:rPr>
        <w:softHyphen/>
        <w:t>der control of local Palestinian municipalities and private Palestinian owners. In Area C, the full control of water infrastructure (wells) and natu</w:t>
      </w:r>
      <w:r w:rsidRPr="00D57EA2">
        <w:rPr>
          <w:rFonts w:ascii="Arial" w:hAnsi="Arial" w:cs="Arial"/>
          <w:color w:val="221E1F"/>
          <w:sz w:val="22"/>
          <w:szCs w:val="22"/>
          <w:lang w:eastAsia="ja-JP"/>
        </w:rPr>
        <w:softHyphen/>
        <w:t>ral springs is under Israeli control. Article 40 of the Oslo Accord</w:t>
      </w:r>
      <w:r w:rsidRPr="00D57EA2">
        <w:rPr>
          <w:rFonts w:ascii="Arial" w:hAnsi="Arial" w:cs="Arial"/>
          <w:color w:val="221E1F"/>
          <w:sz w:val="22"/>
          <w:szCs w:val="22"/>
        </w:rPr>
        <w:footnoteReference w:id="35"/>
      </w:r>
      <w:r w:rsidRPr="00D57EA2">
        <w:rPr>
          <w:rFonts w:ascii="Arial" w:hAnsi="Arial" w:cs="Arial"/>
          <w:color w:val="221E1F"/>
          <w:sz w:val="22"/>
          <w:szCs w:val="22"/>
          <w:lang w:eastAsia="ja-JP"/>
        </w:rPr>
        <w:t xml:space="preserve"> did not acknowledge the excessive allocation of water to the Jewish settlements and have far underestimated the amount of water available to the Palestinians. Both the projected population growth and the expect</w:t>
      </w:r>
      <w:r w:rsidRPr="00D57EA2">
        <w:rPr>
          <w:rFonts w:ascii="Arial" w:hAnsi="Arial" w:cs="Arial"/>
          <w:color w:val="221E1F"/>
          <w:sz w:val="22"/>
          <w:szCs w:val="22"/>
          <w:lang w:eastAsia="ja-JP"/>
        </w:rPr>
        <w:softHyphen/>
        <w:t>ed supply of water from different aquifers were miscalculated. Moreover the calculations were based on limited access to water data espe</w:t>
      </w:r>
      <w:r w:rsidRPr="00D57EA2">
        <w:rPr>
          <w:rFonts w:ascii="Arial" w:hAnsi="Arial" w:cs="Arial"/>
          <w:color w:val="221E1F"/>
          <w:sz w:val="22"/>
          <w:szCs w:val="22"/>
          <w:lang w:eastAsia="ja-JP"/>
        </w:rPr>
        <w:softHyphen/>
        <w:t xml:space="preserve">cially concerning extraction from the Eastern Aquifer (West Bank). </w:t>
      </w:r>
    </w:p>
    <w:p w:rsidR="000D73B5" w:rsidRPr="00D57EA2" w:rsidRDefault="000D73B5" w:rsidP="00D57EA2">
      <w:pPr>
        <w:spacing w:before="0" w:after="0"/>
        <w:rPr>
          <w:rFonts w:ascii="Arial" w:hAnsi="Arial" w:cs="Arial"/>
          <w:color w:val="221E1F"/>
          <w:sz w:val="22"/>
          <w:szCs w:val="22"/>
          <w:lang w:eastAsia="ja-JP"/>
        </w:rPr>
      </w:pPr>
    </w:p>
    <w:p w:rsidR="000D73B5" w:rsidRPr="00D57EA2" w:rsidRDefault="000D73B5" w:rsidP="00D57EA2">
      <w:pPr>
        <w:spacing w:before="0" w:after="0"/>
        <w:rPr>
          <w:rFonts w:ascii="Arial" w:hAnsi="Arial" w:cs="Arial"/>
          <w:color w:val="221E1F"/>
          <w:sz w:val="22"/>
          <w:szCs w:val="22"/>
          <w:lang w:eastAsia="ja-JP"/>
        </w:rPr>
      </w:pPr>
      <w:r w:rsidRPr="00D57EA2">
        <w:rPr>
          <w:rFonts w:ascii="Arial" w:hAnsi="Arial" w:cs="Arial"/>
          <w:color w:val="221E1F"/>
          <w:sz w:val="22"/>
          <w:szCs w:val="22"/>
          <w:lang w:eastAsia="ja-JP"/>
        </w:rPr>
        <w:t>The over-exploitation of water re</w:t>
      </w:r>
      <w:r w:rsidRPr="00D57EA2">
        <w:rPr>
          <w:rFonts w:ascii="Arial" w:hAnsi="Arial" w:cs="Arial"/>
          <w:color w:val="221E1F"/>
          <w:sz w:val="22"/>
          <w:szCs w:val="22"/>
          <w:lang w:eastAsia="ja-JP"/>
        </w:rPr>
        <w:softHyphen/>
        <w:t>sources available and the lack of infrastructure to manage them were issues that were not ad</w:t>
      </w:r>
      <w:r w:rsidRPr="00D57EA2">
        <w:rPr>
          <w:rFonts w:ascii="Arial" w:hAnsi="Arial" w:cs="Arial"/>
          <w:color w:val="221E1F"/>
          <w:sz w:val="22"/>
          <w:szCs w:val="22"/>
          <w:lang w:eastAsia="ja-JP"/>
        </w:rPr>
        <w:softHyphen/>
        <w:t>dressed in the negotiations. Moreover, the lack of regulation on the access to water for Jewish settlers made the procedures for extraction more complex and less sustainable. Inter</w:t>
      </w:r>
      <w:r w:rsidRPr="00D57EA2">
        <w:rPr>
          <w:rFonts w:ascii="Arial" w:hAnsi="Arial" w:cs="Arial"/>
          <w:color w:val="221E1F"/>
          <w:sz w:val="22"/>
          <w:szCs w:val="22"/>
          <w:lang w:eastAsia="ja-JP"/>
        </w:rPr>
        <w:softHyphen/>
        <w:t>national investment strategies in the wa</w:t>
      </w:r>
      <w:r w:rsidRPr="00D57EA2">
        <w:rPr>
          <w:rFonts w:ascii="Arial" w:hAnsi="Arial" w:cs="Arial"/>
          <w:color w:val="221E1F"/>
          <w:sz w:val="22"/>
          <w:szCs w:val="22"/>
          <w:lang w:eastAsia="ja-JP"/>
        </w:rPr>
        <w:softHyphen/>
        <w:t>ter sector were de</w:t>
      </w:r>
      <w:r w:rsidRPr="00D57EA2">
        <w:rPr>
          <w:rFonts w:ascii="Arial" w:hAnsi="Arial" w:cs="Arial"/>
          <w:color w:val="221E1F"/>
          <w:sz w:val="22"/>
          <w:szCs w:val="22"/>
          <w:lang w:eastAsia="ja-JP"/>
        </w:rPr>
        <w:softHyphen/>
        <w:t>veloped in order to address the short-term needs of the population as a way to delay a potential water crisis. No clear long-term strat</w:t>
      </w:r>
      <w:r w:rsidRPr="00D57EA2">
        <w:rPr>
          <w:rFonts w:ascii="Arial" w:hAnsi="Arial" w:cs="Arial"/>
          <w:color w:val="221E1F"/>
          <w:sz w:val="22"/>
          <w:szCs w:val="22"/>
          <w:lang w:eastAsia="ja-JP"/>
        </w:rPr>
        <w:softHyphen/>
        <w:t xml:space="preserve">egy was </w:t>
      </w:r>
      <w:r w:rsidR="00D57EA2" w:rsidRPr="00D57EA2">
        <w:rPr>
          <w:rFonts w:ascii="Arial" w:hAnsi="Arial" w:cs="Arial"/>
          <w:color w:val="221E1F"/>
          <w:sz w:val="22"/>
          <w:szCs w:val="22"/>
          <w:lang w:eastAsia="ja-JP"/>
        </w:rPr>
        <w:t>developed</w:t>
      </w:r>
      <w:r w:rsidRPr="00D57EA2">
        <w:rPr>
          <w:rFonts w:ascii="Arial" w:hAnsi="Arial" w:cs="Arial"/>
          <w:color w:val="221E1F"/>
          <w:sz w:val="22"/>
          <w:szCs w:val="22"/>
          <w:lang w:eastAsia="ja-JP"/>
        </w:rPr>
        <w:t xml:space="preserve"> by international donors or by the Palestinian Water Authority (PWA) concerning the drilling</w:t>
      </w:r>
      <w:r w:rsidR="00D57EA2">
        <w:rPr>
          <w:rFonts w:ascii="Arial" w:hAnsi="Arial" w:cs="Arial"/>
          <w:color w:val="221E1F"/>
          <w:sz w:val="22"/>
          <w:szCs w:val="22"/>
          <w:lang w:eastAsia="ja-JP"/>
        </w:rPr>
        <w:t xml:space="preserve"> of new wells and sewage dispos</w:t>
      </w:r>
      <w:r w:rsidRPr="00D57EA2">
        <w:rPr>
          <w:rFonts w:ascii="Arial" w:hAnsi="Arial" w:cs="Arial"/>
          <w:color w:val="221E1F"/>
          <w:sz w:val="22"/>
          <w:szCs w:val="22"/>
          <w:lang w:eastAsia="ja-JP"/>
        </w:rPr>
        <w:t>al.</w:t>
      </w:r>
    </w:p>
    <w:p w:rsidR="000D73B5" w:rsidRPr="00D57EA2" w:rsidRDefault="000D73B5" w:rsidP="00D57EA2">
      <w:pPr>
        <w:spacing w:before="0" w:after="0"/>
        <w:jc w:val="center"/>
        <w:rPr>
          <w:rFonts w:ascii="Arial" w:hAnsi="Arial" w:cs="Arial"/>
          <w:b/>
          <w:color w:val="1F497D" w:themeColor="text2"/>
          <w:sz w:val="20"/>
          <w:lang w:eastAsia="ja-JP"/>
        </w:rPr>
      </w:pPr>
      <w:r w:rsidRPr="00D57EA2">
        <w:rPr>
          <w:rFonts w:ascii="Arial" w:hAnsi="Arial" w:cs="Arial"/>
          <w:b/>
          <w:color w:val="1F497D" w:themeColor="text2"/>
          <w:sz w:val="20"/>
        </w:rPr>
        <w:lastRenderedPageBreak/>
        <w:t>Table</w:t>
      </w:r>
      <w:r w:rsidR="00D57EA2" w:rsidRPr="00D57EA2">
        <w:rPr>
          <w:rFonts w:ascii="Arial" w:hAnsi="Arial" w:cs="Arial"/>
          <w:b/>
          <w:color w:val="1F497D" w:themeColor="text2"/>
          <w:sz w:val="20"/>
        </w:rPr>
        <w:t>7</w:t>
      </w:r>
      <w:r w:rsidRPr="00D57EA2">
        <w:rPr>
          <w:rFonts w:ascii="Arial" w:hAnsi="Arial" w:cs="Arial"/>
          <w:b/>
          <w:color w:val="1F497D" w:themeColor="text2"/>
          <w:sz w:val="20"/>
        </w:rPr>
        <w:t xml:space="preserve">: </w:t>
      </w:r>
      <w:r w:rsidRPr="00D57EA2">
        <w:rPr>
          <w:rFonts w:ascii="Arial" w:hAnsi="Arial" w:cs="Arial"/>
          <w:b/>
          <w:color w:val="1F497D" w:themeColor="text2"/>
          <w:sz w:val="20"/>
          <w:lang w:eastAsia="ja-JP"/>
        </w:rPr>
        <w:t xml:space="preserve">Allocation of water from the main groundwater aquifers in the </w:t>
      </w:r>
      <w:proofErr w:type="spellStart"/>
      <w:r w:rsidRPr="00D57EA2">
        <w:rPr>
          <w:rFonts w:ascii="Arial" w:hAnsi="Arial" w:cs="Arial"/>
          <w:b/>
          <w:color w:val="1F497D" w:themeColor="text2"/>
          <w:sz w:val="20"/>
          <w:lang w:eastAsia="ja-JP"/>
        </w:rPr>
        <w:t>oPt</w:t>
      </w:r>
      <w:proofErr w:type="spellEnd"/>
    </w:p>
    <w:tbl>
      <w:tblPr>
        <w:tblStyle w:val="Grigliatabella"/>
        <w:tblW w:w="5000" w:type="pct"/>
        <w:tblBorders>
          <w:top w:val="single" w:sz="12" w:space="0" w:color="1F497D" w:themeColor="text2"/>
          <w:left w:val="single" w:sz="12" w:space="0" w:color="1F497D" w:themeColor="text2"/>
          <w:bottom w:val="single" w:sz="12" w:space="0" w:color="1F497D" w:themeColor="text2"/>
          <w:right w:val="single" w:sz="12" w:space="0" w:color="1F497D" w:themeColor="text2"/>
          <w:insideH w:val="single" w:sz="6" w:space="0" w:color="1F497D" w:themeColor="text2"/>
          <w:insideV w:val="none" w:sz="0" w:space="0" w:color="auto"/>
        </w:tblBorders>
        <w:tblLook w:val="04A0"/>
      </w:tblPr>
      <w:tblGrid>
        <w:gridCol w:w="2075"/>
        <w:gridCol w:w="1963"/>
        <w:gridCol w:w="1927"/>
        <w:gridCol w:w="2235"/>
        <w:gridCol w:w="1654"/>
      </w:tblGrid>
      <w:tr w:rsidR="000D73B5" w:rsidRPr="007B5760" w:rsidTr="00A85671">
        <w:trPr>
          <w:trHeight w:val="483"/>
        </w:trPr>
        <w:tc>
          <w:tcPr>
            <w:tcW w:w="1053" w:type="pct"/>
            <w:shd w:val="clear" w:color="auto" w:fill="1F497D" w:themeFill="text2"/>
            <w:vAlign w:val="center"/>
          </w:tcPr>
          <w:p w:rsidR="000D73B5" w:rsidRPr="007B5760" w:rsidRDefault="000D73B5" w:rsidP="00D57EA2">
            <w:pPr>
              <w:spacing w:before="0" w:after="0"/>
              <w:contextualSpacing/>
              <w:jc w:val="center"/>
              <w:rPr>
                <w:rFonts w:ascii="Arial" w:hAnsi="Arial" w:cs="Arial"/>
                <w:b/>
                <w:color w:val="FFFFFF" w:themeColor="background1"/>
                <w:sz w:val="16"/>
                <w:szCs w:val="16"/>
                <w:lang w:val="en-GB" w:eastAsia="ja-JP"/>
              </w:rPr>
            </w:pPr>
            <w:proofErr w:type="spellStart"/>
            <w:r w:rsidRPr="007B5760">
              <w:rPr>
                <w:rFonts w:ascii="Arial" w:hAnsi="Arial" w:cs="Arial"/>
                <w:b/>
                <w:color w:val="FFFFFF" w:themeColor="background1"/>
                <w:sz w:val="16"/>
                <w:szCs w:val="16"/>
                <w:lang w:val="en-GB" w:eastAsia="ja-JP"/>
              </w:rPr>
              <w:t>Acquifer</w:t>
            </w:r>
            <w:proofErr w:type="spellEnd"/>
          </w:p>
        </w:tc>
        <w:tc>
          <w:tcPr>
            <w:tcW w:w="996" w:type="pct"/>
            <w:shd w:val="clear" w:color="auto" w:fill="1F497D" w:themeFill="text2"/>
            <w:vAlign w:val="center"/>
          </w:tcPr>
          <w:p w:rsidR="000D73B5" w:rsidRPr="007B5760" w:rsidRDefault="000D73B5" w:rsidP="00D57EA2">
            <w:pPr>
              <w:spacing w:before="0" w:after="0"/>
              <w:contextualSpacing/>
              <w:jc w:val="center"/>
              <w:rPr>
                <w:rFonts w:ascii="Arial" w:hAnsi="Arial" w:cs="Arial"/>
                <w:b/>
                <w:color w:val="FFFFFF" w:themeColor="background1"/>
                <w:sz w:val="16"/>
                <w:szCs w:val="16"/>
                <w:lang w:val="en-GB" w:eastAsia="ja-JP"/>
              </w:rPr>
            </w:pPr>
            <w:r w:rsidRPr="007B5760">
              <w:rPr>
                <w:rFonts w:ascii="Arial" w:hAnsi="Arial" w:cs="Arial"/>
                <w:b/>
                <w:color w:val="FFFFFF" w:themeColor="background1"/>
                <w:sz w:val="16"/>
                <w:szCs w:val="16"/>
                <w:lang w:val="en-GB" w:eastAsia="ja-JP"/>
              </w:rPr>
              <w:t>Potential (MCM/year)</w:t>
            </w:r>
          </w:p>
        </w:tc>
        <w:tc>
          <w:tcPr>
            <w:tcW w:w="978" w:type="pct"/>
            <w:shd w:val="clear" w:color="auto" w:fill="1F497D" w:themeFill="text2"/>
            <w:vAlign w:val="center"/>
          </w:tcPr>
          <w:p w:rsidR="000D73B5" w:rsidRPr="007B5760" w:rsidRDefault="000D73B5" w:rsidP="00D57EA2">
            <w:pPr>
              <w:spacing w:before="0" w:after="0"/>
              <w:contextualSpacing/>
              <w:jc w:val="center"/>
              <w:rPr>
                <w:rFonts w:ascii="Arial" w:hAnsi="Arial" w:cs="Arial"/>
                <w:b/>
                <w:color w:val="FFFFFF" w:themeColor="background1"/>
                <w:sz w:val="16"/>
                <w:szCs w:val="16"/>
                <w:lang w:val="en-GB" w:eastAsia="ja-JP"/>
              </w:rPr>
            </w:pPr>
            <w:r w:rsidRPr="007B5760">
              <w:rPr>
                <w:rFonts w:ascii="Arial" w:hAnsi="Arial" w:cs="Arial"/>
                <w:b/>
                <w:color w:val="FFFFFF" w:themeColor="background1"/>
                <w:sz w:val="16"/>
                <w:szCs w:val="16"/>
                <w:lang w:val="en-GB" w:eastAsia="ja-JP"/>
              </w:rPr>
              <w:t>Palestinian allocation* (MCM)</w:t>
            </w:r>
          </w:p>
        </w:tc>
        <w:tc>
          <w:tcPr>
            <w:tcW w:w="1134" w:type="pct"/>
            <w:shd w:val="clear" w:color="auto" w:fill="1F497D" w:themeFill="text2"/>
            <w:vAlign w:val="center"/>
          </w:tcPr>
          <w:p w:rsidR="000D73B5" w:rsidRPr="007B5760" w:rsidRDefault="000D73B5" w:rsidP="00D57EA2">
            <w:pPr>
              <w:spacing w:before="0" w:after="0"/>
              <w:contextualSpacing/>
              <w:jc w:val="center"/>
              <w:rPr>
                <w:rFonts w:ascii="Arial" w:hAnsi="Arial" w:cs="Arial"/>
                <w:b/>
                <w:color w:val="FFFFFF" w:themeColor="background1"/>
                <w:sz w:val="16"/>
                <w:szCs w:val="16"/>
                <w:lang w:val="en-GB" w:eastAsia="ja-JP"/>
              </w:rPr>
            </w:pPr>
            <w:r w:rsidRPr="007B5760">
              <w:rPr>
                <w:rFonts w:ascii="Arial" w:hAnsi="Arial" w:cs="Arial"/>
                <w:b/>
                <w:color w:val="FFFFFF" w:themeColor="background1"/>
                <w:sz w:val="16"/>
                <w:szCs w:val="16"/>
                <w:lang w:val="en-GB" w:eastAsia="ja-JP"/>
              </w:rPr>
              <w:t>Proposed Palestinian allocation ***</w:t>
            </w:r>
          </w:p>
        </w:tc>
        <w:tc>
          <w:tcPr>
            <w:tcW w:w="839" w:type="pct"/>
            <w:shd w:val="clear" w:color="auto" w:fill="1F497D" w:themeFill="text2"/>
            <w:vAlign w:val="center"/>
          </w:tcPr>
          <w:p w:rsidR="000D73B5" w:rsidRPr="007B5760" w:rsidRDefault="000D73B5" w:rsidP="00D57EA2">
            <w:pPr>
              <w:spacing w:before="0" w:after="0"/>
              <w:contextualSpacing/>
              <w:jc w:val="center"/>
              <w:rPr>
                <w:rFonts w:ascii="Arial" w:hAnsi="Arial" w:cs="Arial"/>
                <w:b/>
                <w:color w:val="FFFFFF" w:themeColor="background1"/>
                <w:sz w:val="16"/>
                <w:szCs w:val="16"/>
                <w:lang w:val="en-GB" w:eastAsia="ja-JP"/>
              </w:rPr>
            </w:pPr>
            <w:r w:rsidRPr="007B5760">
              <w:rPr>
                <w:rFonts w:ascii="Arial" w:hAnsi="Arial" w:cs="Arial"/>
                <w:b/>
                <w:color w:val="FFFFFF" w:themeColor="background1"/>
                <w:sz w:val="16"/>
                <w:szCs w:val="16"/>
                <w:lang w:val="en-GB" w:eastAsia="ja-JP"/>
              </w:rPr>
              <w:t>Palestinian abstraction 2008 (MCM)</w:t>
            </w:r>
          </w:p>
        </w:tc>
      </w:tr>
      <w:tr w:rsidR="000D73B5" w:rsidRPr="007B5760" w:rsidTr="00A85671">
        <w:trPr>
          <w:trHeight w:val="369"/>
        </w:trPr>
        <w:tc>
          <w:tcPr>
            <w:tcW w:w="1053" w:type="pct"/>
            <w:vAlign w:val="center"/>
          </w:tcPr>
          <w:p w:rsidR="000D73B5" w:rsidRPr="007B5760" w:rsidRDefault="000D73B5" w:rsidP="00D57EA2">
            <w:pPr>
              <w:spacing w:before="0" w:after="0"/>
              <w:contextualSpacing/>
              <w:jc w:val="center"/>
              <w:rPr>
                <w:rFonts w:ascii="Arial" w:hAnsi="Arial" w:cs="Arial"/>
                <w:color w:val="221E1F"/>
                <w:sz w:val="18"/>
                <w:szCs w:val="18"/>
                <w:lang w:val="en-GB" w:eastAsia="ja-JP"/>
              </w:rPr>
            </w:pPr>
            <w:r w:rsidRPr="007B5760">
              <w:rPr>
                <w:rFonts w:ascii="Arial" w:hAnsi="Arial" w:cs="Arial"/>
                <w:color w:val="221E1F"/>
                <w:sz w:val="18"/>
                <w:szCs w:val="18"/>
                <w:lang w:val="en-GB" w:eastAsia="ja-JP"/>
              </w:rPr>
              <w:t>Eastern</w:t>
            </w:r>
          </w:p>
        </w:tc>
        <w:tc>
          <w:tcPr>
            <w:tcW w:w="996" w:type="pct"/>
            <w:vAlign w:val="center"/>
          </w:tcPr>
          <w:p w:rsidR="000D73B5" w:rsidRPr="007B5760" w:rsidRDefault="000D73B5" w:rsidP="00D57EA2">
            <w:pPr>
              <w:spacing w:before="0" w:after="0"/>
              <w:contextualSpacing/>
              <w:jc w:val="center"/>
              <w:rPr>
                <w:rFonts w:ascii="Arial" w:hAnsi="Arial" w:cs="Arial"/>
                <w:color w:val="221E1F"/>
                <w:sz w:val="18"/>
                <w:szCs w:val="18"/>
                <w:lang w:val="en-GB" w:eastAsia="ja-JP"/>
              </w:rPr>
            </w:pPr>
            <w:r w:rsidRPr="007B5760">
              <w:rPr>
                <w:rFonts w:ascii="Arial" w:hAnsi="Arial" w:cs="Arial"/>
                <w:color w:val="221E1F"/>
                <w:sz w:val="18"/>
                <w:szCs w:val="18"/>
                <w:lang w:val="en-GB" w:eastAsia="ja-JP"/>
              </w:rPr>
              <w:t>172</w:t>
            </w:r>
          </w:p>
        </w:tc>
        <w:tc>
          <w:tcPr>
            <w:tcW w:w="978" w:type="pct"/>
            <w:vAlign w:val="center"/>
          </w:tcPr>
          <w:p w:rsidR="000D73B5" w:rsidRPr="007B5760" w:rsidRDefault="000D73B5" w:rsidP="00D57EA2">
            <w:pPr>
              <w:spacing w:before="0" w:after="0"/>
              <w:contextualSpacing/>
              <w:jc w:val="center"/>
              <w:rPr>
                <w:rFonts w:ascii="Arial" w:hAnsi="Arial" w:cs="Arial"/>
                <w:color w:val="221E1F"/>
                <w:sz w:val="18"/>
                <w:szCs w:val="18"/>
                <w:lang w:val="en-GB" w:eastAsia="ja-JP"/>
              </w:rPr>
            </w:pPr>
            <w:r w:rsidRPr="007B5760">
              <w:rPr>
                <w:rFonts w:ascii="Arial" w:hAnsi="Arial" w:cs="Arial"/>
                <w:color w:val="221E1F"/>
                <w:sz w:val="18"/>
                <w:szCs w:val="18"/>
                <w:lang w:val="en-GB" w:eastAsia="ja-JP"/>
              </w:rPr>
              <w:t>74.5**</w:t>
            </w:r>
          </w:p>
        </w:tc>
        <w:tc>
          <w:tcPr>
            <w:tcW w:w="1134" w:type="pct"/>
            <w:vAlign w:val="center"/>
          </w:tcPr>
          <w:p w:rsidR="000D73B5" w:rsidRPr="007B5760" w:rsidRDefault="000D73B5" w:rsidP="00D57EA2">
            <w:pPr>
              <w:spacing w:before="0" w:after="0"/>
              <w:contextualSpacing/>
              <w:jc w:val="center"/>
              <w:rPr>
                <w:rFonts w:ascii="Arial" w:hAnsi="Arial" w:cs="Arial"/>
                <w:color w:val="221E1F"/>
                <w:sz w:val="18"/>
                <w:szCs w:val="18"/>
                <w:lang w:val="en-GB" w:eastAsia="ja-JP"/>
              </w:rPr>
            </w:pPr>
            <w:r w:rsidRPr="007B5760">
              <w:rPr>
                <w:rFonts w:ascii="Arial" w:hAnsi="Arial" w:cs="Arial"/>
                <w:color w:val="221E1F"/>
                <w:sz w:val="18"/>
                <w:szCs w:val="18"/>
                <w:lang w:val="en-GB" w:eastAsia="ja-JP"/>
              </w:rPr>
              <w:t>172 (100%% of 172)</w:t>
            </w:r>
          </w:p>
        </w:tc>
        <w:tc>
          <w:tcPr>
            <w:tcW w:w="839" w:type="pct"/>
            <w:vAlign w:val="center"/>
          </w:tcPr>
          <w:p w:rsidR="000D73B5" w:rsidRPr="007B5760" w:rsidRDefault="000D73B5" w:rsidP="00D57EA2">
            <w:pPr>
              <w:spacing w:before="0" w:after="0"/>
              <w:contextualSpacing/>
              <w:jc w:val="center"/>
              <w:rPr>
                <w:rFonts w:ascii="Arial" w:hAnsi="Arial" w:cs="Arial"/>
                <w:color w:val="221E1F"/>
                <w:sz w:val="18"/>
                <w:szCs w:val="18"/>
                <w:lang w:val="en-GB" w:eastAsia="ja-JP"/>
              </w:rPr>
            </w:pPr>
          </w:p>
        </w:tc>
      </w:tr>
      <w:tr w:rsidR="000D73B5" w:rsidRPr="007B5760" w:rsidTr="00A85671">
        <w:trPr>
          <w:trHeight w:val="238"/>
        </w:trPr>
        <w:tc>
          <w:tcPr>
            <w:tcW w:w="1053" w:type="pct"/>
            <w:vAlign w:val="center"/>
          </w:tcPr>
          <w:p w:rsidR="000D73B5" w:rsidRPr="007B5760" w:rsidRDefault="000D73B5" w:rsidP="00D57EA2">
            <w:pPr>
              <w:spacing w:before="0" w:after="0"/>
              <w:contextualSpacing/>
              <w:jc w:val="center"/>
              <w:rPr>
                <w:rFonts w:ascii="Arial" w:hAnsi="Arial" w:cs="Arial"/>
                <w:color w:val="221E1F"/>
                <w:sz w:val="18"/>
                <w:szCs w:val="18"/>
                <w:lang w:val="en-GB" w:eastAsia="ja-JP"/>
              </w:rPr>
            </w:pPr>
            <w:proofErr w:type="spellStart"/>
            <w:r w:rsidRPr="007B5760">
              <w:rPr>
                <w:rFonts w:ascii="Arial" w:hAnsi="Arial" w:cs="Arial"/>
                <w:color w:val="221E1F"/>
                <w:sz w:val="18"/>
                <w:szCs w:val="18"/>
                <w:lang w:val="en-GB" w:eastAsia="ja-JP"/>
              </w:rPr>
              <w:t>Northeastern</w:t>
            </w:r>
            <w:proofErr w:type="spellEnd"/>
          </w:p>
        </w:tc>
        <w:tc>
          <w:tcPr>
            <w:tcW w:w="996" w:type="pct"/>
            <w:vAlign w:val="center"/>
          </w:tcPr>
          <w:p w:rsidR="000D73B5" w:rsidRPr="007B5760" w:rsidRDefault="000D73B5" w:rsidP="00D57EA2">
            <w:pPr>
              <w:spacing w:before="0" w:after="0"/>
              <w:contextualSpacing/>
              <w:jc w:val="center"/>
              <w:rPr>
                <w:rFonts w:ascii="Arial" w:hAnsi="Arial" w:cs="Arial"/>
                <w:color w:val="221E1F"/>
                <w:sz w:val="18"/>
                <w:szCs w:val="18"/>
                <w:lang w:val="en-GB" w:eastAsia="ja-JP"/>
              </w:rPr>
            </w:pPr>
            <w:r w:rsidRPr="007B5760">
              <w:rPr>
                <w:rFonts w:ascii="Arial" w:hAnsi="Arial" w:cs="Arial"/>
                <w:color w:val="221E1F"/>
                <w:sz w:val="18"/>
                <w:szCs w:val="18"/>
                <w:lang w:val="en-GB" w:eastAsia="ja-JP"/>
              </w:rPr>
              <w:t>145</w:t>
            </w:r>
          </w:p>
        </w:tc>
        <w:tc>
          <w:tcPr>
            <w:tcW w:w="978" w:type="pct"/>
            <w:vAlign w:val="center"/>
          </w:tcPr>
          <w:p w:rsidR="000D73B5" w:rsidRPr="007B5760" w:rsidRDefault="000D73B5" w:rsidP="00D57EA2">
            <w:pPr>
              <w:spacing w:before="0" w:after="0"/>
              <w:contextualSpacing/>
              <w:jc w:val="center"/>
              <w:rPr>
                <w:rFonts w:ascii="Arial" w:hAnsi="Arial" w:cs="Arial"/>
                <w:color w:val="221E1F"/>
                <w:sz w:val="18"/>
                <w:szCs w:val="18"/>
                <w:lang w:val="en-GB" w:eastAsia="ja-JP"/>
              </w:rPr>
            </w:pPr>
            <w:r w:rsidRPr="007B5760">
              <w:rPr>
                <w:rFonts w:ascii="Arial" w:hAnsi="Arial" w:cs="Arial"/>
                <w:color w:val="221E1F"/>
                <w:sz w:val="18"/>
                <w:szCs w:val="18"/>
                <w:lang w:val="en-GB" w:eastAsia="ja-JP"/>
              </w:rPr>
              <w:t>42</w:t>
            </w:r>
          </w:p>
        </w:tc>
        <w:tc>
          <w:tcPr>
            <w:tcW w:w="1134" w:type="pct"/>
            <w:vAlign w:val="center"/>
          </w:tcPr>
          <w:p w:rsidR="000D73B5" w:rsidRPr="007B5760" w:rsidRDefault="000D73B5" w:rsidP="00D57EA2">
            <w:pPr>
              <w:spacing w:before="0" w:after="0"/>
              <w:contextualSpacing/>
              <w:jc w:val="center"/>
              <w:rPr>
                <w:rFonts w:ascii="Arial" w:hAnsi="Arial" w:cs="Arial"/>
                <w:color w:val="221E1F"/>
                <w:sz w:val="18"/>
                <w:szCs w:val="18"/>
                <w:lang w:val="en-GB" w:eastAsia="ja-JP"/>
              </w:rPr>
            </w:pPr>
            <w:r w:rsidRPr="007B5760">
              <w:rPr>
                <w:rFonts w:ascii="Arial" w:hAnsi="Arial" w:cs="Arial"/>
                <w:color w:val="221E1F"/>
                <w:sz w:val="18"/>
                <w:szCs w:val="18"/>
                <w:lang w:val="en-GB" w:eastAsia="ja-JP"/>
              </w:rPr>
              <w:t>116 880% of 145)</w:t>
            </w:r>
          </w:p>
        </w:tc>
        <w:tc>
          <w:tcPr>
            <w:tcW w:w="839" w:type="pct"/>
            <w:vAlign w:val="center"/>
          </w:tcPr>
          <w:p w:rsidR="000D73B5" w:rsidRPr="007B5760" w:rsidRDefault="000D73B5" w:rsidP="00D57EA2">
            <w:pPr>
              <w:spacing w:before="0" w:after="0"/>
              <w:contextualSpacing/>
              <w:jc w:val="center"/>
              <w:rPr>
                <w:rFonts w:ascii="Arial" w:hAnsi="Arial" w:cs="Arial"/>
                <w:color w:val="221E1F"/>
                <w:sz w:val="18"/>
                <w:szCs w:val="18"/>
                <w:lang w:val="en-GB" w:eastAsia="ja-JP"/>
              </w:rPr>
            </w:pPr>
          </w:p>
        </w:tc>
      </w:tr>
      <w:tr w:rsidR="000D73B5" w:rsidRPr="007B5760" w:rsidTr="00A85671">
        <w:trPr>
          <w:trHeight w:val="246"/>
        </w:trPr>
        <w:tc>
          <w:tcPr>
            <w:tcW w:w="1053" w:type="pct"/>
            <w:vAlign w:val="center"/>
          </w:tcPr>
          <w:p w:rsidR="000D73B5" w:rsidRPr="007B5760" w:rsidRDefault="000D73B5" w:rsidP="00D57EA2">
            <w:pPr>
              <w:spacing w:before="0" w:after="0"/>
              <w:contextualSpacing/>
              <w:jc w:val="center"/>
              <w:rPr>
                <w:rFonts w:ascii="Arial" w:hAnsi="Arial" w:cs="Arial"/>
                <w:color w:val="221E1F"/>
                <w:sz w:val="18"/>
                <w:szCs w:val="18"/>
                <w:lang w:val="en-GB" w:eastAsia="ja-JP"/>
              </w:rPr>
            </w:pPr>
            <w:r w:rsidRPr="007B5760">
              <w:rPr>
                <w:rFonts w:ascii="Arial" w:hAnsi="Arial" w:cs="Arial"/>
                <w:color w:val="221E1F"/>
                <w:sz w:val="18"/>
                <w:szCs w:val="18"/>
                <w:lang w:val="en-GB" w:eastAsia="ja-JP"/>
              </w:rPr>
              <w:t>Western</w:t>
            </w:r>
          </w:p>
        </w:tc>
        <w:tc>
          <w:tcPr>
            <w:tcW w:w="996" w:type="pct"/>
            <w:vAlign w:val="center"/>
          </w:tcPr>
          <w:p w:rsidR="000D73B5" w:rsidRPr="007B5760" w:rsidRDefault="000D73B5" w:rsidP="00D57EA2">
            <w:pPr>
              <w:spacing w:before="0" w:after="0"/>
              <w:contextualSpacing/>
              <w:jc w:val="center"/>
              <w:rPr>
                <w:rFonts w:ascii="Arial" w:hAnsi="Arial" w:cs="Arial"/>
                <w:color w:val="221E1F"/>
                <w:sz w:val="18"/>
                <w:szCs w:val="18"/>
                <w:lang w:val="en-GB" w:eastAsia="ja-JP"/>
              </w:rPr>
            </w:pPr>
            <w:r w:rsidRPr="007B5760">
              <w:rPr>
                <w:rFonts w:ascii="Arial" w:hAnsi="Arial" w:cs="Arial"/>
                <w:color w:val="221E1F"/>
                <w:sz w:val="18"/>
                <w:szCs w:val="18"/>
                <w:lang w:val="en-GB" w:eastAsia="ja-JP"/>
              </w:rPr>
              <w:t>362</w:t>
            </w:r>
          </w:p>
        </w:tc>
        <w:tc>
          <w:tcPr>
            <w:tcW w:w="978" w:type="pct"/>
            <w:vAlign w:val="center"/>
          </w:tcPr>
          <w:p w:rsidR="000D73B5" w:rsidRPr="007B5760" w:rsidRDefault="000D73B5" w:rsidP="00D57EA2">
            <w:pPr>
              <w:spacing w:before="0" w:after="0"/>
              <w:contextualSpacing/>
              <w:jc w:val="center"/>
              <w:rPr>
                <w:rFonts w:ascii="Arial" w:hAnsi="Arial" w:cs="Arial"/>
                <w:color w:val="221E1F"/>
                <w:sz w:val="18"/>
                <w:szCs w:val="18"/>
                <w:lang w:val="en-GB" w:eastAsia="ja-JP"/>
              </w:rPr>
            </w:pPr>
            <w:r w:rsidRPr="007B5760">
              <w:rPr>
                <w:rFonts w:ascii="Arial" w:hAnsi="Arial" w:cs="Arial"/>
                <w:color w:val="221E1F"/>
                <w:sz w:val="18"/>
                <w:szCs w:val="18"/>
                <w:lang w:val="en-GB" w:eastAsia="ja-JP"/>
              </w:rPr>
              <w:t>22</w:t>
            </w:r>
          </w:p>
        </w:tc>
        <w:tc>
          <w:tcPr>
            <w:tcW w:w="1134" w:type="pct"/>
            <w:vAlign w:val="center"/>
          </w:tcPr>
          <w:p w:rsidR="000D73B5" w:rsidRPr="007B5760" w:rsidRDefault="000D73B5" w:rsidP="00D57EA2">
            <w:pPr>
              <w:spacing w:before="0" w:after="0"/>
              <w:contextualSpacing/>
              <w:jc w:val="center"/>
              <w:rPr>
                <w:rFonts w:ascii="Arial" w:hAnsi="Arial" w:cs="Arial"/>
                <w:color w:val="221E1F"/>
                <w:sz w:val="18"/>
                <w:szCs w:val="18"/>
                <w:lang w:val="en-GB" w:eastAsia="ja-JP"/>
              </w:rPr>
            </w:pPr>
            <w:r w:rsidRPr="007B5760">
              <w:rPr>
                <w:rFonts w:ascii="Arial" w:hAnsi="Arial" w:cs="Arial"/>
                <w:color w:val="221E1F"/>
                <w:sz w:val="18"/>
                <w:szCs w:val="18"/>
                <w:lang w:val="en-GB" w:eastAsia="ja-JP"/>
              </w:rPr>
              <w:t>181 (50% of 362)</w:t>
            </w:r>
          </w:p>
        </w:tc>
        <w:tc>
          <w:tcPr>
            <w:tcW w:w="839" w:type="pct"/>
            <w:vAlign w:val="center"/>
          </w:tcPr>
          <w:p w:rsidR="000D73B5" w:rsidRPr="007B5760" w:rsidRDefault="000D73B5" w:rsidP="00D57EA2">
            <w:pPr>
              <w:spacing w:before="0" w:after="0"/>
              <w:contextualSpacing/>
              <w:jc w:val="center"/>
              <w:rPr>
                <w:rFonts w:ascii="Arial" w:hAnsi="Arial" w:cs="Arial"/>
                <w:color w:val="221E1F"/>
                <w:sz w:val="18"/>
                <w:szCs w:val="18"/>
                <w:lang w:val="en-GB" w:eastAsia="ja-JP"/>
              </w:rPr>
            </w:pPr>
          </w:p>
        </w:tc>
      </w:tr>
      <w:tr w:rsidR="000D73B5" w:rsidRPr="007B5760" w:rsidTr="00A85671">
        <w:trPr>
          <w:trHeight w:val="124"/>
        </w:trPr>
        <w:tc>
          <w:tcPr>
            <w:tcW w:w="1053" w:type="pct"/>
            <w:vAlign w:val="center"/>
          </w:tcPr>
          <w:p w:rsidR="000D73B5" w:rsidRPr="007B5760" w:rsidRDefault="000D73B5" w:rsidP="00A85671">
            <w:pPr>
              <w:spacing w:before="0" w:after="0"/>
              <w:contextualSpacing/>
              <w:jc w:val="center"/>
              <w:rPr>
                <w:rFonts w:ascii="Arial" w:hAnsi="Arial" w:cs="Arial"/>
                <w:color w:val="221E1F"/>
                <w:sz w:val="18"/>
                <w:szCs w:val="18"/>
                <w:lang w:val="en-GB" w:eastAsia="ja-JP"/>
              </w:rPr>
            </w:pPr>
            <w:r w:rsidRPr="007B5760">
              <w:rPr>
                <w:rFonts w:ascii="Arial" w:hAnsi="Arial" w:cs="Arial"/>
                <w:color w:val="221E1F"/>
                <w:sz w:val="18"/>
                <w:szCs w:val="18"/>
                <w:lang w:val="en-GB" w:eastAsia="ja-JP"/>
              </w:rPr>
              <w:t>Total/year</w:t>
            </w:r>
          </w:p>
        </w:tc>
        <w:tc>
          <w:tcPr>
            <w:tcW w:w="996" w:type="pct"/>
            <w:vAlign w:val="center"/>
          </w:tcPr>
          <w:p w:rsidR="000D73B5" w:rsidRPr="007B5760" w:rsidRDefault="000D73B5" w:rsidP="00A85671">
            <w:pPr>
              <w:spacing w:before="0" w:after="0"/>
              <w:contextualSpacing/>
              <w:jc w:val="center"/>
              <w:rPr>
                <w:rFonts w:ascii="Arial" w:hAnsi="Arial" w:cs="Arial"/>
                <w:color w:val="221E1F"/>
                <w:sz w:val="18"/>
                <w:szCs w:val="18"/>
                <w:lang w:val="en-GB" w:eastAsia="ja-JP"/>
              </w:rPr>
            </w:pPr>
            <w:r w:rsidRPr="007B5760">
              <w:rPr>
                <w:rFonts w:ascii="Arial" w:hAnsi="Arial" w:cs="Arial"/>
                <w:color w:val="221E1F"/>
                <w:sz w:val="18"/>
                <w:szCs w:val="18"/>
                <w:lang w:val="en-GB" w:eastAsia="ja-JP"/>
              </w:rPr>
              <w:t>679</w:t>
            </w:r>
          </w:p>
        </w:tc>
        <w:tc>
          <w:tcPr>
            <w:tcW w:w="978" w:type="pct"/>
            <w:vAlign w:val="center"/>
          </w:tcPr>
          <w:p w:rsidR="000D73B5" w:rsidRPr="007B5760" w:rsidRDefault="000D73B5" w:rsidP="00A85671">
            <w:pPr>
              <w:spacing w:before="0" w:after="0"/>
              <w:contextualSpacing/>
              <w:jc w:val="center"/>
              <w:rPr>
                <w:rFonts w:ascii="Arial" w:hAnsi="Arial" w:cs="Arial"/>
                <w:color w:val="221E1F"/>
                <w:sz w:val="18"/>
                <w:szCs w:val="18"/>
                <w:lang w:val="en-GB" w:eastAsia="ja-JP"/>
              </w:rPr>
            </w:pPr>
            <w:r w:rsidRPr="007B5760">
              <w:rPr>
                <w:rFonts w:ascii="Arial" w:hAnsi="Arial" w:cs="Arial"/>
                <w:color w:val="221E1F"/>
                <w:sz w:val="18"/>
                <w:szCs w:val="18"/>
                <w:lang w:val="en-GB" w:eastAsia="ja-JP"/>
              </w:rPr>
              <w:t>138.5</w:t>
            </w:r>
          </w:p>
        </w:tc>
        <w:tc>
          <w:tcPr>
            <w:tcW w:w="1134" w:type="pct"/>
            <w:vAlign w:val="center"/>
          </w:tcPr>
          <w:p w:rsidR="000D73B5" w:rsidRPr="007B5760" w:rsidRDefault="000D73B5" w:rsidP="00A85671">
            <w:pPr>
              <w:spacing w:before="0" w:after="0"/>
              <w:contextualSpacing/>
              <w:jc w:val="center"/>
              <w:rPr>
                <w:rFonts w:ascii="Arial" w:hAnsi="Arial" w:cs="Arial"/>
                <w:color w:val="221E1F"/>
                <w:sz w:val="18"/>
                <w:szCs w:val="18"/>
                <w:lang w:val="en-GB" w:eastAsia="ja-JP"/>
              </w:rPr>
            </w:pPr>
            <w:r w:rsidRPr="007B5760">
              <w:rPr>
                <w:rFonts w:ascii="Arial" w:hAnsi="Arial" w:cs="Arial"/>
                <w:color w:val="221E1F"/>
                <w:sz w:val="18"/>
                <w:szCs w:val="18"/>
                <w:lang w:val="en-GB" w:eastAsia="ja-JP"/>
              </w:rPr>
              <w:t>469</w:t>
            </w:r>
          </w:p>
        </w:tc>
        <w:tc>
          <w:tcPr>
            <w:tcW w:w="839" w:type="pct"/>
            <w:vAlign w:val="center"/>
          </w:tcPr>
          <w:p w:rsidR="000D73B5" w:rsidRPr="007B5760" w:rsidRDefault="000D73B5" w:rsidP="00A85671">
            <w:pPr>
              <w:spacing w:before="0" w:after="0"/>
              <w:contextualSpacing/>
              <w:jc w:val="center"/>
              <w:rPr>
                <w:rFonts w:ascii="Arial" w:hAnsi="Arial" w:cs="Arial"/>
                <w:color w:val="221E1F"/>
                <w:sz w:val="18"/>
                <w:szCs w:val="18"/>
                <w:lang w:val="en-GB" w:eastAsia="ja-JP"/>
              </w:rPr>
            </w:pPr>
            <w:r w:rsidRPr="007B5760">
              <w:rPr>
                <w:rFonts w:ascii="Arial" w:hAnsi="Arial" w:cs="Arial"/>
                <w:color w:val="221E1F"/>
                <w:sz w:val="18"/>
                <w:szCs w:val="18"/>
                <w:lang w:val="en-GB" w:eastAsia="ja-JP"/>
              </w:rPr>
              <w:t>91.50</w:t>
            </w:r>
          </w:p>
        </w:tc>
      </w:tr>
    </w:tbl>
    <w:p w:rsidR="000D73B5" w:rsidRPr="007B5760" w:rsidRDefault="000D73B5" w:rsidP="000D73B5">
      <w:pPr>
        <w:spacing w:before="0"/>
        <w:contextualSpacing/>
        <w:jc w:val="center"/>
        <w:rPr>
          <w:rFonts w:ascii="Arial" w:hAnsi="Arial" w:cs="Arial"/>
          <w:i/>
          <w:color w:val="221E1F"/>
          <w:sz w:val="16"/>
          <w:szCs w:val="16"/>
          <w:lang w:val="en-GB" w:eastAsia="ja-JP"/>
        </w:rPr>
      </w:pPr>
      <w:r w:rsidRPr="008F559D">
        <w:rPr>
          <w:rFonts w:ascii="Arial" w:hAnsi="Arial" w:cs="Arial"/>
          <w:color w:val="221E1F"/>
          <w:sz w:val="18"/>
          <w:szCs w:val="18"/>
          <w:lang w:val="en-GB" w:eastAsia="ja-JP"/>
        </w:rPr>
        <w:t>*</w:t>
      </w:r>
      <w:r w:rsidRPr="007B5760">
        <w:rPr>
          <w:rFonts w:ascii="Arial" w:hAnsi="Arial" w:cs="Arial"/>
          <w:i/>
          <w:color w:val="221E1F"/>
          <w:sz w:val="16"/>
          <w:szCs w:val="16"/>
          <w:lang w:val="en-GB" w:eastAsia="ja-JP"/>
        </w:rPr>
        <w:t>According to Article 40 (Oslo II Agreement, September 18, 1995)</w:t>
      </w:r>
    </w:p>
    <w:p w:rsidR="000D73B5" w:rsidRPr="007B5760" w:rsidRDefault="000D73B5" w:rsidP="000D73B5">
      <w:pPr>
        <w:spacing w:before="0"/>
        <w:contextualSpacing/>
        <w:jc w:val="center"/>
        <w:rPr>
          <w:rFonts w:ascii="Arial" w:hAnsi="Arial" w:cs="Arial"/>
          <w:i/>
          <w:color w:val="221E1F"/>
          <w:sz w:val="16"/>
          <w:szCs w:val="16"/>
          <w:lang w:val="en-GB" w:eastAsia="ja-JP"/>
        </w:rPr>
      </w:pPr>
      <w:r w:rsidRPr="007B5760">
        <w:rPr>
          <w:rFonts w:ascii="Arial" w:hAnsi="Arial" w:cs="Arial"/>
          <w:i/>
          <w:color w:val="221E1F"/>
          <w:sz w:val="16"/>
          <w:szCs w:val="16"/>
          <w:lang w:val="en-GB" w:eastAsia="ja-JP"/>
        </w:rPr>
        <w:t xml:space="preserve">** Including extra 20.5 MCM of “immediate needs” to be developed for </w:t>
      </w:r>
      <w:proofErr w:type="spellStart"/>
      <w:r w:rsidRPr="007B5760">
        <w:rPr>
          <w:rFonts w:ascii="Arial" w:hAnsi="Arial" w:cs="Arial"/>
          <w:i/>
          <w:color w:val="221E1F"/>
          <w:sz w:val="16"/>
          <w:szCs w:val="16"/>
          <w:lang w:val="en-GB" w:eastAsia="ja-JP"/>
        </w:rPr>
        <w:t>Palestinina</w:t>
      </w:r>
      <w:proofErr w:type="spellEnd"/>
      <w:r w:rsidRPr="007B5760">
        <w:rPr>
          <w:rFonts w:ascii="Arial" w:hAnsi="Arial" w:cs="Arial"/>
          <w:i/>
          <w:color w:val="221E1F"/>
          <w:sz w:val="16"/>
          <w:szCs w:val="16"/>
          <w:lang w:val="en-GB" w:eastAsia="ja-JP"/>
        </w:rPr>
        <w:t xml:space="preserve"> use from Eastern Aquifer</w:t>
      </w:r>
    </w:p>
    <w:p w:rsidR="000D73B5" w:rsidRPr="007B5760" w:rsidRDefault="000D73B5" w:rsidP="000D73B5">
      <w:pPr>
        <w:spacing w:before="0"/>
        <w:contextualSpacing/>
        <w:jc w:val="center"/>
        <w:rPr>
          <w:rFonts w:ascii="Arial" w:hAnsi="Arial" w:cs="Arial"/>
          <w:i/>
          <w:color w:val="221E1F"/>
          <w:sz w:val="16"/>
          <w:szCs w:val="16"/>
          <w:lang w:val="en-GB" w:eastAsia="ja-JP"/>
        </w:rPr>
      </w:pPr>
      <w:r w:rsidRPr="007B5760">
        <w:rPr>
          <w:rFonts w:ascii="Arial" w:hAnsi="Arial" w:cs="Arial"/>
          <w:i/>
          <w:color w:val="221E1F"/>
          <w:sz w:val="16"/>
          <w:szCs w:val="16"/>
          <w:lang w:val="en-GB" w:eastAsia="ja-JP"/>
        </w:rPr>
        <w:t>***The proposed allocation was considered according to the aquifer location and recharge area</w:t>
      </w:r>
    </w:p>
    <w:p w:rsidR="000D73B5" w:rsidRPr="007B5760" w:rsidRDefault="000D73B5" w:rsidP="000D73B5">
      <w:pPr>
        <w:spacing w:before="0"/>
        <w:contextualSpacing/>
        <w:jc w:val="center"/>
        <w:rPr>
          <w:rFonts w:ascii="Arial" w:hAnsi="Arial" w:cs="Arial"/>
          <w:i/>
          <w:iCs/>
          <w:sz w:val="16"/>
          <w:szCs w:val="16"/>
          <w:lang w:val="en-GB" w:eastAsia="ja-JP"/>
        </w:rPr>
      </w:pPr>
      <w:r w:rsidRPr="007B5760">
        <w:rPr>
          <w:rFonts w:ascii="Arial" w:hAnsi="Arial" w:cs="Arial"/>
          <w:i/>
          <w:iCs/>
          <w:sz w:val="16"/>
          <w:szCs w:val="16"/>
          <w:lang w:val="en-GB" w:eastAsia="ja-JP"/>
        </w:rPr>
        <w:t>Source: Palestinian Ministry of National Economy, September 2011, on the basis of World Bank (2009)</w:t>
      </w:r>
    </w:p>
    <w:p w:rsidR="000D73B5" w:rsidRPr="00D57EA2" w:rsidRDefault="000D73B5" w:rsidP="000D73B5">
      <w:pPr>
        <w:jc w:val="center"/>
        <w:rPr>
          <w:rFonts w:ascii="Arial" w:hAnsi="Arial" w:cs="Arial"/>
          <w:b/>
          <w:i/>
          <w:sz w:val="16"/>
          <w:szCs w:val="16"/>
          <w:lang w:eastAsia="ja-JP"/>
        </w:rPr>
      </w:pPr>
      <w:r w:rsidRPr="00D57EA2">
        <w:rPr>
          <w:rFonts w:ascii="Arial" w:hAnsi="Arial" w:cs="Arial"/>
          <w:i/>
          <w:sz w:val="16"/>
          <w:szCs w:val="16"/>
          <w:lang w:eastAsia="ja-JP"/>
        </w:rPr>
        <w:t>Source: Palestinian Ministry of National Economy, 09/2011 &amp; World Bank (2009)</w:t>
      </w:r>
    </w:p>
    <w:p w:rsidR="000D73B5" w:rsidRPr="00D57EA2" w:rsidRDefault="000D73B5" w:rsidP="000D73B5">
      <w:pPr>
        <w:rPr>
          <w:rFonts w:ascii="Arial" w:hAnsi="Arial" w:cs="Arial"/>
          <w:color w:val="221E1F"/>
          <w:sz w:val="16"/>
          <w:szCs w:val="16"/>
          <w:lang w:eastAsia="ja-JP"/>
        </w:rPr>
      </w:pPr>
    </w:p>
    <w:p w:rsidR="000D73B5" w:rsidRPr="00B05A67" w:rsidRDefault="000D73B5" w:rsidP="00B05A67">
      <w:pPr>
        <w:widowControl w:val="0"/>
        <w:autoSpaceDE w:val="0"/>
        <w:autoSpaceDN w:val="0"/>
        <w:adjustRightInd w:val="0"/>
        <w:spacing w:before="0" w:after="0"/>
        <w:rPr>
          <w:rFonts w:ascii="Arial" w:eastAsiaTheme="minorEastAsia" w:hAnsi="Arial" w:cs="Arial"/>
          <w:sz w:val="22"/>
          <w:szCs w:val="22"/>
          <w:lang w:eastAsia="ja-JP"/>
        </w:rPr>
      </w:pPr>
      <w:r w:rsidRPr="00B05A67">
        <w:rPr>
          <w:rFonts w:ascii="Arial" w:hAnsi="Arial" w:cs="Arial"/>
          <w:color w:val="221E1F"/>
          <w:sz w:val="22"/>
          <w:szCs w:val="22"/>
          <w:lang w:eastAsia="ja-JP"/>
        </w:rPr>
        <w:t>An obstacle to the efficient operation of the PWA is the power imbalance between Israeli and Palestinian actors. PWA departments responsible for licensing or permits are controlled by the Joint Water Com</w:t>
      </w:r>
      <w:r w:rsidRPr="00B05A67">
        <w:rPr>
          <w:rFonts w:ascii="Arial" w:hAnsi="Arial" w:cs="Arial"/>
          <w:color w:val="221E1F"/>
          <w:sz w:val="22"/>
          <w:szCs w:val="22"/>
          <w:lang w:eastAsia="ja-JP"/>
        </w:rPr>
        <w:softHyphen/>
        <w:t xml:space="preserve">mittee (JWC) and needs its approval </w:t>
      </w:r>
      <w:r w:rsidRPr="00B05A67">
        <w:rPr>
          <w:rFonts w:ascii="Arial" w:hAnsi="Arial" w:cs="Arial"/>
          <w:sz w:val="22"/>
          <w:szCs w:val="22"/>
          <w:lang w:eastAsia="ja-JP"/>
        </w:rPr>
        <w:t>for every suggest</w:t>
      </w:r>
      <w:r w:rsidRPr="00B05A67">
        <w:rPr>
          <w:rFonts w:ascii="Arial" w:hAnsi="Arial" w:cs="Arial"/>
          <w:sz w:val="22"/>
          <w:szCs w:val="22"/>
          <w:lang w:eastAsia="ja-JP"/>
        </w:rPr>
        <w:softHyphen/>
        <w:t xml:space="preserve">ed project. </w:t>
      </w:r>
      <w:r w:rsidRPr="00B05A67">
        <w:rPr>
          <w:rFonts w:ascii="Arial" w:eastAsiaTheme="minorEastAsia" w:hAnsi="Arial" w:cs="Arial"/>
          <w:sz w:val="22"/>
          <w:szCs w:val="22"/>
          <w:lang w:eastAsia="ja-JP"/>
        </w:rPr>
        <w:t>For the purpose of coordination, a Joint Water Committee (JWC) and several Joint Supervision and Enforcement Teams (JSETs) were established under the Oslo II Agreement</w:t>
      </w:r>
      <w:r w:rsidRPr="00B05A67">
        <w:rPr>
          <w:rFonts w:ascii="Arial" w:hAnsi="Arial" w:cs="Arial"/>
          <w:sz w:val="22"/>
          <w:szCs w:val="22"/>
          <w:lang w:eastAsia="ja-JP"/>
        </w:rPr>
        <w:t>. The JWC was supposed to act as an overall regulatory body and every water infrastructure development project in the West Bank (Palestinian or Israeli) needs to be approved by this coordinating body. This in</w:t>
      </w:r>
      <w:r w:rsidRPr="00B05A67">
        <w:rPr>
          <w:rFonts w:ascii="Arial" w:hAnsi="Arial" w:cs="Arial"/>
          <w:sz w:val="22"/>
          <w:szCs w:val="22"/>
          <w:lang w:eastAsia="ja-JP"/>
        </w:rPr>
        <w:softHyphen/>
        <w:t xml:space="preserve">cludes every pipeline greater than 5 cm diameter and 200 m length, every well that needs constructing or rehabilitating. </w:t>
      </w:r>
    </w:p>
    <w:tbl>
      <w:tblPr>
        <w:tblStyle w:val="Grigliatabella"/>
        <w:tblpPr w:leftFromText="141" w:rightFromText="141" w:vertAnchor="text" w:tblpX="5211" w:tblpY="1"/>
        <w:tblOverlap w:val="never"/>
        <w:tblW w:w="0" w:type="auto"/>
        <w:tblLook w:val="04A0"/>
      </w:tblPr>
      <w:tblGrid>
        <w:gridCol w:w="4596"/>
      </w:tblGrid>
      <w:tr w:rsidR="00B05A67" w:rsidTr="00B05A67">
        <w:tc>
          <w:tcPr>
            <w:tcW w:w="4567" w:type="dxa"/>
          </w:tcPr>
          <w:p w:rsidR="00B05A67" w:rsidRDefault="00B05A67" w:rsidP="00B05A67">
            <w:pPr>
              <w:widowControl w:val="0"/>
              <w:autoSpaceDE w:val="0"/>
              <w:autoSpaceDN w:val="0"/>
              <w:adjustRightInd w:val="0"/>
              <w:spacing w:before="0" w:after="0"/>
              <w:jc w:val="center"/>
              <w:rPr>
                <w:rFonts w:ascii="Arial" w:eastAsiaTheme="minorEastAsia" w:hAnsi="Arial" w:cs="Arial"/>
                <w:b/>
                <w:color w:val="1F497D" w:themeColor="text2"/>
                <w:sz w:val="20"/>
                <w:lang w:eastAsia="ja-JP"/>
              </w:rPr>
            </w:pPr>
            <w:r w:rsidRPr="00B05A67">
              <w:rPr>
                <w:rFonts w:ascii="Arial" w:eastAsiaTheme="minorEastAsia" w:hAnsi="Arial" w:cs="Arial"/>
                <w:b/>
                <w:color w:val="1F497D" w:themeColor="text2"/>
                <w:sz w:val="20"/>
                <w:lang w:eastAsia="ja-JP"/>
              </w:rPr>
              <w:t>Figure 24: The Procedure of licensing water projects in the JWC</w:t>
            </w:r>
          </w:p>
          <w:p w:rsidR="00B05A67" w:rsidRPr="00B05A67" w:rsidRDefault="00B05A67" w:rsidP="00B05A67">
            <w:pPr>
              <w:widowControl w:val="0"/>
              <w:autoSpaceDE w:val="0"/>
              <w:autoSpaceDN w:val="0"/>
              <w:adjustRightInd w:val="0"/>
              <w:spacing w:before="0" w:after="0"/>
              <w:rPr>
                <w:rFonts w:ascii="Arial" w:eastAsiaTheme="minorEastAsia" w:hAnsi="Arial" w:cs="Arial"/>
                <w:b/>
                <w:color w:val="1F497D" w:themeColor="text2"/>
                <w:sz w:val="20"/>
                <w:lang w:eastAsia="ja-JP"/>
              </w:rPr>
            </w:pPr>
            <w:r w:rsidRPr="00B05A67">
              <w:rPr>
                <w:rFonts w:ascii="Arial" w:eastAsiaTheme="minorEastAsia" w:hAnsi="Arial" w:cs="Arial"/>
                <w:b/>
                <w:noProof/>
                <w:color w:val="1F497D" w:themeColor="text2"/>
                <w:sz w:val="20"/>
                <w:lang w:val="it-IT" w:eastAsia="it-IT"/>
              </w:rPr>
              <w:drawing>
                <wp:anchor distT="0" distB="0" distL="114300" distR="114300" simplePos="0" relativeHeight="251741184" behindDoc="0" locked="0" layoutInCell="1" allowOverlap="1">
                  <wp:simplePos x="0" y="0"/>
                  <wp:positionH relativeFrom="column">
                    <wp:posOffset>-19685</wp:posOffset>
                  </wp:positionH>
                  <wp:positionV relativeFrom="paragraph">
                    <wp:posOffset>45085</wp:posOffset>
                  </wp:positionV>
                  <wp:extent cx="2755265" cy="3776345"/>
                  <wp:effectExtent l="19050" t="0" r="6985" b="0"/>
                  <wp:wrapTight wrapText="bothSides">
                    <wp:wrapPolygon edited="0">
                      <wp:start x="-149" y="0"/>
                      <wp:lineTo x="-149" y="21466"/>
                      <wp:lineTo x="21655" y="21466"/>
                      <wp:lineTo x="21655" y="0"/>
                      <wp:lineTo x="-149" y="0"/>
                    </wp:wrapPolygon>
                  </wp:wrapTight>
                  <wp:docPr id="67"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38"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2072" r="6101" b="1206"/>
                          <a:stretch/>
                        </pic:blipFill>
                        <pic:spPr bwMode="auto">
                          <a:xfrm>
                            <a:off x="0" y="0"/>
                            <a:ext cx="2755265" cy="3776345"/>
                          </a:xfrm>
                          <a:prstGeom prst="rect">
                            <a:avLst/>
                          </a:prstGeom>
                          <a:noFill/>
                          <a:ln>
                            <a:noFill/>
                          </a:ln>
                          <a:extLst>
                            <a:ext uri="{53640926-AAD7-44d8-BBD7-CCE9431645EC}">
                              <a14:shadowObscured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 uri="{FAA26D3D-D897-4be2-8F04-BA451C77F1D7}">
                              <ma14:placeholderFlag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ma14="http://schemas.microsoft.com/office/mac/drawingml/2011/main"/>
                            </a:ext>
                          </a:extLst>
                        </pic:spPr>
                      </pic:pic>
                    </a:graphicData>
                  </a:graphic>
                </wp:anchor>
              </w:drawing>
            </w:r>
          </w:p>
        </w:tc>
      </w:tr>
    </w:tbl>
    <w:p w:rsidR="000D73B5" w:rsidRPr="00B05A67" w:rsidRDefault="000D73B5" w:rsidP="00B05A67">
      <w:pPr>
        <w:widowControl w:val="0"/>
        <w:autoSpaceDE w:val="0"/>
        <w:autoSpaceDN w:val="0"/>
        <w:adjustRightInd w:val="0"/>
        <w:spacing w:before="0" w:after="0"/>
        <w:rPr>
          <w:rFonts w:ascii="Arial" w:eastAsiaTheme="minorEastAsia" w:hAnsi="Arial" w:cs="Arial"/>
          <w:sz w:val="22"/>
          <w:szCs w:val="22"/>
          <w:lang w:eastAsia="ja-JP"/>
        </w:rPr>
      </w:pPr>
    </w:p>
    <w:p w:rsidR="000D73B5" w:rsidRPr="00B05A67" w:rsidRDefault="000D73B5" w:rsidP="00B05A67">
      <w:pPr>
        <w:widowControl w:val="0"/>
        <w:autoSpaceDE w:val="0"/>
        <w:autoSpaceDN w:val="0"/>
        <w:adjustRightInd w:val="0"/>
        <w:spacing w:before="0" w:after="0"/>
        <w:rPr>
          <w:rFonts w:ascii="Arial" w:eastAsiaTheme="minorEastAsia" w:hAnsi="Arial" w:cs="Arial"/>
          <w:sz w:val="22"/>
          <w:szCs w:val="22"/>
          <w:lang w:eastAsia="ja-JP"/>
        </w:rPr>
      </w:pPr>
      <w:r w:rsidRPr="00B05A67">
        <w:rPr>
          <w:rFonts w:ascii="Arial" w:eastAsiaTheme="minorEastAsia" w:hAnsi="Arial" w:cs="Arial"/>
          <w:sz w:val="22"/>
          <w:szCs w:val="22"/>
          <w:lang w:eastAsia="ja-JP"/>
        </w:rPr>
        <w:t>Even though the provisions of Article 40 aim to ensure equality and cooperation between the two parties, the Palestinian party and international entities</w:t>
      </w:r>
      <w:r w:rsidRPr="00B05A67">
        <w:rPr>
          <w:rStyle w:val="Rimandonotaapidipagina"/>
          <w:rFonts w:ascii="Arial" w:eastAsiaTheme="minorEastAsia" w:hAnsi="Arial" w:cs="Arial"/>
          <w:sz w:val="22"/>
          <w:szCs w:val="22"/>
          <w:lang w:eastAsia="ja-JP"/>
        </w:rPr>
        <w:footnoteReference w:id="36"/>
      </w:r>
      <w:r w:rsidRPr="00B05A67">
        <w:rPr>
          <w:rFonts w:ascii="Arial" w:eastAsiaTheme="minorEastAsia" w:hAnsi="Arial" w:cs="Arial"/>
          <w:sz w:val="22"/>
          <w:szCs w:val="22"/>
          <w:lang w:eastAsia="ja-JP"/>
        </w:rPr>
        <w:t xml:space="preserve"> have criticized the current arrangements in the JWC as one of the causes for the inability of the Palestinian people to exercise their right to water. Most often, criticism of the JWC focuses on several arguments</w:t>
      </w:r>
      <w:r w:rsidRPr="00B05A67">
        <w:rPr>
          <w:rStyle w:val="Rimandonotaapidipagina"/>
          <w:rFonts w:ascii="Arial" w:eastAsiaTheme="minorEastAsia" w:hAnsi="Arial" w:cs="Arial"/>
          <w:sz w:val="22"/>
          <w:szCs w:val="22"/>
          <w:lang w:eastAsia="ja-JP"/>
        </w:rPr>
        <w:footnoteReference w:id="37"/>
      </w:r>
      <w:r w:rsidRPr="00B05A67">
        <w:rPr>
          <w:rFonts w:ascii="Arial" w:eastAsiaTheme="minorEastAsia" w:hAnsi="Arial" w:cs="Arial"/>
          <w:sz w:val="22"/>
          <w:szCs w:val="22"/>
          <w:lang w:eastAsia="ja-JP"/>
        </w:rPr>
        <w:t>:</w:t>
      </w:r>
    </w:p>
    <w:p w:rsidR="000D73B5" w:rsidRPr="00B05A67" w:rsidRDefault="000D73B5" w:rsidP="00B05A67">
      <w:pPr>
        <w:widowControl w:val="0"/>
        <w:numPr>
          <w:ilvl w:val="0"/>
          <w:numId w:val="115"/>
        </w:numPr>
        <w:autoSpaceDE w:val="0"/>
        <w:autoSpaceDN w:val="0"/>
        <w:adjustRightInd w:val="0"/>
        <w:spacing w:before="0" w:after="0"/>
        <w:ind w:left="567"/>
        <w:contextualSpacing/>
        <w:rPr>
          <w:rFonts w:ascii="Arial" w:eastAsiaTheme="minorEastAsia" w:hAnsi="Arial" w:cs="Arial"/>
          <w:sz w:val="22"/>
          <w:szCs w:val="22"/>
          <w:lang w:eastAsia="ja-JP"/>
        </w:rPr>
      </w:pPr>
      <w:r w:rsidRPr="00B05A67">
        <w:rPr>
          <w:rFonts w:ascii="Arial" w:eastAsiaTheme="minorEastAsia" w:hAnsi="Arial" w:cs="Arial"/>
          <w:sz w:val="22"/>
          <w:szCs w:val="22"/>
          <w:lang w:eastAsia="ja-JP"/>
        </w:rPr>
        <w:t xml:space="preserve">The mechanism set forth in Art 40 and especially the consensus requirement, provides the Israeli members of the Committee with a </w:t>
      </w:r>
      <w:r w:rsidRPr="00B05A67">
        <w:rPr>
          <w:rFonts w:ascii="Arial" w:eastAsiaTheme="minorEastAsia" w:hAnsi="Arial" w:cs="Arial"/>
          <w:i/>
          <w:iCs/>
          <w:sz w:val="22"/>
          <w:szCs w:val="22"/>
          <w:lang w:eastAsia="ja-JP"/>
        </w:rPr>
        <w:t xml:space="preserve">de facto </w:t>
      </w:r>
      <w:r w:rsidRPr="00B05A67">
        <w:rPr>
          <w:rFonts w:ascii="Arial" w:eastAsiaTheme="minorEastAsia" w:hAnsi="Arial" w:cs="Arial"/>
          <w:sz w:val="22"/>
          <w:szCs w:val="22"/>
          <w:lang w:eastAsia="ja-JP"/>
        </w:rPr>
        <w:t>veto right on all of its resolutions. Because Israel enjoys water allotment from West Bank sources in sufficient quantities to supply the needs of the Israeli settlements it is the Palestinian population which is more often in need of obtaining the approval of the JWC.</w:t>
      </w:r>
    </w:p>
    <w:p w:rsidR="000D73B5" w:rsidRPr="00B05A67" w:rsidRDefault="000D73B5" w:rsidP="00B05A67">
      <w:pPr>
        <w:widowControl w:val="0"/>
        <w:numPr>
          <w:ilvl w:val="0"/>
          <w:numId w:val="115"/>
        </w:numPr>
        <w:autoSpaceDE w:val="0"/>
        <w:autoSpaceDN w:val="0"/>
        <w:adjustRightInd w:val="0"/>
        <w:spacing w:before="0" w:after="0"/>
        <w:ind w:left="567"/>
        <w:contextualSpacing/>
        <w:rPr>
          <w:rFonts w:ascii="Arial" w:eastAsiaTheme="minorEastAsia" w:hAnsi="Arial" w:cs="Arial"/>
          <w:sz w:val="22"/>
          <w:szCs w:val="22"/>
          <w:lang w:eastAsia="ja-JP"/>
        </w:rPr>
      </w:pPr>
      <w:r w:rsidRPr="00B05A67">
        <w:rPr>
          <w:rFonts w:ascii="Arial" w:eastAsiaTheme="minorEastAsia" w:hAnsi="Arial" w:cs="Arial"/>
          <w:sz w:val="22"/>
          <w:szCs w:val="22"/>
          <w:lang w:eastAsia="ja-JP"/>
        </w:rPr>
        <w:t>Reportedly, Israel often conditions permits for Palestinians on reciprocal approval of development of water sources for settlements, an arrangement the Palestinian side has rejected so as not to legitimize them</w:t>
      </w:r>
      <w:r w:rsidRPr="00B05A67">
        <w:rPr>
          <w:rStyle w:val="Rimandonotaapidipagina"/>
          <w:rFonts w:ascii="Arial" w:eastAsiaTheme="minorEastAsia" w:hAnsi="Arial" w:cs="Arial"/>
          <w:sz w:val="22"/>
          <w:szCs w:val="22"/>
          <w:lang w:eastAsia="ja-JP"/>
        </w:rPr>
        <w:footnoteReference w:id="38"/>
      </w:r>
      <w:r w:rsidRPr="00B05A67">
        <w:rPr>
          <w:rFonts w:ascii="Arial" w:eastAsiaTheme="minorEastAsia" w:hAnsi="Arial" w:cs="Arial"/>
          <w:sz w:val="22"/>
          <w:szCs w:val="22"/>
          <w:lang w:eastAsia="ja-JP"/>
        </w:rPr>
        <w:t>.</w:t>
      </w:r>
    </w:p>
    <w:p w:rsidR="000D73B5" w:rsidRPr="00B05A67" w:rsidRDefault="000D73B5" w:rsidP="00B05A67">
      <w:pPr>
        <w:widowControl w:val="0"/>
        <w:numPr>
          <w:ilvl w:val="0"/>
          <w:numId w:val="115"/>
        </w:numPr>
        <w:autoSpaceDE w:val="0"/>
        <w:autoSpaceDN w:val="0"/>
        <w:adjustRightInd w:val="0"/>
        <w:spacing w:before="0" w:after="0"/>
        <w:ind w:left="567"/>
        <w:contextualSpacing/>
        <w:rPr>
          <w:rFonts w:ascii="Arial" w:eastAsiaTheme="minorEastAsia" w:hAnsi="Arial" w:cs="Arial"/>
          <w:sz w:val="22"/>
          <w:szCs w:val="22"/>
          <w:lang w:eastAsia="ja-JP"/>
        </w:rPr>
      </w:pPr>
      <w:r w:rsidRPr="00B05A67">
        <w:rPr>
          <w:rFonts w:ascii="Arial" w:eastAsiaTheme="minorEastAsia" w:hAnsi="Arial" w:cs="Arial"/>
          <w:sz w:val="22"/>
          <w:szCs w:val="22"/>
          <w:lang w:eastAsia="ja-JP"/>
        </w:rPr>
        <w:t>Since Israel is also the residual downstream beneficiary of the Western and North-Eastern Aquifers, it lacks the motivation to approve projects that will increase Palestinian extraction of water.</w:t>
      </w:r>
    </w:p>
    <w:p w:rsidR="000D73B5" w:rsidRPr="00B05A67" w:rsidRDefault="000D73B5" w:rsidP="00B05A67">
      <w:pPr>
        <w:widowControl w:val="0"/>
        <w:numPr>
          <w:ilvl w:val="0"/>
          <w:numId w:val="115"/>
        </w:numPr>
        <w:autoSpaceDE w:val="0"/>
        <w:autoSpaceDN w:val="0"/>
        <w:adjustRightInd w:val="0"/>
        <w:spacing w:before="0" w:after="0"/>
        <w:ind w:left="567"/>
        <w:contextualSpacing/>
        <w:rPr>
          <w:rFonts w:ascii="Arial" w:eastAsiaTheme="minorEastAsia" w:hAnsi="Arial" w:cs="Arial"/>
          <w:sz w:val="22"/>
          <w:szCs w:val="22"/>
          <w:lang w:eastAsia="ja-JP"/>
        </w:rPr>
      </w:pPr>
      <w:r w:rsidRPr="00B05A67">
        <w:rPr>
          <w:rFonts w:ascii="Arial" w:eastAsiaTheme="minorEastAsia" w:hAnsi="Arial" w:cs="Arial"/>
          <w:sz w:val="22"/>
          <w:szCs w:val="22"/>
          <w:lang w:eastAsia="ja-JP"/>
        </w:rPr>
        <w:t xml:space="preserve">The most significant projects approved by the JWC are the improvement of existing water systems, rather than creating additional water sources for the Palestinian population – most </w:t>
      </w:r>
      <w:r w:rsidRPr="00B05A67">
        <w:rPr>
          <w:rFonts w:ascii="Arial" w:eastAsiaTheme="minorEastAsia" w:hAnsi="Arial" w:cs="Arial"/>
          <w:sz w:val="22"/>
          <w:szCs w:val="22"/>
          <w:lang w:eastAsia="ja-JP"/>
        </w:rPr>
        <w:lastRenderedPageBreak/>
        <w:t>of which are rejected. According to the World Bank, 202 applications for drilling wells have been filed over the years, out of which the Joint Committee has approved only 65 applications (32%). Moreover, since the implementation of projects approved by the JWC for Area C require a permit from the Israeli Civil Administration, only 38 of the 65 approved applications have been implemented (</w:t>
      </w:r>
      <w:proofErr w:type="spellStart"/>
      <w:r w:rsidRPr="00B05A67">
        <w:rPr>
          <w:rFonts w:ascii="Arial" w:eastAsiaTheme="minorEastAsia" w:hAnsi="Arial" w:cs="Arial"/>
          <w:sz w:val="22"/>
          <w:szCs w:val="22"/>
          <w:lang w:eastAsia="ja-JP"/>
        </w:rPr>
        <w:t>equalling</w:t>
      </w:r>
      <w:proofErr w:type="spellEnd"/>
      <w:r w:rsidRPr="00B05A67">
        <w:rPr>
          <w:rFonts w:ascii="Arial" w:eastAsiaTheme="minorEastAsia" w:hAnsi="Arial" w:cs="Arial"/>
          <w:sz w:val="22"/>
          <w:szCs w:val="22"/>
          <w:lang w:eastAsia="ja-JP"/>
        </w:rPr>
        <w:t xml:space="preserve"> only 19% of the total applications), after the Israeli Civil Administration approved and completed planning and relevant proceedings.</w:t>
      </w:r>
    </w:p>
    <w:p w:rsidR="000D73B5" w:rsidRPr="00B05A67" w:rsidRDefault="000D73B5" w:rsidP="00B05A67">
      <w:pPr>
        <w:widowControl w:val="0"/>
        <w:numPr>
          <w:ilvl w:val="0"/>
          <w:numId w:val="115"/>
        </w:numPr>
        <w:autoSpaceDE w:val="0"/>
        <w:autoSpaceDN w:val="0"/>
        <w:adjustRightInd w:val="0"/>
        <w:spacing w:before="0" w:after="0"/>
        <w:ind w:left="567"/>
        <w:contextualSpacing/>
        <w:rPr>
          <w:rFonts w:ascii="Arial" w:eastAsiaTheme="minorEastAsia" w:hAnsi="Arial" w:cs="Arial"/>
          <w:sz w:val="22"/>
          <w:szCs w:val="22"/>
          <w:lang w:eastAsia="ja-JP"/>
        </w:rPr>
      </w:pPr>
      <w:r w:rsidRPr="00B05A67">
        <w:rPr>
          <w:rFonts w:ascii="Arial" w:eastAsiaTheme="minorEastAsia" w:hAnsi="Arial" w:cs="Arial"/>
          <w:sz w:val="22"/>
          <w:szCs w:val="22"/>
          <w:lang w:eastAsia="ja-JP"/>
        </w:rPr>
        <w:t>The frequency of the JWC’s meetings is influenced directly by the political situation, and its meetings are scarce and insufficient. In the first years after signing the agreements, the Committee met on average ten times a year. Commencing in 2002, the annual average number of meetings is three meetings, while in 2008 only one meeting was held.</w:t>
      </w:r>
    </w:p>
    <w:p w:rsidR="000D73B5" w:rsidRPr="00B05A67" w:rsidRDefault="000D73B5" w:rsidP="00B05A67">
      <w:pPr>
        <w:widowControl w:val="0"/>
        <w:numPr>
          <w:ilvl w:val="0"/>
          <w:numId w:val="115"/>
        </w:numPr>
        <w:autoSpaceDE w:val="0"/>
        <w:autoSpaceDN w:val="0"/>
        <w:adjustRightInd w:val="0"/>
        <w:spacing w:before="0" w:after="0"/>
        <w:ind w:left="567"/>
        <w:contextualSpacing/>
        <w:rPr>
          <w:rFonts w:ascii="Arial" w:eastAsiaTheme="minorEastAsia" w:hAnsi="Arial" w:cs="Arial"/>
          <w:sz w:val="22"/>
          <w:szCs w:val="22"/>
          <w:lang w:eastAsia="ja-JP"/>
        </w:rPr>
      </w:pPr>
      <w:r w:rsidRPr="00B05A67">
        <w:rPr>
          <w:rFonts w:ascii="Arial" w:eastAsiaTheme="minorEastAsia" w:hAnsi="Arial" w:cs="Arial"/>
          <w:sz w:val="22"/>
          <w:szCs w:val="22"/>
          <w:lang w:eastAsia="ja-JP"/>
        </w:rPr>
        <w:t>Article 40 allowed Israel to continue enjoying the water sources in the West Bank, including exclusive use of the Jordan River, and at the same time prevented an increase in the Palestinian extraction of water, in spite of increasing needs.</w:t>
      </w:r>
    </w:p>
    <w:p w:rsidR="000D73B5" w:rsidRPr="00B05A67" w:rsidRDefault="000D73B5" w:rsidP="00B05A67">
      <w:pPr>
        <w:widowControl w:val="0"/>
        <w:numPr>
          <w:ilvl w:val="0"/>
          <w:numId w:val="115"/>
        </w:numPr>
        <w:autoSpaceDE w:val="0"/>
        <w:autoSpaceDN w:val="0"/>
        <w:adjustRightInd w:val="0"/>
        <w:spacing w:before="0" w:after="0"/>
        <w:ind w:left="567"/>
        <w:contextualSpacing/>
        <w:rPr>
          <w:rFonts w:ascii="Arial" w:eastAsiaTheme="minorEastAsia" w:hAnsi="Arial" w:cs="Arial"/>
          <w:sz w:val="22"/>
          <w:szCs w:val="22"/>
          <w:lang w:eastAsia="ja-JP"/>
        </w:rPr>
      </w:pPr>
      <w:r w:rsidRPr="00B05A67">
        <w:rPr>
          <w:rFonts w:ascii="Arial" w:eastAsiaTheme="minorEastAsia" w:hAnsi="Arial" w:cs="Arial"/>
          <w:sz w:val="22"/>
          <w:szCs w:val="22"/>
          <w:lang w:eastAsia="ja-JP"/>
        </w:rPr>
        <w:t>More than once, the granting of approval by the Israeli Civil Administration to the implementation of a wastewater treatment plan was subject to the connection of adjunct settlements to facilities funded by NGOs or the Palestinian Water Authority, adding financial constraints on the execution of such plans, and compromising their humanitarian nature.</w:t>
      </w:r>
    </w:p>
    <w:p w:rsidR="000D73B5" w:rsidRPr="00B05A67" w:rsidRDefault="000D73B5" w:rsidP="00B05A67">
      <w:pPr>
        <w:widowControl w:val="0"/>
        <w:autoSpaceDE w:val="0"/>
        <w:autoSpaceDN w:val="0"/>
        <w:adjustRightInd w:val="0"/>
        <w:spacing w:before="0" w:after="0"/>
        <w:rPr>
          <w:rFonts w:ascii="Arial" w:eastAsiaTheme="minorEastAsia" w:hAnsi="Arial" w:cs="Arial"/>
          <w:sz w:val="22"/>
          <w:szCs w:val="22"/>
          <w:lang w:eastAsia="ja-JP"/>
        </w:rPr>
      </w:pPr>
    </w:p>
    <w:p w:rsidR="000D73B5" w:rsidRPr="00B05A67" w:rsidRDefault="000D73B5" w:rsidP="00B05A67">
      <w:pPr>
        <w:widowControl w:val="0"/>
        <w:autoSpaceDE w:val="0"/>
        <w:autoSpaceDN w:val="0"/>
        <w:adjustRightInd w:val="0"/>
        <w:spacing w:before="0" w:after="0"/>
        <w:rPr>
          <w:rFonts w:ascii="Arial" w:eastAsiaTheme="minorEastAsia" w:hAnsi="Arial" w:cs="Arial"/>
          <w:sz w:val="22"/>
          <w:szCs w:val="22"/>
          <w:lang w:eastAsia="ja-JP"/>
        </w:rPr>
      </w:pPr>
      <w:r w:rsidRPr="00B05A67">
        <w:rPr>
          <w:rFonts w:ascii="Arial" w:eastAsiaTheme="minorEastAsia" w:hAnsi="Arial" w:cs="Arial"/>
          <w:sz w:val="22"/>
          <w:szCs w:val="22"/>
          <w:lang w:eastAsia="ja-JP"/>
        </w:rPr>
        <w:t xml:space="preserve">In conclusion, the mechanism created by the Interim Agreement in the form of the Joint Water Committee has perpetuated the exclusive control of Israel over the water sources of the West Bank, and limited Palestinian access and ability to develop new water sources. Moreover, Palestinian water sources in Area C are subject to additional scrutiny and supervision of the Israeli Civil Administration which exercises its authority to approve or deny construction work in a manner that strengthens Israeli control over the West Bank. </w:t>
      </w:r>
    </w:p>
    <w:p w:rsidR="000D73B5" w:rsidRPr="00B05A67" w:rsidRDefault="000D73B5" w:rsidP="00B05A67">
      <w:pPr>
        <w:widowControl w:val="0"/>
        <w:autoSpaceDE w:val="0"/>
        <w:autoSpaceDN w:val="0"/>
        <w:adjustRightInd w:val="0"/>
        <w:spacing w:before="0" w:after="0"/>
        <w:rPr>
          <w:rFonts w:ascii="Arial" w:eastAsiaTheme="minorEastAsia" w:hAnsi="Arial" w:cs="Arial"/>
          <w:sz w:val="22"/>
          <w:szCs w:val="22"/>
          <w:lang w:eastAsia="ja-JP"/>
        </w:rPr>
      </w:pPr>
    </w:p>
    <w:p w:rsidR="000D73B5" w:rsidRPr="00B05A67" w:rsidRDefault="000D73B5" w:rsidP="00B05A67">
      <w:pPr>
        <w:widowControl w:val="0"/>
        <w:autoSpaceDE w:val="0"/>
        <w:autoSpaceDN w:val="0"/>
        <w:adjustRightInd w:val="0"/>
        <w:spacing w:before="0" w:after="0"/>
        <w:rPr>
          <w:rFonts w:ascii="Arial" w:eastAsiaTheme="minorEastAsia" w:hAnsi="Arial" w:cs="Arial"/>
          <w:sz w:val="22"/>
          <w:szCs w:val="22"/>
          <w:lang w:eastAsia="ja-JP"/>
        </w:rPr>
      </w:pPr>
      <w:r w:rsidRPr="00B05A67">
        <w:rPr>
          <w:rFonts w:ascii="Arial" w:eastAsiaTheme="minorEastAsia" w:hAnsi="Arial" w:cs="Arial"/>
          <w:sz w:val="22"/>
          <w:szCs w:val="22"/>
          <w:lang w:eastAsia="ja-JP"/>
        </w:rPr>
        <w:t xml:space="preserve">Palestinians are systematically denied building and/or drilling permits for water structures, while </w:t>
      </w:r>
      <w:proofErr w:type="spellStart"/>
      <w:r w:rsidRPr="00B05A67">
        <w:rPr>
          <w:rFonts w:ascii="Arial" w:eastAsiaTheme="minorEastAsia" w:hAnsi="Arial" w:cs="Arial"/>
          <w:i/>
          <w:iCs/>
          <w:sz w:val="22"/>
          <w:szCs w:val="22"/>
          <w:lang w:eastAsia="ja-JP"/>
        </w:rPr>
        <w:t>Mekorot</w:t>
      </w:r>
      <w:proofErr w:type="spellEnd"/>
      <w:r w:rsidRPr="00B05A67">
        <w:rPr>
          <w:rFonts w:ascii="Arial" w:eastAsiaTheme="minorEastAsia" w:hAnsi="Arial" w:cs="Arial"/>
          <w:i/>
          <w:iCs/>
          <w:sz w:val="22"/>
          <w:szCs w:val="22"/>
          <w:lang w:eastAsia="ja-JP"/>
        </w:rPr>
        <w:t xml:space="preserve"> </w:t>
      </w:r>
      <w:r w:rsidRPr="00B05A67">
        <w:rPr>
          <w:rFonts w:ascii="Arial" w:eastAsiaTheme="minorEastAsia" w:hAnsi="Arial" w:cs="Arial"/>
          <w:sz w:val="22"/>
          <w:szCs w:val="22"/>
          <w:lang w:eastAsia="ja-JP"/>
        </w:rPr>
        <w:t>is allowed to drill into water sources in a manner that dries out existing wells that serve the Palestinian population</w:t>
      </w:r>
      <w:r w:rsidRPr="00B05A67">
        <w:rPr>
          <w:rStyle w:val="Rimandonotaapidipagina"/>
          <w:rFonts w:ascii="Arial" w:eastAsiaTheme="minorEastAsia" w:hAnsi="Arial" w:cs="Arial"/>
          <w:sz w:val="22"/>
          <w:szCs w:val="22"/>
          <w:lang w:eastAsia="ja-JP"/>
        </w:rPr>
        <w:footnoteReference w:id="39"/>
      </w:r>
      <w:r w:rsidRPr="00B05A67">
        <w:rPr>
          <w:rFonts w:ascii="Arial" w:eastAsiaTheme="minorEastAsia" w:hAnsi="Arial" w:cs="Arial"/>
          <w:sz w:val="22"/>
          <w:szCs w:val="22"/>
          <w:lang w:eastAsia="ja-JP"/>
        </w:rPr>
        <w:t>. As a result, Palestinians extract about 20 per cent of the estimated potential of the Mountain Aquifer, while Israel extracts the balance, and overdraws on the estimated potential of the aquifer by more than 50 per cent. In addition, settlement activity around springs, and over-extraction of water from the Mountain Aquifer by Israel have led to dramatic decline in discharge in recent years, as well as restrictions on Palestinian access to water</w:t>
      </w:r>
      <w:r w:rsidRPr="00B05A67">
        <w:rPr>
          <w:rStyle w:val="Rimandonotaapidipagina"/>
          <w:rFonts w:ascii="Arial" w:eastAsiaTheme="minorEastAsia" w:hAnsi="Arial" w:cs="Arial"/>
          <w:sz w:val="22"/>
          <w:szCs w:val="22"/>
          <w:lang w:eastAsia="ja-JP"/>
        </w:rPr>
        <w:footnoteReference w:id="40"/>
      </w:r>
      <w:r w:rsidRPr="00B05A67">
        <w:rPr>
          <w:rFonts w:ascii="Arial" w:eastAsiaTheme="minorEastAsia" w:hAnsi="Arial" w:cs="Arial"/>
          <w:sz w:val="22"/>
          <w:szCs w:val="22"/>
          <w:lang w:eastAsia="ja-JP"/>
        </w:rPr>
        <w:t xml:space="preserve">. As a result, Palestinian water consumption in the West Bank barely reaches 70 </w:t>
      </w:r>
      <w:proofErr w:type="spellStart"/>
      <w:r w:rsidRPr="00B05A67">
        <w:rPr>
          <w:rFonts w:ascii="Arial" w:eastAsiaTheme="minorEastAsia" w:hAnsi="Arial" w:cs="Arial"/>
          <w:sz w:val="22"/>
          <w:szCs w:val="22"/>
          <w:lang w:eastAsia="ja-JP"/>
        </w:rPr>
        <w:t>litres</w:t>
      </w:r>
      <w:proofErr w:type="spellEnd"/>
      <w:r w:rsidRPr="00B05A67">
        <w:rPr>
          <w:rFonts w:ascii="Arial" w:eastAsiaTheme="minorEastAsia" w:hAnsi="Arial" w:cs="Arial"/>
          <w:sz w:val="22"/>
          <w:szCs w:val="22"/>
          <w:lang w:eastAsia="ja-JP"/>
        </w:rPr>
        <w:t xml:space="preserve"> a day per person, while water consumption in Israel and the Israeli settlements reaches four times that much. The World Health Organization’s (WHO) recommended minimum of daily water consumption is 100 </w:t>
      </w:r>
      <w:proofErr w:type="spellStart"/>
      <w:r w:rsidRPr="00B05A67">
        <w:rPr>
          <w:rFonts w:ascii="Arial" w:eastAsiaTheme="minorEastAsia" w:hAnsi="Arial" w:cs="Arial"/>
          <w:sz w:val="22"/>
          <w:szCs w:val="22"/>
          <w:lang w:eastAsia="ja-JP"/>
        </w:rPr>
        <w:t>litres</w:t>
      </w:r>
      <w:proofErr w:type="spellEnd"/>
      <w:r w:rsidRPr="00B05A67">
        <w:rPr>
          <w:rFonts w:ascii="Arial" w:eastAsiaTheme="minorEastAsia" w:hAnsi="Arial" w:cs="Arial"/>
          <w:sz w:val="22"/>
          <w:szCs w:val="22"/>
          <w:lang w:eastAsia="ja-JP"/>
        </w:rPr>
        <w:t xml:space="preserve"> per person</w:t>
      </w:r>
      <w:r w:rsidRPr="00B05A67">
        <w:rPr>
          <w:rStyle w:val="Rimandonotaapidipagina"/>
          <w:rFonts w:ascii="Arial" w:eastAsiaTheme="minorEastAsia" w:hAnsi="Arial" w:cs="Arial"/>
          <w:sz w:val="22"/>
          <w:szCs w:val="22"/>
          <w:lang w:eastAsia="ja-JP"/>
        </w:rPr>
        <w:footnoteReference w:id="41"/>
      </w:r>
      <w:r w:rsidRPr="00B05A67">
        <w:rPr>
          <w:rFonts w:ascii="Arial" w:eastAsiaTheme="minorEastAsia" w:hAnsi="Arial" w:cs="Arial"/>
          <w:sz w:val="22"/>
          <w:szCs w:val="22"/>
          <w:lang w:eastAsia="ja-JP"/>
        </w:rPr>
        <w:t>.</w:t>
      </w:r>
    </w:p>
    <w:p w:rsidR="000D73B5" w:rsidRPr="00B05A67" w:rsidRDefault="000D73B5" w:rsidP="00B05A67">
      <w:pPr>
        <w:spacing w:before="0" w:after="0"/>
        <w:rPr>
          <w:rFonts w:ascii="Arial" w:eastAsiaTheme="minorEastAsia" w:hAnsi="Arial" w:cs="Arial"/>
          <w:sz w:val="22"/>
          <w:szCs w:val="22"/>
        </w:rPr>
      </w:pPr>
    </w:p>
    <w:p w:rsidR="000D73B5" w:rsidRPr="00B05A67" w:rsidRDefault="000D73B5" w:rsidP="00B05A67">
      <w:pPr>
        <w:spacing w:before="0" w:after="0"/>
        <w:rPr>
          <w:rFonts w:ascii="Arial" w:eastAsiaTheme="minorEastAsia" w:hAnsi="Arial" w:cs="Arial"/>
          <w:sz w:val="22"/>
          <w:szCs w:val="22"/>
        </w:rPr>
      </w:pPr>
      <w:r w:rsidRPr="00B05A67">
        <w:rPr>
          <w:rFonts w:ascii="Arial" w:eastAsiaTheme="minorEastAsia" w:hAnsi="Arial" w:cs="Arial"/>
          <w:sz w:val="22"/>
          <w:szCs w:val="22"/>
        </w:rPr>
        <w:t>Between 1995 and 2011 the Palestinians submitted 30 wastewater treatment plant projects for approval of the JWC. Only four of these projects have been accepted. In 2011 the PWA submitted a total of 38 projects to the JWC. Of these 3 were approved in 2011. These were fast track projects, which should have been approved in 2010 as part of a list of agricultural wells in need of rehabilitation. That’s an approval rate of 7.8%. The PWA observed that Israeli bureaucratic constraints have caused some donors to withdraw and as a result current investment in the West Bank water sector is one tenth of planned levels. The impact of these delays and bureaucratic obstructions have made it difficult for EWASH agencies to adequately respond to needs of the population.</w:t>
      </w:r>
    </w:p>
    <w:p w:rsidR="000D73B5" w:rsidRDefault="000D73B5" w:rsidP="00B05A67">
      <w:pPr>
        <w:spacing w:before="0" w:after="0"/>
        <w:rPr>
          <w:rFonts w:ascii="Arial" w:eastAsiaTheme="minorEastAsia" w:hAnsi="Arial" w:cs="Arial"/>
          <w:sz w:val="22"/>
          <w:szCs w:val="22"/>
        </w:rPr>
      </w:pPr>
    </w:p>
    <w:p w:rsidR="00E61488" w:rsidRDefault="00E61488" w:rsidP="00B05A67">
      <w:pPr>
        <w:spacing w:before="0" w:after="0"/>
        <w:rPr>
          <w:rFonts w:ascii="Arial" w:eastAsiaTheme="minorEastAsia" w:hAnsi="Arial" w:cs="Arial"/>
          <w:sz w:val="22"/>
          <w:szCs w:val="22"/>
        </w:rPr>
      </w:pPr>
    </w:p>
    <w:p w:rsidR="00E61488" w:rsidRDefault="00E61488" w:rsidP="00B05A67">
      <w:pPr>
        <w:spacing w:before="0" w:after="0"/>
        <w:rPr>
          <w:rFonts w:ascii="Arial" w:eastAsiaTheme="minorEastAsia" w:hAnsi="Arial" w:cs="Arial"/>
          <w:sz w:val="22"/>
          <w:szCs w:val="22"/>
        </w:rPr>
      </w:pPr>
    </w:p>
    <w:p w:rsidR="00E61488" w:rsidRDefault="00E61488" w:rsidP="00B05A67">
      <w:pPr>
        <w:spacing w:before="0" w:after="0"/>
        <w:rPr>
          <w:rFonts w:ascii="Arial" w:eastAsiaTheme="minorEastAsia" w:hAnsi="Arial" w:cs="Arial"/>
          <w:sz w:val="22"/>
          <w:szCs w:val="22"/>
        </w:rPr>
      </w:pPr>
    </w:p>
    <w:p w:rsidR="00B05A67" w:rsidRDefault="00B05A67" w:rsidP="00B05A67">
      <w:pPr>
        <w:spacing w:before="0" w:after="0"/>
        <w:rPr>
          <w:rFonts w:ascii="Arial" w:eastAsiaTheme="minorEastAsia" w:hAnsi="Arial" w:cs="Arial"/>
          <w:sz w:val="22"/>
          <w:szCs w:val="22"/>
        </w:rPr>
      </w:pPr>
    </w:p>
    <w:tbl>
      <w:tblPr>
        <w:tblStyle w:val="Grigliatabella"/>
        <w:tblpPr w:leftFromText="141" w:rightFromText="141" w:vertAnchor="text" w:tblpY="1"/>
        <w:tblOverlap w:val="never"/>
        <w:tblW w:w="0" w:type="auto"/>
        <w:tblLook w:val="04A0"/>
      </w:tblPr>
      <w:tblGrid>
        <w:gridCol w:w="6630"/>
      </w:tblGrid>
      <w:tr w:rsidR="00B05A67" w:rsidTr="00E61488">
        <w:tc>
          <w:tcPr>
            <w:tcW w:w="6630" w:type="dxa"/>
          </w:tcPr>
          <w:p w:rsidR="00B05A67" w:rsidRPr="00B05A67" w:rsidRDefault="00B05A67" w:rsidP="00E61488">
            <w:pPr>
              <w:spacing w:before="0" w:after="0"/>
              <w:jc w:val="center"/>
              <w:rPr>
                <w:rFonts w:ascii="Arial" w:hAnsi="Arial" w:cs="Arial"/>
                <w:b/>
                <w:color w:val="1F497D" w:themeColor="text2"/>
                <w:sz w:val="20"/>
                <w:lang w:eastAsia="it-IT"/>
              </w:rPr>
            </w:pPr>
            <w:r w:rsidRPr="00B05A67">
              <w:rPr>
                <w:rFonts w:ascii="Arial" w:hAnsi="Arial" w:cs="Arial"/>
                <w:b/>
                <w:color w:val="1F497D" w:themeColor="text2"/>
                <w:sz w:val="20"/>
              </w:rPr>
              <w:lastRenderedPageBreak/>
              <w:t xml:space="preserve">Figure </w:t>
            </w:r>
            <w:r w:rsidR="00A43E18" w:rsidRPr="00B05A67">
              <w:rPr>
                <w:rFonts w:ascii="Arial" w:hAnsi="Arial" w:cs="Arial"/>
                <w:b/>
                <w:color w:val="1F497D" w:themeColor="text2"/>
                <w:sz w:val="20"/>
              </w:rPr>
              <w:fldChar w:fldCharType="begin"/>
            </w:r>
            <w:r w:rsidRPr="00B05A67">
              <w:rPr>
                <w:rFonts w:ascii="Arial" w:hAnsi="Arial" w:cs="Arial"/>
                <w:b/>
                <w:color w:val="1F497D" w:themeColor="text2"/>
                <w:sz w:val="20"/>
              </w:rPr>
              <w:instrText xml:space="preserve"> SEQ Figure \* ARABIC </w:instrText>
            </w:r>
            <w:r w:rsidR="00A43E18" w:rsidRPr="00B05A67">
              <w:rPr>
                <w:rFonts w:ascii="Arial" w:hAnsi="Arial" w:cs="Arial"/>
                <w:b/>
                <w:color w:val="1F497D" w:themeColor="text2"/>
                <w:sz w:val="20"/>
              </w:rPr>
              <w:fldChar w:fldCharType="separate"/>
            </w:r>
            <w:r w:rsidRPr="00B05A67">
              <w:rPr>
                <w:rFonts w:ascii="Arial" w:hAnsi="Arial" w:cs="Arial"/>
                <w:b/>
                <w:noProof/>
                <w:color w:val="1F497D" w:themeColor="text2"/>
                <w:sz w:val="20"/>
              </w:rPr>
              <w:t>2</w:t>
            </w:r>
            <w:r w:rsidR="00A43E18" w:rsidRPr="00B05A67">
              <w:rPr>
                <w:rFonts w:ascii="Arial" w:hAnsi="Arial" w:cs="Arial"/>
                <w:b/>
                <w:color w:val="1F497D" w:themeColor="text2"/>
                <w:sz w:val="20"/>
              </w:rPr>
              <w:fldChar w:fldCharType="end"/>
            </w:r>
            <w:r w:rsidRPr="00B05A67">
              <w:rPr>
                <w:rFonts w:ascii="Arial" w:hAnsi="Arial" w:cs="Arial"/>
                <w:b/>
                <w:color w:val="1F497D" w:themeColor="text2"/>
                <w:sz w:val="20"/>
              </w:rPr>
              <w:t xml:space="preserve">5: </w:t>
            </w:r>
            <w:r w:rsidRPr="00B05A67">
              <w:rPr>
                <w:rFonts w:ascii="Arial" w:hAnsi="Arial" w:cs="Arial"/>
                <w:b/>
                <w:color w:val="1F497D" w:themeColor="text2"/>
                <w:sz w:val="20"/>
                <w:lang w:eastAsia="it-IT"/>
              </w:rPr>
              <w:t>JWC approval rate by type between 1995-2008</w:t>
            </w:r>
          </w:p>
          <w:p w:rsidR="00B05A67" w:rsidRPr="00B05A67" w:rsidRDefault="00B05A67" w:rsidP="00E61488">
            <w:pPr>
              <w:spacing w:before="0" w:after="0"/>
              <w:jc w:val="center"/>
              <w:rPr>
                <w:rFonts w:ascii="Arial" w:hAnsi="Arial" w:cs="Arial"/>
                <w:sz w:val="22"/>
                <w:szCs w:val="22"/>
                <w:lang w:eastAsia="it-IT"/>
              </w:rPr>
            </w:pPr>
            <w:r w:rsidRPr="00B05A67">
              <w:rPr>
                <w:rFonts w:ascii="Arial" w:hAnsi="Arial" w:cs="Arial"/>
                <w:noProof/>
                <w:sz w:val="22"/>
                <w:szCs w:val="22"/>
                <w:lang w:val="it-IT" w:eastAsia="it-IT"/>
              </w:rPr>
              <w:drawing>
                <wp:inline distT="0" distB="0" distL="0" distR="0">
                  <wp:extent cx="4072466" cy="2304181"/>
                  <wp:effectExtent l="0" t="0" r="0" b="7620"/>
                  <wp:docPr id="69"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9"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73858" cy="2304969"/>
                          </a:xfrm>
                          <a:prstGeom prst="rect">
                            <a:avLst/>
                          </a:prstGeom>
                          <a:noFill/>
                          <a:ln>
                            <a:noFill/>
                          </a:ln>
                        </pic:spPr>
                      </pic:pic>
                    </a:graphicData>
                  </a:graphic>
                </wp:inline>
              </w:drawing>
            </w:r>
          </w:p>
          <w:p w:rsidR="00B05A67" w:rsidRPr="00B05A67" w:rsidRDefault="00B05A67" w:rsidP="00E61488">
            <w:pPr>
              <w:widowControl w:val="0"/>
              <w:autoSpaceDE w:val="0"/>
              <w:autoSpaceDN w:val="0"/>
              <w:adjustRightInd w:val="0"/>
              <w:spacing w:before="0" w:after="0"/>
              <w:jc w:val="center"/>
              <w:rPr>
                <w:rFonts w:ascii="Arial" w:hAnsi="Arial" w:cs="Arial"/>
                <w:i/>
                <w:sz w:val="16"/>
                <w:szCs w:val="16"/>
                <w:lang w:eastAsia="it-IT"/>
              </w:rPr>
            </w:pPr>
            <w:r w:rsidRPr="00B05A67">
              <w:rPr>
                <w:rFonts w:ascii="Arial" w:hAnsi="Arial" w:cs="Arial"/>
                <w:i/>
                <w:sz w:val="16"/>
                <w:szCs w:val="16"/>
                <w:lang w:eastAsia="it-IT"/>
              </w:rPr>
              <w:t>Source : Dr. Jan Selby 2012 -  This chart combines information on JWC and Israeli Civil Administration approval, as projects proposed for Area C require Israeli Civil Administration approval as well.</w:t>
            </w:r>
          </w:p>
          <w:p w:rsidR="00B05A67" w:rsidRDefault="00B05A67" w:rsidP="00E61488">
            <w:pPr>
              <w:spacing w:before="0" w:after="0"/>
              <w:rPr>
                <w:rFonts w:ascii="Arial" w:eastAsiaTheme="minorEastAsia" w:hAnsi="Arial" w:cs="Arial"/>
                <w:sz w:val="22"/>
                <w:szCs w:val="22"/>
              </w:rPr>
            </w:pPr>
          </w:p>
        </w:tc>
      </w:tr>
    </w:tbl>
    <w:p w:rsidR="000D73B5" w:rsidRPr="00B05A67" w:rsidRDefault="000D73B5" w:rsidP="00B05A67">
      <w:pPr>
        <w:spacing w:before="0" w:after="0"/>
        <w:rPr>
          <w:rFonts w:ascii="Arial" w:hAnsi="Arial" w:cs="Arial"/>
          <w:sz w:val="22"/>
          <w:szCs w:val="22"/>
          <w:lang w:eastAsia="it-IT"/>
        </w:rPr>
      </w:pPr>
      <w:r w:rsidRPr="00B05A67">
        <w:rPr>
          <w:rFonts w:ascii="Arial" w:hAnsi="Arial" w:cs="Arial"/>
          <w:color w:val="221E1F"/>
          <w:sz w:val="22"/>
          <w:szCs w:val="22"/>
          <w:lang w:eastAsia="ja-JP"/>
        </w:rPr>
        <w:t>Besides the administrative measures, the com</w:t>
      </w:r>
      <w:r w:rsidRPr="00B05A67">
        <w:rPr>
          <w:rFonts w:ascii="Arial" w:hAnsi="Arial" w:cs="Arial"/>
          <w:color w:val="221E1F"/>
          <w:sz w:val="22"/>
          <w:szCs w:val="22"/>
          <w:lang w:eastAsia="ja-JP"/>
        </w:rPr>
        <w:softHyphen/>
        <w:t>plex legal system issued by the Military Com</w:t>
      </w:r>
      <w:r w:rsidRPr="00B05A67">
        <w:rPr>
          <w:rFonts w:ascii="Arial" w:hAnsi="Arial" w:cs="Arial"/>
          <w:color w:val="221E1F"/>
          <w:sz w:val="22"/>
          <w:szCs w:val="22"/>
          <w:lang w:eastAsia="ja-JP"/>
        </w:rPr>
        <w:softHyphen/>
        <w:t xml:space="preserve">mander functions as a codification of control as well as an institutional framework of the occupation. From the beginning of the Israeli occupation, with not more than three Military Orders, Israel has created a </w:t>
      </w:r>
      <w:r w:rsidRPr="00B05A67">
        <w:rPr>
          <w:rFonts w:ascii="Arial" w:hAnsi="Arial" w:cs="Arial"/>
          <w:i/>
          <w:color w:val="221E1F"/>
          <w:sz w:val="22"/>
          <w:szCs w:val="22"/>
          <w:lang w:eastAsia="ja-JP"/>
        </w:rPr>
        <w:t>“mechanism of to</w:t>
      </w:r>
      <w:r w:rsidRPr="00B05A67">
        <w:rPr>
          <w:rFonts w:ascii="Arial" w:hAnsi="Arial" w:cs="Arial"/>
          <w:i/>
          <w:color w:val="221E1F"/>
          <w:sz w:val="22"/>
          <w:szCs w:val="22"/>
          <w:lang w:eastAsia="ja-JP"/>
        </w:rPr>
        <w:softHyphen/>
        <w:t>tal control”</w:t>
      </w:r>
      <w:r w:rsidRPr="00B05A67">
        <w:rPr>
          <w:rFonts w:ascii="Arial" w:hAnsi="Arial" w:cs="Arial"/>
          <w:color w:val="221E1F"/>
          <w:sz w:val="22"/>
          <w:szCs w:val="22"/>
          <w:lang w:eastAsia="ja-JP"/>
        </w:rPr>
        <w:t xml:space="preserve"> over water in the West Bank</w:t>
      </w:r>
      <w:r w:rsidRPr="00B05A67">
        <w:rPr>
          <w:rStyle w:val="Rimandonotaapidipagina"/>
          <w:rFonts w:ascii="Arial" w:hAnsi="Arial" w:cs="Arial"/>
          <w:color w:val="221E1F"/>
          <w:sz w:val="22"/>
          <w:szCs w:val="22"/>
          <w:lang w:eastAsia="ja-JP"/>
        </w:rPr>
        <w:footnoteReference w:id="42"/>
      </w:r>
      <w:r w:rsidRPr="00B05A67">
        <w:rPr>
          <w:rFonts w:ascii="Arial" w:hAnsi="Arial" w:cs="Arial"/>
          <w:color w:val="221E1F"/>
          <w:sz w:val="22"/>
          <w:szCs w:val="22"/>
          <w:lang w:eastAsia="ja-JP"/>
        </w:rPr>
        <w:t>. Shortly after the June 1967 War, Military Order 92 transferred full authority over all water concerning issues in West Bank and Gaza Strip from various local utilities to an Israeli official appointed by the area military commander. Moreover, Military Order 158 introduced a permit system for all water projects.</w:t>
      </w:r>
      <w:r w:rsidRPr="00B05A67">
        <w:rPr>
          <w:rFonts w:ascii="Arial" w:hAnsi="Arial" w:cs="Arial"/>
          <w:sz w:val="22"/>
          <w:szCs w:val="22"/>
          <w:lang w:eastAsia="it-IT"/>
        </w:rPr>
        <w:t xml:space="preserve"> </w:t>
      </w:r>
    </w:p>
    <w:p w:rsidR="000D73B5" w:rsidRPr="00B05A67" w:rsidRDefault="000D73B5" w:rsidP="00B05A67">
      <w:pPr>
        <w:spacing w:before="0" w:after="0"/>
        <w:rPr>
          <w:rFonts w:ascii="Arial" w:hAnsi="Arial" w:cs="Arial"/>
          <w:sz w:val="22"/>
          <w:szCs w:val="22"/>
          <w:lang w:eastAsia="it-IT"/>
        </w:rPr>
      </w:pPr>
    </w:p>
    <w:p w:rsidR="000D73B5" w:rsidRPr="00E61488" w:rsidRDefault="000D73B5" w:rsidP="00E61488">
      <w:pPr>
        <w:spacing w:before="0" w:after="0"/>
        <w:rPr>
          <w:rFonts w:ascii="Arial" w:hAnsi="Arial" w:cs="Arial"/>
          <w:color w:val="221E1F"/>
          <w:sz w:val="22"/>
          <w:szCs w:val="22"/>
          <w:lang w:eastAsia="ja-JP"/>
        </w:rPr>
      </w:pPr>
      <w:r w:rsidRPr="00E61488">
        <w:rPr>
          <w:rFonts w:ascii="Arial" w:hAnsi="Arial" w:cs="Arial"/>
          <w:sz w:val="22"/>
          <w:szCs w:val="22"/>
          <w:lang w:eastAsia="it-IT"/>
        </w:rPr>
        <w:t xml:space="preserve">The combination of Military Orders No. 92 and 158 gives the Israeli authorities complete control over the entire water supplies in the West Bank and Gaza. Only the Head, appointed by the Area Commander, has influence in any issue regarding </w:t>
      </w:r>
      <w:r w:rsidRPr="00E61488">
        <w:rPr>
          <w:rFonts w:ascii="Arial" w:hAnsi="Arial" w:cs="Arial"/>
          <w:i/>
          <w:sz w:val="22"/>
          <w:szCs w:val="22"/>
          <w:lang w:eastAsia="it-IT"/>
        </w:rPr>
        <w:t>« transportation, extraction, export, consumption, sale, distribution, inspection of its use, purification, allotment of shares, the establishment of water projects, measurement, prevention of contamination, carrying out of studies and measurements in anything that deals with water matters, drilling wells, hearing of objections and all proceedings dealing with any of the above laws, etc., fixing and collecting fees, taxes and any payments for any of the above and any other matter which has not been mentioned specifically above which deals in any way whatsoever with water subjects ».</w:t>
      </w:r>
      <w:r w:rsidRPr="00E61488">
        <w:rPr>
          <w:rFonts w:ascii="Arial" w:hAnsi="Arial" w:cs="Arial"/>
          <w:sz w:val="22"/>
          <w:szCs w:val="22"/>
          <w:lang w:eastAsia="it-IT"/>
        </w:rPr>
        <w:t xml:space="preserve"> For example, Article 4(A) of Order 158 specifically states that </w:t>
      </w:r>
      <w:r w:rsidRPr="00E61488">
        <w:rPr>
          <w:rFonts w:ascii="Arial" w:hAnsi="Arial" w:cs="Arial"/>
          <w:i/>
          <w:sz w:val="22"/>
          <w:szCs w:val="22"/>
          <w:lang w:eastAsia="it-IT"/>
        </w:rPr>
        <w:t>« it shall not be permissible for any person to set up or to assemble or to possess or to operate a water installation unless he has obtained a license from the Area Commander ».</w:t>
      </w:r>
      <w:r w:rsidRPr="00E61488">
        <w:rPr>
          <w:rFonts w:ascii="Arial" w:hAnsi="Arial" w:cs="Arial"/>
          <w:sz w:val="22"/>
          <w:szCs w:val="22"/>
          <w:lang w:eastAsia="it-IT"/>
        </w:rPr>
        <w:t xml:space="preserve"> Thus</w:t>
      </w:r>
      <w:r w:rsidRPr="00E61488">
        <w:rPr>
          <w:rFonts w:ascii="Arial" w:hAnsi="Arial" w:cs="Arial"/>
          <w:color w:val="221E1F"/>
          <w:sz w:val="22"/>
          <w:szCs w:val="22"/>
          <w:lang w:eastAsia="ja-JP"/>
        </w:rPr>
        <w:t xml:space="preserve"> the law prohibited the construction of any new or re</w:t>
      </w:r>
      <w:r w:rsidRPr="00E61488">
        <w:rPr>
          <w:rFonts w:ascii="Arial" w:hAnsi="Arial" w:cs="Arial"/>
          <w:color w:val="221E1F"/>
          <w:sz w:val="22"/>
          <w:szCs w:val="22"/>
          <w:lang w:eastAsia="ja-JP"/>
        </w:rPr>
        <w:softHyphen/>
        <w:t>construction of old water infrastructure with</w:t>
      </w:r>
      <w:r w:rsidRPr="00E61488">
        <w:rPr>
          <w:rFonts w:ascii="Arial" w:hAnsi="Arial" w:cs="Arial"/>
          <w:color w:val="221E1F"/>
          <w:sz w:val="22"/>
          <w:szCs w:val="22"/>
          <w:lang w:eastAsia="ja-JP"/>
        </w:rPr>
        <w:softHyphen/>
        <w:t xml:space="preserve">out a permit from an official appointed by the area military commander. </w:t>
      </w:r>
    </w:p>
    <w:p w:rsidR="000D73B5" w:rsidRPr="00E61488" w:rsidRDefault="000D73B5" w:rsidP="00E61488">
      <w:pPr>
        <w:spacing w:before="0" w:after="0"/>
        <w:rPr>
          <w:rFonts w:ascii="Arial" w:hAnsi="Arial" w:cs="Arial"/>
          <w:color w:val="221E1F"/>
          <w:sz w:val="22"/>
          <w:szCs w:val="22"/>
          <w:lang w:eastAsia="ja-JP"/>
        </w:rPr>
      </w:pPr>
    </w:p>
    <w:p w:rsidR="000D73B5" w:rsidRPr="00E61488" w:rsidRDefault="000D73B5" w:rsidP="00E61488">
      <w:pPr>
        <w:spacing w:before="0" w:after="0"/>
        <w:rPr>
          <w:rFonts w:ascii="Arial" w:hAnsi="Arial" w:cs="Arial"/>
          <w:color w:val="221E1F"/>
          <w:sz w:val="22"/>
          <w:szCs w:val="22"/>
          <w:lang w:eastAsia="ja-JP"/>
        </w:rPr>
      </w:pPr>
      <w:r w:rsidRPr="00E61488">
        <w:rPr>
          <w:rFonts w:ascii="Arial" w:hAnsi="Arial" w:cs="Arial"/>
          <w:color w:val="221E1F"/>
          <w:sz w:val="22"/>
          <w:szCs w:val="22"/>
          <w:lang w:eastAsia="ja-JP"/>
        </w:rPr>
        <w:t>The military order also provided this Israeli official with the right to refuse a permit without a justification and no mechanism was established to appeal the official’s decisions. Lastly, Military Order 291</w:t>
      </w:r>
      <w:r w:rsidRPr="00E61488">
        <w:rPr>
          <w:rStyle w:val="Rimandonotaapidipagina"/>
          <w:rFonts w:ascii="Arial" w:hAnsi="Arial" w:cs="Arial"/>
          <w:color w:val="221E1F"/>
          <w:sz w:val="22"/>
          <w:szCs w:val="22"/>
          <w:lang w:eastAsia="ja-JP"/>
        </w:rPr>
        <w:footnoteReference w:id="43"/>
      </w:r>
      <w:r w:rsidRPr="00E61488">
        <w:rPr>
          <w:rFonts w:ascii="Arial" w:hAnsi="Arial" w:cs="Arial"/>
          <w:color w:val="221E1F"/>
          <w:sz w:val="22"/>
          <w:szCs w:val="22"/>
          <w:lang w:eastAsia="ja-JP"/>
        </w:rPr>
        <w:t xml:space="preserve"> declared all water resources to be the property of the State of Israel. In this way the military orders ensured full control of state-owned natural resources and built up the legal system for issuing drilling permits and ex</w:t>
      </w:r>
      <w:r w:rsidRPr="00E61488">
        <w:rPr>
          <w:rFonts w:ascii="Arial" w:hAnsi="Arial" w:cs="Arial"/>
          <w:color w:val="221E1F"/>
          <w:sz w:val="22"/>
          <w:szCs w:val="22"/>
          <w:lang w:eastAsia="ja-JP"/>
        </w:rPr>
        <w:softHyphen/>
        <w:t>traction rates for Israel.</w:t>
      </w:r>
    </w:p>
    <w:p w:rsidR="000D73B5" w:rsidRPr="00E61488" w:rsidRDefault="000D73B5" w:rsidP="00E61488">
      <w:pPr>
        <w:spacing w:before="0" w:after="0"/>
        <w:rPr>
          <w:rFonts w:ascii="Arial" w:hAnsi="Arial" w:cs="Arial"/>
          <w:color w:val="BA1050"/>
          <w:sz w:val="22"/>
          <w:szCs w:val="22"/>
          <w:lang w:eastAsia="ja-JP"/>
        </w:rPr>
      </w:pPr>
    </w:p>
    <w:p w:rsidR="000D73B5" w:rsidRPr="00E61488" w:rsidRDefault="000D73B5" w:rsidP="00E61488">
      <w:pPr>
        <w:spacing w:before="0" w:after="0"/>
        <w:rPr>
          <w:rFonts w:ascii="Arial" w:hAnsi="Arial" w:cs="Arial"/>
          <w:sz w:val="22"/>
          <w:szCs w:val="22"/>
          <w:lang w:eastAsia="it-IT"/>
        </w:rPr>
      </w:pPr>
      <w:bookmarkStart w:id="62" w:name="_Toc252910834"/>
      <w:r w:rsidRPr="00E61488">
        <w:rPr>
          <w:rFonts w:ascii="Arial" w:hAnsi="Arial" w:cs="Arial"/>
          <w:b/>
          <w:color w:val="1F497D" w:themeColor="text2"/>
          <w:sz w:val="22"/>
          <w:szCs w:val="22"/>
        </w:rPr>
        <w:t>Destruction of Humanitarian Aid</w:t>
      </w:r>
      <w:bookmarkEnd w:id="62"/>
      <w:r w:rsidR="00E61488" w:rsidRPr="00E61488">
        <w:rPr>
          <w:rFonts w:ascii="Arial" w:hAnsi="Arial" w:cs="Arial"/>
          <w:b/>
          <w:color w:val="1F497D" w:themeColor="text2"/>
          <w:sz w:val="22"/>
          <w:szCs w:val="22"/>
        </w:rPr>
        <w:t xml:space="preserve">. </w:t>
      </w:r>
      <w:r w:rsidRPr="00E61488">
        <w:rPr>
          <w:rFonts w:ascii="Arial" w:hAnsi="Arial" w:cs="Arial"/>
          <w:sz w:val="22"/>
          <w:szCs w:val="22"/>
          <w:lang w:eastAsia="it-IT"/>
        </w:rPr>
        <w:t>Lacking any alternative, communities as well as humanitarian agencies, are left to proceed without the required construction permits. EWASH estimates the cost of demolished infrastructure in the West Bank to have exceeded 100,000 USD in 2011 alone</w:t>
      </w:r>
      <w:r w:rsidRPr="00E61488">
        <w:rPr>
          <w:rStyle w:val="Rimandonotaapidipagina"/>
          <w:rFonts w:ascii="Arial" w:hAnsi="Arial" w:cs="Arial"/>
          <w:sz w:val="22"/>
          <w:szCs w:val="22"/>
          <w:lang w:eastAsia="it-IT"/>
        </w:rPr>
        <w:footnoteReference w:id="44"/>
      </w:r>
      <w:r w:rsidRPr="00E61488">
        <w:rPr>
          <w:rFonts w:ascii="Arial" w:hAnsi="Arial" w:cs="Arial"/>
          <w:sz w:val="22"/>
          <w:szCs w:val="22"/>
          <w:lang w:eastAsia="it-IT"/>
        </w:rPr>
        <w:t xml:space="preserve">. </w:t>
      </w:r>
    </w:p>
    <w:p w:rsidR="000D73B5" w:rsidRPr="00E61488" w:rsidRDefault="000D73B5" w:rsidP="00E61488">
      <w:pPr>
        <w:widowControl w:val="0"/>
        <w:autoSpaceDE w:val="0"/>
        <w:autoSpaceDN w:val="0"/>
        <w:adjustRightInd w:val="0"/>
        <w:spacing w:before="0" w:after="0"/>
        <w:rPr>
          <w:rFonts w:ascii="Arial" w:hAnsi="Arial" w:cs="Arial"/>
          <w:sz w:val="22"/>
          <w:szCs w:val="22"/>
          <w:lang w:eastAsia="it-IT"/>
        </w:rPr>
      </w:pPr>
    </w:p>
    <w:p w:rsidR="000D73B5" w:rsidRPr="00E61488" w:rsidRDefault="000D73B5" w:rsidP="00E61488">
      <w:pPr>
        <w:widowControl w:val="0"/>
        <w:autoSpaceDE w:val="0"/>
        <w:autoSpaceDN w:val="0"/>
        <w:adjustRightInd w:val="0"/>
        <w:spacing w:before="0" w:after="0"/>
        <w:rPr>
          <w:rFonts w:ascii="Arial" w:hAnsi="Arial" w:cs="Arial"/>
          <w:sz w:val="22"/>
          <w:szCs w:val="22"/>
          <w:lang w:eastAsia="it-IT"/>
        </w:rPr>
      </w:pPr>
      <w:r w:rsidRPr="00E61488">
        <w:rPr>
          <w:rFonts w:ascii="Arial" w:hAnsi="Arial" w:cs="Arial"/>
          <w:sz w:val="22"/>
          <w:szCs w:val="22"/>
          <w:lang w:eastAsia="it-IT"/>
        </w:rPr>
        <w:t>In October 2011, a member of the European Parliament</w:t>
      </w:r>
      <w:r w:rsidRPr="00E61488">
        <w:rPr>
          <w:rStyle w:val="Rimandonotaapidipagina"/>
          <w:rFonts w:ascii="Arial" w:hAnsi="Arial" w:cs="Arial"/>
          <w:sz w:val="22"/>
          <w:szCs w:val="22"/>
          <w:lang w:eastAsia="it-IT"/>
        </w:rPr>
        <w:footnoteReference w:id="45"/>
      </w:r>
      <w:r w:rsidRPr="00E61488">
        <w:rPr>
          <w:rFonts w:ascii="Arial" w:hAnsi="Arial" w:cs="Arial"/>
          <w:sz w:val="22"/>
          <w:szCs w:val="22"/>
          <w:lang w:eastAsia="it-IT"/>
        </w:rPr>
        <w:t xml:space="preserve"> asked the European Commission for details regarding the destruction of EU-funded development projects in the OPT between</w:t>
      </w:r>
    </w:p>
    <w:p w:rsidR="000D73B5" w:rsidRPr="00E61488" w:rsidRDefault="000D73B5" w:rsidP="00E61488">
      <w:pPr>
        <w:widowControl w:val="0"/>
        <w:autoSpaceDE w:val="0"/>
        <w:autoSpaceDN w:val="0"/>
        <w:adjustRightInd w:val="0"/>
        <w:spacing w:before="0" w:after="0"/>
        <w:rPr>
          <w:rFonts w:ascii="Arial" w:hAnsi="Arial" w:cs="Arial"/>
          <w:sz w:val="22"/>
          <w:szCs w:val="22"/>
          <w:lang w:eastAsia="it-IT"/>
        </w:rPr>
      </w:pPr>
      <w:r w:rsidRPr="00E61488">
        <w:rPr>
          <w:rFonts w:ascii="Arial" w:hAnsi="Arial" w:cs="Arial"/>
          <w:sz w:val="22"/>
          <w:szCs w:val="22"/>
          <w:lang w:eastAsia="it-IT"/>
        </w:rPr>
        <w:t xml:space="preserve">2001 and 2011. In response, the European Commission made public a list of </w:t>
      </w:r>
      <w:r w:rsidRPr="00E61488">
        <w:rPr>
          <w:rFonts w:ascii="Arial" w:hAnsi="Arial" w:cs="Arial"/>
          <w:i/>
          <w:sz w:val="22"/>
          <w:szCs w:val="22"/>
          <w:lang w:eastAsia="it-IT"/>
        </w:rPr>
        <w:t xml:space="preserve">« physical damages inflicted by Israel </w:t>
      </w:r>
      <w:proofErr w:type="spellStart"/>
      <w:r w:rsidRPr="00E61488">
        <w:rPr>
          <w:rFonts w:ascii="Arial" w:hAnsi="Arial" w:cs="Arial"/>
          <w:i/>
          <w:sz w:val="22"/>
          <w:szCs w:val="22"/>
          <w:lang w:eastAsia="it-IT"/>
        </w:rPr>
        <w:t>Defence</w:t>
      </w:r>
      <w:proofErr w:type="spellEnd"/>
      <w:r w:rsidRPr="00E61488">
        <w:rPr>
          <w:rFonts w:ascii="Arial" w:hAnsi="Arial" w:cs="Arial"/>
          <w:i/>
          <w:sz w:val="22"/>
          <w:szCs w:val="22"/>
          <w:lang w:eastAsia="it-IT"/>
        </w:rPr>
        <w:t xml:space="preserve"> Force attacks on EU-funded development projects »</w:t>
      </w:r>
      <w:r w:rsidRPr="00E61488">
        <w:rPr>
          <w:rFonts w:ascii="Arial" w:hAnsi="Arial" w:cs="Arial"/>
          <w:sz w:val="22"/>
          <w:szCs w:val="22"/>
          <w:lang w:eastAsia="it-IT"/>
        </w:rPr>
        <w:t xml:space="preserve"> and further elaborated that </w:t>
      </w:r>
      <w:r w:rsidRPr="00E61488">
        <w:rPr>
          <w:rFonts w:ascii="Arial" w:hAnsi="Arial" w:cs="Arial"/>
          <w:i/>
          <w:sz w:val="22"/>
          <w:szCs w:val="22"/>
          <w:lang w:eastAsia="it-IT"/>
        </w:rPr>
        <w:t>« the total cost of physical damage inflicted by Israeli armed forces attacks on EU-</w:t>
      </w:r>
      <w:r w:rsidRPr="00E61488">
        <w:rPr>
          <w:rFonts w:ascii="Arial" w:hAnsi="Arial" w:cs="Arial"/>
          <w:i/>
          <w:sz w:val="22"/>
          <w:szCs w:val="22"/>
          <w:lang w:eastAsia="it-IT"/>
        </w:rPr>
        <w:lastRenderedPageBreak/>
        <w:t>funded Development Projects amounted to approximately EUR 49.14 million for the period from 2001-2011, with the estimated EU-funded share in the loss amounting to EUR 29.37 million</w:t>
      </w:r>
      <w:r w:rsidRPr="00E61488">
        <w:rPr>
          <w:rStyle w:val="Rimandonotaapidipagina"/>
          <w:rFonts w:ascii="Arial" w:hAnsi="Arial" w:cs="Arial"/>
          <w:i/>
          <w:sz w:val="22"/>
          <w:szCs w:val="22"/>
          <w:lang w:eastAsia="it-IT"/>
        </w:rPr>
        <w:footnoteReference w:id="46"/>
      </w:r>
      <w:r w:rsidRPr="00E61488">
        <w:rPr>
          <w:rFonts w:ascii="Arial" w:hAnsi="Arial" w:cs="Arial"/>
          <w:i/>
          <w:sz w:val="22"/>
          <w:szCs w:val="22"/>
          <w:lang w:eastAsia="it-IT"/>
        </w:rPr>
        <w:t>»</w:t>
      </w:r>
      <w:r w:rsidRPr="00E61488">
        <w:rPr>
          <w:rFonts w:ascii="Arial" w:hAnsi="Arial" w:cs="Arial"/>
          <w:sz w:val="22"/>
          <w:szCs w:val="22"/>
          <w:lang w:eastAsia="it-IT"/>
        </w:rPr>
        <w:t xml:space="preserve"> </w:t>
      </w:r>
    </w:p>
    <w:p w:rsidR="000D73B5" w:rsidRPr="00E61488" w:rsidRDefault="000D73B5" w:rsidP="00E61488">
      <w:pPr>
        <w:widowControl w:val="0"/>
        <w:autoSpaceDE w:val="0"/>
        <w:autoSpaceDN w:val="0"/>
        <w:adjustRightInd w:val="0"/>
        <w:spacing w:before="0" w:after="0"/>
        <w:rPr>
          <w:rFonts w:ascii="Arial" w:hAnsi="Arial" w:cs="Arial"/>
          <w:sz w:val="22"/>
          <w:szCs w:val="22"/>
          <w:lang w:eastAsia="it-IT"/>
        </w:rPr>
      </w:pPr>
    </w:p>
    <w:p w:rsidR="000D73B5" w:rsidRPr="00E61488" w:rsidRDefault="000D73B5" w:rsidP="00E61488">
      <w:pPr>
        <w:spacing w:before="0" w:after="0"/>
        <w:rPr>
          <w:rFonts w:ascii="Arial" w:hAnsi="Arial" w:cs="Arial"/>
          <w:sz w:val="22"/>
          <w:szCs w:val="22"/>
          <w:lang w:eastAsia="ja-JP"/>
        </w:rPr>
      </w:pPr>
      <w:r w:rsidRPr="00E61488">
        <w:rPr>
          <w:rFonts w:ascii="Arial" w:hAnsi="Arial" w:cs="Arial"/>
          <w:sz w:val="22"/>
          <w:szCs w:val="22"/>
          <w:lang w:eastAsia="ja-JP"/>
        </w:rPr>
        <w:t xml:space="preserve">Following the destruction in January 2008 of trees, retaining walls and fencing co-funded by the EC near </w:t>
      </w:r>
      <w:proofErr w:type="spellStart"/>
      <w:r w:rsidRPr="00E61488">
        <w:rPr>
          <w:rFonts w:ascii="Arial" w:hAnsi="Arial" w:cs="Arial"/>
          <w:sz w:val="22"/>
          <w:szCs w:val="22"/>
          <w:lang w:eastAsia="ja-JP"/>
        </w:rPr>
        <w:t>Beit</w:t>
      </w:r>
      <w:proofErr w:type="spellEnd"/>
      <w:r w:rsidRPr="00E61488">
        <w:rPr>
          <w:rFonts w:ascii="Arial" w:hAnsi="Arial" w:cs="Arial"/>
          <w:sz w:val="22"/>
          <w:szCs w:val="22"/>
          <w:lang w:eastAsia="ja-JP"/>
        </w:rPr>
        <w:t xml:space="preserve"> </w:t>
      </w:r>
      <w:proofErr w:type="spellStart"/>
      <w:r w:rsidRPr="00E61488">
        <w:rPr>
          <w:rFonts w:ascii="Arial" w:hAnsi="Arial" w:cs="Arial"/>
          <w:sz w:val="22"/>
          <w:szCs w:val="22"/>
          <w:lang w:eastAsia="ja-JP"/>
        </w:rPr>
        <w:t>Ula</w:t>
      </w:r>
      <w:proofErr w:type="spellEnd"/>
      <w:r w:rsidRPr="00E61488">
        <w:rPr>
          <w:rFonts w:ascii="Arial" w:hAnsi="Arial" w:cs="Arial"/>
          <w:sz w:val="22"/>
          <w:szCs w:val="22"/>
          <w:lang w:eastAsia="ja-JP"/>
        </w:rPr>
        <w:t xml:space="preserve">, close to Hebron, the Commission wrote on 21 February 2008 to COGAT (Coordination of Government Activities in the Territories) requesting details and clarifications. Despite the sending of subsequent letters, and various meetings, no reply to the Commission's letter had been sent by the Israeli authorities by 19 March 2009. The Commission </w:t>
      </w:r>
      <w:proofErr w:type="spellStart"/>
      <w:r w:rsidRPr="00E61488">
        <w:rPr>
          <w:rFonts w:ascii="Arial" w:hAnsi="Arial" w:cs="Arial"/>
          <w:sz w:val="22"/>
          <w:szCs w:val="22"/>
          <w:lang w:eastAsia="ja-JP"/>
        </w:rPr>
        <w:t>recognises</w:t>
      </w:r>
      <w:proofErr w:type="spellEnd"/>
      <w:r w:rsidRPr="00E61488">
        <w:rPr>
          <w:rFonts w:ascii="Arial" w:hAnsi="Arial" w:cs="Arial"/>
          <w:sz w:val="22"/>
          <w:szCs w:val="22"/>
          <w:lang w:eastAsia="ja-JP"/>
        </w:rPr>
        <w:t xml:space="preserve"> that armed hostilities have a very serious effect on development, and result in a loss of both human and fixed capital. Most assessments of damage to infrastructure following hostilities are carried out on a general basis and do not identify the separately any damage to the projects which may have been financed by individual donors. Typically, such assessments form the basis of a needs assessment, which gives a very approximate estimate of the cost of reconstruction and which donors can use to decide on a possible contribution to a reconstruction exercise. The Commission entered into a trilateral joint declaration with the World Bank and the UN in September 2008 in relation to a common platform for carrying out such post-crisis needs assessments.</w:t>
      </w:r>
    </w:p>
    <w:p w:rsidR="000D73B5" w:rsidRPr="00E61488" w:rsidRDefault="000D73B5" w:rsidP="00E61488">
      <w:pPr>
        <w:spacing w:before="0" w:after="0"/>
        <w:rPr>
          <w:rFonts w:ascii="Arial" w:hAnsi="Arial" w:cs="Arial"/>
          <w:sz w:val="22"/>
          <w:szCs w:val="22"/>
          <w:lang w:eastAsia="ja-JP"/>
        </w:rPr>
      </w:pPr>
    </w:p>
    <w:p w:rsidR="000D73B5" w:rsidRPr="00E61488" w:rsidRDefault="000D73B5" w:rsidP="00E61488">
      <w:pPr>
        <w:spacing w:before="0" w:after="0"/>
        <w:rPr>
          <w:rFonts w:ascii="Arial" w:hAnsi="Arial" w:cs="Arial"/>
          <w:sz w:val="22"/>
          <w:szCs w:val="22"/>
          <w:lang w:eastAsia="ja-JP"/>
        </w:rPr>
      </w:pPr>
      <w:r w:rsidRPr="00E61488">
        <w:rPr>
          <w:rFonts w:ascii="Arial" w:hAnsi="Arial" w:cs="Arial"/>
          <w:sz w:val="22"/>
          <w:szCs w:val="22"/>
          <w:lang w:eastAsia="ja-JP"/>
        </w:rPr>
        <w:t>As for the Occupied Palestinian Territory, following the Operation Cast Lead (December 2008- January 2009), the Commission carried out a comprehensive needs and damage assessment, including an evaluation of the destruction of EU</w:t>
      </w:r>
      <w:r w:rsidRPr="00E61488">
        <w:rPr>
          <w:rFonts w:ascii="Lucida Sans Unicode" w:hAnsi="Lucida Sans Unicode" w:cs="Arial"/>
          <w:sz w:val="22"/>
          <w:szCs w:val="22"/>
          <w:lang w:eastAsia="ja-JP"/>
        </w:rPr>
        <w:t>‑</w:t>
      </w:r>
      <w:proofErr w:type="spellStart"/>
      <w:r w:rsidRPr="00E61488">
        <w:rPr>
          <w:rFonts w:ascii="Arial" w:hAnsi="Arial" w:cs="Arial"/>
          <w:sz w:val="22"/>
          <w:szCs w:val="22"/>
          <w:lang w:eastAsia="ja-JP"/>
        </w:rPr>
        <w:t>funded</w:t>
      </w:r>
      <w:proofErr w:type="spellEnd"/>
      <w:r w:rsidRPr="00E61488">
        <w:rPr>
          <w:rFonts w:ascii="Arial" w:hAnsi="Arial" w:cs="Arial"/>
          <w:sz w:val="22"/>
          <w:szCs w:val="22"/>
          <w:lang w:eastAsia="ja-JP"/>
        </w:rPr>
        <w:t xml:space="preserve"> projects. According to this evaluation EU</w:t>
      </w:r>
      <w:r w:rsidRPr="00E61488">
        <w:rPr>
          <w:rFonts w:ascii="Lucida Sans Unicode" w:hAnsi="Lucida Sans Unicode" w:cs="Arial"/>
          <w:sz w:val="22"/>
          <w:szCs w:val="22"/>
          <w:lang w:eastAsia="ja-JP"/>
        </w:rPr>
        <w:t>‑</w:t>
      </w:r>
      <w:r w:rsidRPr="00E61488">
        <w:rPr>
          <w:rFonts w:ascii="Arial" w:hAnsi="Arial" w:cs="Arial"/>
          <w:sz w:val="22"/>
          <w:szCs w:val="22"/>
          <w:lang w:eastAsia="ja-JP"/>
        </w:rPr>
        <w:t xml:space="preserve"> funded projects (EU Member States and EC projects included) were damaged for an amount of over EUR 12.3 million during this conflict. This should be compared with an estimate of overall damages to EU</w:t>
      </w:r>
      <w:r w:rsidRPr="00E61488">
        <w:rPr>
          <w:rFonts w:ascii="Lucida Sans Unicode" w:hAnsi="Lucida Sans Unicode" w:cs="Arial"/>
          <w:sz w:val="22"/>
          <w:szCs w:val="22"/>
          <w:lang w:eastAsia="ja-JP"/>
        </w:rPr>
        <w:t>‑</w:t>
      </w:r>
      <w:proofErr w:type="spellStart"/>
      <w:r w:rsidRPr="00E61488">
        <w:rPr>
          <w:rFonts w:ascii="Arial" w:hAnsi="Arial" w:cs="Arial"/>
          <w:sz w:val="22"/>
          <w:szCs w:val="22"/>
          <w:lang w:eastAsia="ja-JP"/>
        </w:rPr>
        <w:t>funded</w:t>
      </w:r>
      <w:proofErr w:type="spellEnd"/>
      <w:r w:rsidRPr="00E61488">
        <w:rPr>
          <w:rFonts w:ascii="Arial" w:hAnsi="Arial" w:cs="Arial"/>
          <w:sz w:val="22"/>
          <w:szCs w:val="22"/>
          <w:lang w:eastAsia="ja-JP"/>
        </w:rPr>
        <w:t xml:space="preserve"> projects in both the West Bank and Gaza for an amount equivalent to EUR 39.6 million since 2001 (including also the Operation Cast Lead damages).</w:t>
      </w:r>
    </w:p>
    <w:p w:rsidR="000D73B5" w:rsidRPr="00E61488" w:rsidRDefault="000D73B5" w:rsidP="00E61488">
      <w:pPr>
        <w:spacing w:before="0" w:after="0"/>
        <w:rPr>
          <w:rFonts w:ascii="Arial" w:hAnsi="Arial" w:cs="Arial"/>
          <w:sz w:val="22"/>
          <w:szCs w:val="22"/>
          <w:lang w:eastAsia="ja-JP"/>
        </w:rPr>
      </w:pPr>
    </w:p>
    <w:p w:rsidR="000D73B5" w:rsidRPr="00E61488" w:rsidRDefault="000D73B5" w:rsidP="00E61488">
      <w:pPr>
        <w:spacing w:before="0" w:after="0"/>
        <w:rPr>
          <w:rFonts w:ascii="Arial" w:hAnsi="Arial" w:cs="Arial"/>
          <w:sz w:val="22"/>
          <w:szCs w:val="22"/>
          <w:lang w:eastAsia="ja-JP"/>
        </w:rPr>
      </w:pPr>
      <w:r w:rsidRPr="00E61488">
        <w:rPr>
          <w:rFonts w:ascii="Arial" w:hAnsi="Arial" w:cs="Arial"/>
          <w:sz w:val="22"/>
          <w:szCs w:val="22"/>
          <w:lang w:eastAsia="it-IT"/>
        </w:rPr>
        <w:t>Article 53 of the Fourth Geneva Convention prohibits the Occupying Power from destroying</w:t>
      </w:r>
      <w:r w:rsidRPr="00E61488">
        <w:rPr>
          <w:rFonts w:ascii="Arial" w:hAnsi="Arial" w:cs="Arial"/>
          <w:sz w:val="22"/>
          <w:szCs w:val="22"/>
          <w:lang w:eastAsia="ja-JP"/>
        </w:rPr>
        <w:t xml:space="preserve"> </w:t>
      </w:r>
      <w:r w:rsidRPr="00E61488">
        <w:rPr>
          <w:rFonts w:ascii="Arial" w:hAnsi="Arial" w:cs="Arial"/>
          <w:sz w:val="22"/>
          <w:szCs w:val="22"/>
          <w:lang w:eastAsia="it-IT"/>
        </w:rPr>
        <w:t>all property, whether public or private, situated in the occupied territory for any reason</w:t>
      </w:r>
      <w:r w:rsidRPr="00E61488">
        <w:rPr>
          <w:rFonts w:ascii="Arial" w:hAnsi="Arial" w:cs="Arial"/>
          <w:sz w:val="22"/>
          <w:szCs w:val="22"/>
          <w:lang w:eastAsia="ja-JP"/>
        </w:rPr>
        <w:t xml:space="preserve"> </w:t>
      </w:r>
      <w:r w:rsidRPr="00E61488">
        <w:rPr>
          <w:rFonts w:ascii="Arial" w:hAnsi="Arial" w:cs="Arial"/>
          <w:sz w:val="22"/>
          <w:szCs w:val="22"/>
          <w:lang w:eastAsia="it-IT"/>
        </w:rPr>
        <w:t>other than imperative military necessity. While imperative military requirements may</w:t>
      </w:r>
      <w:r w:rsidRPr="00E61488">
        <w:rPr>
          <w:rFonts w:ascii="Arial" w:hAnsi="Arial" w:cs="Arial"/>
          <w:sz w:val="22"/>
          <w:szCs w:val="22"/>
          <w:lang w:eastAsia="ja-JP"/>
        </w:rPr>
        <w:t xml:space="preserve"> </w:t>
      </w:r>
      <w:r w:rsidRPr="00E61488">
        <w:rPr>
          <w:rFonts w:ascii="Arial" w:hAnsi="Arial" w:cs="Arial"/>
          <w:sz w:val="22"/>
          <w:szCs w:val="22"/>
          <w:lang w:eastAsia="it-IT"/>
        </w:rPr>
        <w:t>permit the Occupying Power to carry out destruction, in whole or in part, of certain private</w:t>
      </w:r>
      <w:r w:rsidRPr="00E61488">
        <w:rPr>
          <w:rFonts w:ascii="Arial" w:hAnsi="Arial" w:cs="Arial"/>
          <w:sz w:val="22"/>
          <w:szCs w:val="22"/>
          <w:lang w:eastAsia="ja-JP"/>
        </w:rPr>
        <w:t xml:space="preserve"> </w:t>
      </w:r>
      <w:r w:rsidRPr="00E61488">
        <w:rPr>
          <w:rFonts w:ascii="Arial" w:hAnsi="Arial" w:cs="Arial"/>
          <w:sz w:val="22"/>
          <w:szCs w:val="22"/>
          <w:lang w:eastAsia="it-IT"/>
        </w:rPr>
        <w:t>or public property in occupied territory, it must act in good faith to interpret the provision in</w:t>
      </w:r>
      <w:r w:rsidRPr="00E61488">
        <w:rPr>
          <w:rFonts w:ascii="Arial" w:hAnsi="Arial" w:cs="Arial"/>
          <w:sz w:val="22"/>
          <w:szCs w:val="22"/>
          <w:lang w:eastAsia="ja-JP"/>
        </w:rPr>
        <w:t xml:space="preserve"> </w:t>
      </w:r>
      <w:r w:rsidRPr="00E61488">
        <w:rPr>
          <w:rFonts w:ascii="Arial" w:hAnsi="Arial" w:cs="Arial"/>
          <w:sz w:val="22"/>
          <w:szCs w:val="22"/>
          <w:lang w:eastAsia="it-IT"/>
        </w:rPr>
        <w:t>a reasonable manner that respects the principle of proportionality. In these instances, this</w:t>
      </w:r>
      <w:r w:rsidRPr="00E61488">
        <w:rPr>
          <w:rFonts w:ascii="Arial" w:hAnsi="Arial" w:cs="Arial"/>
          <w:sz w:val="22"/>
          <w:szCs w:val="22"/>
          <w:lang w:eastAsia="ja-JP"/>
        </w:rPr>
        <w:t xml:space="preserve"> </w:t>
      </w:r>
      <w:r w:rsidRPr="00E61488">
        <w:rPr>
          <w:rFonts w:ascii="Arial" w:hAnsi="Arial" w:cs="Arial"/>
          <w:sz w:val="22"/>
          <w:szCs w:val="22"/>
          <w:lang w:eastAsia="it-IT"/>
        </w:rPr>
        <w:t>principle must be applied restrictively as the military necessity has to be absolute.</w:t>
      </w:r>
      <w:r w:rsidRPr="00E61488">
        <w:rPr>
          <w:rFonts w:ascii="Arial" w:hAnsi="Arial" w:cs="Arial"/>
          <w:sz w:val="22"/>
          <w:szCs w:val="22"/>
          <w:lang w:eastAsia="ja-JP"/>
        </w:rPr>
        <w:t xml:space="preserve"> </w:t>
      </w:r>
    </w:p>
    <w:p w:rsidR="000D73B5" w:rsidRPr="00E61488" w:rsidRDefault="000D73B5" w:rsidP="00E61488">
      <w:pPr>
        <w:spacing w:before="0" w:after="0"/>
        <w:rPr>
          <w:rFonts w:ascii="Arial" w:hAnsi="Arial" w:cs="Arial"/>
          <w:sz w:val="22"/>
          <w:szCs w:val="22"/>
          <w:lang w:eastAsia="ja-JP"/>
        </w:rPr>
      </w:pPr>
    </w:p>
    <w:p w:rsidR="000D73B5" w:rsidRPr="00E61488" w:rsidRDefault="000D73B5" w:rsidP="00E61488">
      <w:pPr>
        <w:spacing w:before="0" w:after="0"/>
        <w:rPr>
          <w:rFonts w:ascii="Arial" w:hAnsi="Arial" w:cs="Arial"/>
          <w:sz w:val="22"/>
          <w:szCs w:val="22"/>
          <w:lang w:eastAsia="ja-JP"/>
        </w:rPr>
      </w:pPr>
      <w:r w:rsidRPr="00E61488">
        <w:rPr>
          <w:rFonts w:ascii="Arial" w:hAnsi="Arial" w:cs="Arial"/>
          <w:sz w:val="22"/>
          <w:szCs w:val="22"/>
          <w:lang w:eastAsia="it-IT"/>
        </w:rPr>
        <w:t>Destruction of enemy property not justified by military necessity constitutes a war crime</w:t>
      </w:r>
      <w:r w:rsidRPr="00E61488">
        <w:rPr>
          <w:rStyle w:val="Rimandonotaapidipagina"/>
          <w:rFonts w:ascii="Arial" w:hAnsi="Arial" w:cs="Arial"/>
          <w:sz w:val="22"/>
          <w:szCs w:val="22"/>
          <w:lang w:eastAsia="it-IT"/>
        </w:rPr>
        <w:footnoteReference w:id="47"/>
      </w:r>
      <w:r w:rsidRPr="00E61488">
        <w:rPr>
          <w:rFonts w:ascii="Arial" w:hAnsi="Arial" w:cs="Arial"/>
          <w:sz w:val="22"/>
          <w:szCs w:val="22"/>
          <w:lang w:eastAsia="it-IT"/>
        </w:rPr>
        <w:t>.</w:t>
      </w:r>
      <w:r w:rsidRPr="00E61488">
        <w:rPr>
          <w:rFonts w:ascii="Arial" w:hAnsi="Arial" w:cs="Arial"/>
          <w:sz w:val="22"/>
          <w:szCs w:val="22"/>
          <w:lang w:eastAsia="ja-JP"/>
        </w:rPr>
        <w:t xml:space="preserve"> </w:t>
      </w:r>
      <w:r w:rsidRPr="00E61488">
        <w:rPr>
          <w:rFonts w:ascii="Arial" w:hAnsi="Arial" w:cs="Arial"/>
          <w:sz w:val="22"/>
          <w:szCs w:val="22"/>
          <w:lang w:eastAsia="it-IT"/>
        </w:rPr>
        <w:t>This crime amounts to a grave breach of the Fourth Geneva Convention when carried out</w:t>
      </w:r>
      <w:r w:rsidRPr="00E61488">
        <w:rPr>
          <w:rFonts w:ascii="Arial" w:hAnsi="Arial" w:cs="Arial"/>
          <w:sz w:val="22"/>
          <w:szCs w:val="22"/>
          <w:lang w:eastAsia="ja-JP"/>
        </w:rPr>
        <w:t xml:space="preserve"> </w:t>
      </w:r>
      <w:r w:rsidRPr="00E61488">
        <w:rPr>
          <w:rFonts w:ascii="Arial" w:hAnsi="Arial" w:cs="Arial"/>
          <w:sz w:val="22"/>
          <w:szCs w:val="22"/>
          <w:lang w:eastAsia="it-IT"/>
        </w:rPr>
        <w:t>unlawfully or wantonly, and when extensive in nature.</w:t>
      </w:r>
      <w:r w:rsidRPr="00E61488">
        <w:rPr>
          <w:rFonts w:ascii="Arial" w:hAnsi="Arial" w:cs="Arial"/>
          <w:sz w:val="22"/>
          <w:szCs w:val="22"/>
          <w:lang w:eastAsia="ja-JP"/>
        </w:rPr>
        <w:t xml:space="preserve"> </w:t>
      </w:r>
      <w:r w:rsidRPr="00E61488">
        <w:rPr>
          <w:rFonts w:ascii="Arial" w:hAnsi="Arial" w:cs="Arial"/>
          <w:sz w:val="22"/>
          <w:szCs w:val="22"/>
          <w:lang w:eastAsia="it-IT"/>
        </w:rPr>
        <w:t>The ostensible administrative nature of Israel’s</w:t>
      </w:r>
      <w:r w:rsidRPr="00E61488">
        <w:rPr>
          <w:rFonts w:ascii="Arial" w:hAnsi="Arial" w:cs="Arial"/>
          <w:sz w:val="22"/>
          <w:szCs w:val="22"/>
          <w:lang w:eastAsia="ja-JP"/>
        </w:rPr>
        <w:t xml:space="preserve"> </w:t>
      </w:r>
      <w:r w:rsidRPr="00E61488">
        <w:rPr>
          <w:rFonts w:ascii="Arial" w:hAnsi="Arial" w:cs="Arial"/>
          <w:sz w:val="22"/>
          <w:szCs w:val="22"/>
          <w:lang w:eastAsia="it-IT"/>
        </w:rPr>
        <w:t>destruction of water infrastructure makes it apparent</w:t>
      </w:r>
      <w:r w:rsidRPr="00E61488">
        <w:rPr>
          <w:rFonts w:ascii="Arial" w:hAnsi="Arial" w:cs="Arial"/>
          <w:sz w:val="22"/>
          <w:szCs w:val="22"/>
          <w:lang w:eastAsia="ja-JP"/>
        </w:rPr>
        <w:t xml:space="preserve"> </w:t>
      </w:r>
      <w:r w:rsidRPr="00E61488">
        <w:rPr>
          <w:rFonts w:ascii="Arial" w:hAnsi="Arial" w:cs="Arial"/>
          <w:sz w:val="22"/>
          <w:szCs w:val="22"/>
          <w:lang w:eastAsia="it-IT"/>
        </w:rPr>
        <w:t>that such destruction is not justified by military</w:t>
      </w:r>
      <w:r w:rsidRPr="00E61488">
        <w:rPr>
          <w:rFonts w:ascii="Arial" w:hAnsi="Arial" w:cs="Arial"/>
          <w:sz w:val="22"/>
          <w:szCs w:val="22"/>
          <w:lang w:eastAsia="ja-JP"/>
        </w:rPr>
        <w:t xml:space="preserve"> </w:t>
      </w:r>
      <w:r w:rsidRPr="00E61488">
        <w:rPr>
          <w:rFonts w:ascii="Arial" w:hAnsi="Arial" w:cs="Arial"/>
          <w:sz w:val="22"/>
          <w:szCs w:val="22"/>
          <w:lang w:eastAsia="it-IT"/>
        </w:rPr>
        <w:t xml:space="preserve">necessity, thereby constituting </w:t>
      </w:r>
      <w:r w:rsidRPr="00E61488">
        <w:rPr>
          <w:rFonts w:ascii="Arial" w:hAnsi="Arial" w:cs="Arial"/>
          <w:iCs/>
          <w:sz w:val="22"/>
          <w:szCs w:val="22"/>
          <w:lang w:eastAsia="it-IT"/>
        </w:rPr>
        <w:t xml:space="preserve">prima facie </w:t>
      </w:r>
      <w:r w:rsidRPr="00E61488">
        <w:rPr>
          <w:rFonts w:ascii="Arial" w:hAnsi="Arial" w:cs="Arial"/>
          <w:sz w:val="22"/>
          <w:szCs w:val="22"/>
          <w:lang w:eastAsia="it-IT"/>
        </w:rPr>
        <w:t>evidence of</w:t>
      </w:r>
      <w:r w:rsidRPr="00E61488">
        <w:rPr>
          <w:rFonts w:ascii="Arial" w:hAnsi="Arial" w:cs="Arial"/>
          <w:sz w:val="22"/>
          <w:szCs w:val="22"/>
          <w:lang w:eastAsia="ja-JP"/>
        </w:rPr>
        <w:t xml:space="preserve"> </w:t>
      </w:r>
      <w:r w:rsidRPr="00E61488">
        <w:rPr>
          <w:rFonts w:ascii="Arial" w:hAnsi="Arial" w:cs="Arial"/>
          <w:sz w:val="22"/>
          <w:szCs w:val="22"/>
          <w:lang w:eastAsia="it-IT"/>
        </w:rPr>
        <w:t>its unlawfulness. Furthermore, while it has been argued</w:t>
      </w:r>
      <w:r w:rsidRPr="00E61488">
        <w:rPr>
          <w:rFonts w:ascii="Arial" w:hAnsi="Arial" w:cs="Arial"/>
          <w:sz w:val="22"/>
          <w:szCs w:val="22"/>
          <w:lang w:eastAsia="ja-JP"/>
        </w:rPr>
        <w:t xml:space="preserve"> </w:t>
      </w:r>
      <w:r w:rsidRPr="00E61488">
        <w:rPr>
          <w:rFonts w:ascii="Arial" w:hAnsi="Arial" w:cs="Arial"/>
          <w:sz w:val="22"/>
          <w:szCs w:val="22"/>
          <w:lang w:eastAsia="it-IT"/>
        </w:rPr>
        <w:t>that the Occupying Power’s responsibility to ensure and</w:t>
      </w:r>
      <w:r w:rsidRPr="00E61488">
        <w:rPr>
          <w:rFonts w:ascii="Arial" w:hAnsi="Arial" w:cs="Arial"/>
          <w:sz w:val="22"/>
          <w:szCs w:val="22"/>
          <w:lang w:eastAsia="ja-JP"/>
        </w:rPr>
        <w:t xml:space="preserve"> </w:t>
      </w:r>
      <w:r w:rsidRPr="00E61488">
        <w:rPr>
          <w:rFonts w:ascii="Arial" w:hAnsi="Arial" w:cs="Arial"/>
          <w:sz w:val="22"/>
          <w:szCs w:val="22"/>
          <w:lang w:eastAsia="it-IT"/>
        </w:rPr>
        <w:t>maintain public order and civil life includes the exercise</w:t>
      </w:r>
      <w:r w:rsidRPr="00E61488">
        <w:rPr>
          <w:rFonts w:ascii="Arial" w:hAnsi="Arial" w:cs="Arial"/>
          <w:sz w:val="22"/>
          <w:szCs w:val="22"/>
          <w:lang w:eastAsia="ja-JP"/>
        </w:rPr>
        <w:t xml:space="preserve"> </w:t>
      </w:r>
      <w:r w:rsidRPr="00E61488">
        <w:rPr>
          <w:rFonts w:ascii="Arial" w:hAnsi="Arial" w:cs="Arial"/>
          <w:sz w:val="22"/>
          <w:szCs w:val="22"/>
          <w:lang w:eastAsia="it-IT"/>
        </w:rPr>
        <w:t>of administrative powers, such powers must be exercised</w:t>
      </w:r>
      <w:r w:rsidRPr="00E61488">
        <w:rPr>
          <w:rFonts w:ascii="Arial" w:hAnsi="Arial" w:cs="Arial"/>
          <w:sz w:val="22"/>
          <w:szCs w:val="22"/>
          <w:lang w:eastAsia="ja-JP"/>
        </w:rPr>
        <w:t xml:space="preserve">. </w:t>
      </w:r>
      <w:r w:rsidRPr="00E61488">
        <w:rPr>
          <w:rFonts w:ascii="Arial" w:hAnsi="Arial" w:cs="Arial"/>
          <w:sz w:val="22"/>
          <w:szCs w:val="22"/>
          <w:lang w:eastAsia="it-IT"/>
        </w:rPr>
        <w:t>In violation of its duty of good governance, Israel has rendered any reasonable access and use of water resources in the OPT practically impossible for the occupied population. Seen in this light, the current practice of demolishing water infrastructure, premised on the specious lack of permits, is a clear abuse of the obligation to administer the occupied territory for the benefit of the occupied population.</w:t>
      </w:r>
    </w:p>
    <w:p w:rsidR="000D73B5" w:rsidRPr="00105666" w:rsidRDefault="000D73B5" w:rsidP="00E61488">
      <w:pPr>
        <w:spacing w:before="0" w:after="0"/>
        <w:rPr>
          <w:lang w:eastAsia="ja-JP"/>
        </w:rPr>
      </w:pPr>
    </w:p>
    <w:p w:rsidR="000D73B5" w:rsidRPr="00E61488" w:rsidRDefault="000D73B5" w:rsidP="00E61488">
      <w:pPr>
        <w:spacing w:before="0" w:after="0"/>
        <w:rPr>
          <w:rFonts w:ascii="Arial" w:hAnsi="Arial" w:cs="Arial"/>
          <w:sz w:val="22"/>
          <w:szCs w:val="22"/>
        </w:rPr>
      </w:pPr>
      <w:bookmarkStart w:id="63" w:name="_Toc252910835"/>
      <w:r w:rsidRPr="00E61488">
        <w:rPr>
          <w:rFonts w:ascii="Arial" w:eastAsiaTheme="minorEastAsia" w:hAnsi="Arial" w:cs="Arial"/>
          <w:b/>
          <w:color w:val="1F497D" w:themeColor="text2"/>
          <w:sz w:val="22"/>
          <w:szCs w:val="22"/>
        </w:rPr>
        <w:t>Israel perspective</w:t>
      </w:r>
      <w:bookmarkEnd w:id="63"/>
      <w:r w:rsidR="00E61488" w:rsidRPr="00E61488">
        <w:rPr>
          <w:rFonts w:ascii="Arial" w:eastAsiaTheme="minorEastAsia" w:hAnsi="Arial" w:cs="Arial"/>
          <w:b/>
          <w:color w:val="1F497D" w:themeColor="text2"/>
          <w:sz w:val="22"/>
          <w:szCs w:val="22"/>
        </w:rPr>
        <w:t xml:space="preserve">. </w:t>
      </w:r>
      <w:r w:rsidRPr="00E61488">
        <w:rPr>
          <w:rFonts w:ascii="Arial" w:hAnsi="Arial" w:cs="Arial"/>
          <w:sz w:val="22"/>
          <w:szCs w:val="22"/>
          <w:lang w:eastAsia="ja-JP"/>
        </w:rPr>
        <w:t>According to some Israel reports</w:t>
      </w:r>
      <w:r w:rsidRPr="00E61488">
        <w:rPr>
          <w:rStyle w:val="Rimandonotaapidipagina"/>
          <w:rFonts w:ascii="Arial" w:hAnsi="Arial" w:cs="Arial"/>
          <w:sz w:val="22"/>
          <w:szCs w:val="22"/>
          <w:lang w:eastAsia="ja-JP"/>
        </w:rPr>
        <w:footnoteReference w:id="48"/>
      </w:r>
      <w:r w:rsidRPr="00E61488">
        <w:rPr>
          <w:rFonts w:ascii="Arial" w:hAnsi="Arial" w:cs="Arial"/>
          <w:sz w:val="22"/>
          <w:szCs w:val="22"/>
          <w:lang w:eastAsia="ja-JP"/>
        </w:rPr>
        <w:t xml:space="preserve">, the international community has been </w:t>
      </w:r>
      <w:proofErr w:type="spellStart"/>
      <w:r w:rsidRPr="00E61488">
        <w:rPr>
          <w:rFonts w:ascii="Arial" w:hAnsi="Arial" w:cs="Arial"/>
          <w:sz w:val="22"/>
          <w:szCs w:val="22"/>
          <w:lang w:eastAsia="ja-JP"/>
        </w:rPr>
        <w:t>wilfully</w:t>
      </w:r>
      <w:proofErr w:type="spellEnd"/>
      <w:r w:rsidRPr="00E61488">
        <w:rPr>
          <w:rFonts w:ascii="Arial" w:hAnsi="Arial" w:cs="Arial"/>
          <w:sz w:val="22"/>
          <w:szCs w:val="22"/>
          <w:lang w:eastAsia="ja-JP"/>
        </w:rPr>
        <w:t xml:space="preserve"> misled by Palestinian </w:t>
      </w:r>
      <w:r w:rsidRPr="00E61488">
        <w:rPr>
          <w:rFonts w:ascii="Arial" w:hAnsi="Arial" w:cs="Arial"/>
          <w:i/>
          <w:sz w:val="22"/>
          <w:szCs w:val="22"/>
          <w:lang w:eastAsia="ja-JP"/>
        </w:rPr>
        <w:t>propaganda</w:t>
      </w:r>
      <w:r w:rsidRPr="00E61488">
        <w:rPr>
          <w:rFonts w:ascii="Arial" w:hAnsi="Arial" w:cs="Arial"/>
          <w:sz w:val="22"/>
          <w:szCs w:val="22"/>
          <w:lang w:eastAsia="ja-JP"/>
        </w:rPr>
        <w:t xml:space="preserve"> on water issues.</w:t>
      </w:r>
      <w:r w:rsidRPr="00E61488">
        <w:rPr>
          <w:rFonts w:ascii="Arial" w:hAnsi="Arial" w:cs="Arial"/>
          <w:sz w:val="22"/>
          <w:szCs w:val="22"/>
        </w:rPr>
        <w:t xml:space="preserve"> It is not the Israeli occupation policy but </w:t>
      </w:r>
      <w:r w:rsidRPr="00E61488">
        <w:rPr>
          <w:rFonts w:ascii="Arial" w:hAnsi="Arial" w:cs="Arial"/>
          <w:sz w:val="22"/>
          <w:szCs w:val="22"/>
        </w:rPr>
        <w:lastRenderedPageBreak/>
        <w:t>the Palestinian political resistance against joint management and cooperation that is responsible for the relatively slow development of the Palestinian water sector and the deteriorating human rights situation in the Palestinian Territories and there is convincing evidence of mismanagement within the Palestinian Water Authority.</w:t>
      </w:r>
    </w:p>
    <w:p w:rsidR="000D73B5" w:rsidRPr="00E61488" w:rsidRDefault="000D73B5" w:rsidP="00E61488">
      <w:pPr>
        <w:spacing w:before="0" w:after="0"/>
        <w:rPr>
          <w:rFonts w:ascii="Arial" w:hAnsi="Arial" w:cs="Arial"/>
          <w:sz w:val="22"/>
          <w:szCs w:val="22"/>
        </w:rPr>
      </w:pPr>
    </w:p>
    <w:p w:rsidR="000D73B5" w:rsidRPr="00E61488" w:rsidRDefault="000D73B5" w:rsidP="00E61488">
      <w:pPr>
        <w:spacing w:before="0" w:after="0"/>
        <w:rPr>
          <w:rFonts w:ascii="Arial" w:hAnsi="Arial" w:cs="Arial"/>
          <w:sz w:val="22"/>
          <w:szCs w:val="22"/>
        </w:rPr>
      </w:pPr>
      <w:r w:rsidRPr="00E61488">
        <w:rPr>
          <w:rFonts w:ascii="Arial" w:hAnsi="Arial" w:cs="Arial"/>
          <w:sz w:val="22"/>
          <w:szCs w:val="22"/>
        </w:rPr>
        <w:t xml:space="preserve">Although the PWA embarked on an institutional reform process in reaction to international critics such as the World Bank this did not solve the issue of mismanagement within the institution. The PWA also did not manage to gain control over many municipalities (where Israel has no control) due to the autocratic and undemocratic manner in which they are managed. These power holders did not want to </w:t>
      </w:r>
      <w:proofErr w:type="spellStart"/>
      <w:r w:rsidRPr="00E61488">
        <w:rPr>
          <w:rFonts w:ascii="Arial" w:hAnsi="Arial" w:cs="Arial"/>
          <w:sz w:val="22"/>
          <w:szCs w:val="22"/>
        </w:rPr>
        <w:t>loose</w:t>
      </w:r>
      <w:proofErr w:type="spellEnd"/>
      <w:r w:rsidRPr="00E61488">
        <w:rPr>
          <w:rFonts w:ascii="Arial" w:hAnsi="Arial" w:cs="Arial"/>
          <w:sz w:val="22"/>
          <w:szCs w:val="22"/>
        </w:rPr>
        <w:t xml:space="preserve"> control of the water systems since it was one of the main services provided by the municipalities. As a result the water supply is not centralized and illegal drilling is rampant.</w:t>
      </w:r>
    </w:p>
    <w:p w:rsidR="000D73B5" w:rsidRPr="00E61488" w:rsidRDefault="000D73B5" w:rsidP="00E61488">
      <w:pPr>
        <w:spacing w:before="0" w:after="0"/>
        <w:rPr>
          <w:rFonts w:ascii="Arial" w:hAnsi="Arial" w:cs="Arial"/>
          <w:sz w:val="22"/>
          <w:szCs w:val="22"/>
        </w:rPr>
      </w:pPr>
    </w:p>
    <w:p w:rsidR="000D73B5" w:rsidRPr="00E61488" w:rsidRDefault="000D73B5" w:rsidP="00E61488">
      <w:pPr>
        <w:widowControl w:val="0"/>
        <w:autoSpaceDE w:val="0"/>
        <w:autoSpaceDN w:val="0"/>
        <w:adjustRightInd w:val="0"/>
        <w:spacing w:before="0" w:after="0"/>
        <w:rPr>
          <w:rFonts w:ascii="Arial" w:eastAsiaTheme="minorEastAsia" w:hAnsi="Arial" w:cs="Arial"/>
          <w:color w:val="000000"/>
          <w:sz w:val="22"/>
          <w:szCs w:val="22"/>
          <w:lang w:eastAsia="ja-JP"/>
        </w:rPr>
      </w:pPr>
      <w:r w:rsidRPr="00E61488">
        <w:rPr>
          <w:rFonts w:ascii="Arial" w:hAnsi="Arial" w:cs="Arial"/>
          <w:sz w:val="22"/>
          <w:szCs w:val="22"/>
        </w:rPr>
        <w:t>T</w:t>
      </w:r>
      <w:r w:rsidRPr="00E61488">
        <w:rPr>
          <w:rFonts w:ascii="Arial" w:eastAsiaTheme="minorEastAsia" w:hAnsi="Arial" w:cs="Arial"/>
          <w:color w:val="000000"/>
          <w:sz w:val="22"/>
          <w:szCs w:val="22"/>
          <w:lang w:eastAsia="ja-JP"/>
        </w:rPr>
        <w:t xml:space="preserve">he Palestinians claim political and legal ownership over the groundwater reservoir of the Mountain Aquifer, including its three internal basins – western, eastern and northern. They also claim rightful access to the waters of the Gaza Strip Coastal Aquifer and the Jordan River. Quantitatively, these demands amount to about 400 million cubic meters per year (MCM/Y) from the Mountain Aquifer, about 100 MCM/Y from the Coastal Aquifer and about 200 MCM/Y from the Jordan River. This totals roughly 700 MCM/Y, which is more than 50% of the total natural water available between the Mediterranean Sea and the Jordan River. </w:t>
      </w:r>
      <w:r w:rsidRPr="00E61488">
        <w:rPr>
          <w:rFonts w:ascii="Arial" w:hAnsi="Arial" w:cs="Arial"/>
          <w:sz w:val="22"/>
          <w:szCs w:val="22"/>
        </w:rPr>
        <w:t xml:space="preserve">The Palestinians' on-going drilling of unauthorized wells in the Mountain Aquifer is a clear breach of the Oslo II water agreement. By 2005, more than 250 such wells were drilled in Judea and Samaria (West Bank), specifically in the western basin near </w:t>
      </w:r>
      <w:proofErr w:type="spellStart"/>
      <w:r w:rsidRPr="00E61488">
        <w:rPr>
          <w:rFonts w:ascii="Arial" w:hAnsi="Arial" w:cs="Arial"/>
          <w:sz w:val="22"/>
          <w:szCs w:val="22"/>
        </w:rPr>
        <w:t>Qalqiliyah</w:t>
      </w:r>
      <w:proofErr w:type="spellEnd"/>
      <w:r w:rsidRPr="00E61488">
        <w:rPr>
          <w:rFonts w:ascii="Arial" w:hAnsi="Arial" w:cs="Arial"/>
          <w:sz w:val="22"/>
          <w:szCs w:val="22"/>
        </w:rPr>
        <w:t xml:space="preserve"> and </w:t>
      </w:r>
      <w:proofErr w:type="spellStart"/>
      <w:r w:rsidRPr="00E61488">
        <w:rPr>
          <w:rFonts w:ascii="Arial" w:hAnsi="Arial" w:cs="Arial"/>
          <w:sz w:val="22"/>
          <w:szCs w:val="22"/>
        </w:rPr>
        <w:t>Tulkarm</w:t>
      </w:r>
      <w:proofErr w:type="spellEnd"/>
      <w:r w:rsidRPr="00E61488">
        <w:rPr>
          <w:rFonts w:ascii="Arial" w:hAnsi="Arial" w:cs="Arial"/>
          <w:sz w:val="22"/>
          <w:szCs w:val="22"/>
        </w:rPr>
        <w:t xml:space="preserve"> and in the northern basin near </w:t>
      </w:r>
      <w:proofErr w:type="spellStart"/>
      <w:r w:rsidRPr="00E61488">
        <w:rPr>
          <w:rFonts w:ascii="Arial" w:hAnsi="Arial" w:cs="Arial"/>
          <w:sz w:val="22"/>
          <w:szCs w:val="22"/>
        </w:rPr>
        <w:t>Jenin</w:t>
      </w:r>
      <w:proofErr w:type="spellEnd"/>
      <w:r w:rsidRPr="00E61488">
        <w:rPr>
          <w:rFonts w:ascii="Arial" w:hAnsi="Arial" w:cs="Arial"/>
          <w:sz w:val="22"/>
          <w:szCs w:val="22"/>
        </w:rPr>
        <w:t xml:space="preserve">, providing about 10 MCM/Y. Consequently, the Israeli extraction of groundwater from all three sub-aquifers has been reduced by the same amount in order to prevent the groundwater table from dropping below the sustainable level, which would deteriorate the water quality by </w:t>
      </w:r>
      <w:proofErr w:type="spellStart"/>
      <w:r w:rsidRPr="00E61488">
        <w:rPr>
          <w:rFonts w:ascii="Arial" w:hAnsi="Arial" w:cs="Arial"/>
          <w:sz w:val="22"/>
          <w:szCs w:val="22"/>
        </w:rPr>
        <w:t>salinization</w:t>
      </w:r>
      <w:proofErr w:type="spellEnd"/>
      <w:r w:rsidRPr="00E61488">
        <w:rPr>
          <w:rFonts w:ascii="Arial" w:hAnsi="Arial" w:cs="Arial"/>
          <w:sz w:val="22"/>
          <w:szCs w:val="22"/>
        </w:rPr>
        <w:t xml:space="preserve">. </w:t>
      </w:r>
      <w:r w:rsidRPr="00E61488">
        <w:rPr>
          <w:rFonts w:ascii="Arial" w:eastAsiaTheme="minorEastAsia" w:hAnsi="Arial" w:cs="Arial"/>
          <w:color w:val="000000"/>
          <w:sz w:val="22"/>
          <w:szCs w:val="22"/>
          <w:lang w:eastAsia="ja-JP"/>
        </w:rPr>
        <w:t xml:space="preserve">In addition, the Palestinians have in some instances hooked themselves up to </w:t>
      </w:r>
      <w:proofErr w:type="spellStart"/>
      <w:r w:rsidRPr="00E61488">
        <w:rPr>
          <w:rFonts w:ascii="Arial" w:eastAsiaTheme="minorEastAsia" w:hAnsi="Arial" w:cs="Arial"/>
          <w:color w:val="000000"/>
          <w:sz w:val="22"/>
          <w:szCs w:val="22"/>
          <w:lang w:eastAsia="ja-JP"/>
        </w:rPr>
        <w:t>Mekorot</w:t>
      </w:r>
      <w:proofErr w:type="spellEnd"/>
      <w:r w:rsidRPr="00E61488">
        <w:rPr>
          <w:rStyle w:val="Rimandonotaapidipagina"/>
          <w:rFonts w:ascii="Arial" w:eastAsiaTheme="minorEastAsia" w:hAnsi="Arial" w:cs="Arial"/>
          <w:color w:val="000000"/>
          <w:sz w:val="22"/>
          <w:szCs w:val="22"/>
          <w:lang w:eastAsia="ja-JP"/>
        </w:rPr>
        <w:footnoteReference w:id="49"/>
      </w:r>
      <w:r w:rsidRPr="00E61488">
        <w:rPr>
          <w:rFonts w:ascii="Arial" w:eastAsiaTheme="minorEastAsia" w:hAnsi="Arial" w:cs="Arial"/>
          <w:color w:val="000000"/>
          <w:sz w:val="22"/>
          <w:szCs w:val="22"/>
          <w:lang w:eastAsia="ja-JP"/>
        </w:rPr>
        <w:t xml:space="preserve"> water pipelines without permission. In the villages of </w:t>
      </w:r>
      <w:proofErr w:type="spellStart"/>
      <w:r w:rsidRPr="00E61488">
        <w:rPr>
          <w:rFonts w:ascii="Arial" w:eastAsiaTheme="minorEastAsia" w:hAnsi="Arial" w:cs="Arial"/>
          <w:color w:val="000000"/>
          <w:sz w:val="22"/>
          <w:szCs w:val="22"/>
          <w:lang w:eastAsia="ja-JP"/>
        </w:rPr>
        <w:t>Sair</w:t>
      </w:r>
      <w:proofErr w:type="spellEnd"/>
      <w:r w:rsidRPr="00E61488">
        <w:rPr>
          <w:rFonts w:ascii="Arial" w:eastAsiaTheme="minorEastAsia" w:hAnsi="Arial" w:cs="Arial"/>
          <w:color w:val="000000"/>
          <w:sz w:val="22"/>
          <w:szCs w:val="22"/>
          <w:lang w:eastAsia="ja-JP"/>
        </w:rPr>
        <w:t xml:space="preserve"> and Ash-</w:t>
      </w:r>
      <w:proofErr w:type="spellStart"/>
      <w:r w:rsidRPr="00E61488">
        <w:rPr>
          <w:rFonts w:ascii="Arial" w:eastAsiaTheme="minorEastAsia" w:hAnsi="Arial" w:cs="Arial"/>
          <w:color w:val="000000"/>
          <w:sz w:val="22"/>
          <w:szCs w:val="22"/>
          <w:lang w:eastAsia="ja-JP"/>
        </w:rPr>
        <w:t>Shuyukh</w:t>
      </w:r>
      <w:proofErr w:type="spellEnd"/>
      <w:r w:rsidRPr="00E61488">
        <w:rPr>
          <w:rFonts w:ascii="Arial" w:eastAsiaTheme="minorEastAsia" w:hAnsi="Arial" w:cs="Arial"/>
          <w:color w:val="000000"/>
          <w:sz w:val="22"/>
          <w:szCs w:val="22"/>
          <w:lang w:eastAsia="ja-JP"/>
        </w:rPr>
        <w:t>, for example, the unlicensed water connections are used to irrigate fields at the edge of the Judean desert. The consumption from these connections totals about 3 MCM/Y.</w:t>
      </w:r>
    </w:p>
    <w:p w:rsidR="000D73B5" w:rsidRPr="00E61488" w:rsidRDefault="000D73B5" w:rsidP="00E61488">
      <w:pPr>
        <w:widowControl w:val="0"/>
        <w:autoSpaceDE w:val="0"/>
        <w:autoSpaceDN w:val="0"/>
        <w:adjustRightInd w:val="0"/>
        <w:spacing w:before="0" w:after="0"/>
        <w:rPr>
          <w:rFonts w:ascii="Arial" w:eastAsiaTheme="minorEastAsia" w:hAnsi="Arial" w:cs="Arial"/>
          <w:color w:val="000000"/>
          <w:sz w:val="22"/>
          <w:szCs w:val="22"/>
          <w:lang w:eastAsia="ja-JP"/>
        </w:rPr>
      </w:pPr>
    </w:p>
    <w:p w:rsidR="000D73B5" w:rsidRDefault="000D73B5" w:rsidP="00E61488">
      <w:pPr>
        <w:widowControl w:val="0"/>
        <w:autoSpaceDE w:val="0"/>
        <w:autoSpaceDN w:val="0"/>
        <w:adjustRightInd w:val="0"/>
        <w:spacing w:before="0" w:after="0"/>
        <w:rPr>
          <w:rFonts w:ascii="Arial" w:eastAsiaTheme="minorEastAsia" w:hAnsi="Arial" w:cs="Arial"/>
          <w:color w:val="000000"/>
          <w:sz w:val="22"/>
          <w:szCs w:val="22"/>
          <w:lang w:eastAsia="ja-JP"/>
        </w:rPr>
      </w:pPr>
      <w:r w:rsidRPr="00E61488">
        <w:rPr>
          <w:rFonts w:ascii="Arial" w:eastAsiaTheme="minorEastAsia" w:hAnsi="Arial" w:cs="Arial"/>
          <w:color w:val="000000"/>
          <w:sz w:val="22"/>
          <w:szCs w:val="22"/>
          <w:lang w:eastAsia="ja-JP"/>
        </w:rPr>
        <w:t xml:space="preserve">In the Oslo II Agreement, Israel stated its recognition of the water rights of the Palestinians, which would be quantitatively defined in the future in the permanent agreement. Both parties concurred that the future needs of the Palestinians would be about 70-80 MCM/Y more than their existing water consumption (118 MCM/Y in 1995). During the interim period, the Palestinian consumption would increase by 28.6 MCM/Y (including the 5 MCM/Y to Gaza), most of which would be supplied from the Eastern Aquifer basin. It was also agreed that new water sources should be developed (for example, sewage recycling and seawater desalination) and that management of water sources must be coordinated. As well, both sides agreed to prevent contamination and treat sewage effluents.  </w:t>
      </w:r>
    </w:p>
    <w:p w:rsidR="00E61488" w:rsidRPr="00E61488" w:rsidRDefault="00E61488" w:rsidP="00E61488">
      <w:pPr>
        <w:widowControl w:val="0"/>
        <w:autoSpaceDE w:val="0"/>
        <w:autoSpaceDN w:val="0"/>
        <w:adjustRightInd w:val="0"/>
        <w:spacing w:before="0" w:after="0"/>
        <w:rPr>
          <w:rFonts w:ascii="Arial" w:eastAsiaTheme="minorEastAsia" w:hAnsi="Arial" w:cs="Arial"/>
          <w:color w:val="000000"/>
          <w:sz w:val="22"/>
          <w:szCs w:val="22"/>
          <w:lang w:eastAsia="ja-JP"/>
        </w:rPr>
      </w:pPr>
    </w:p>
    <w:p w:rsidR="000D73B5" w:rsidRPr="00E61488" w:rsidRDefault="000D73B5" w:rsidP="00E61488">
      <w:pPr>
        <w:spacing w:before="0" w:after="0"/>
        <w:rPr>
          <w:rFonts w:ascii="Arial" w:eastAsiaTheme="minorEastAsia" w:hAnsi="Arial" w:cs="Arial"/>
          <w:color w:val="000000"/>
          <w:sz w:val="22"/>
          <w:szCs w:val="22"/>
          <w:lang w:eastAsia="ja-JP"/>
        </w:rPr>
      </w:pPr>
      <w:r w:rsidRPr="00E61488">
        <w:rPr>
          <w:rFonts w:ascii="Arial" w:hAnsi="Arial" w:cs="Arial"/>
          <w:sz w:val="22"/>
          <w:szCs w:val="22"/>
        </w:rPr>
        <w:t xml:space="preserve">Over the last 15 years, the development of water supply systems for the Palestinian communities has been carried out on an extensive scale, much larger than that was called for in the Interim Agreement. In practice the Palestinians' water supply increased by about 50% (60 MCM/Y in 2006, not including Gaza), reaching a total of 180 MCM/Y and Israel has fulfilled its signed obligations. </w:t>
      </w:r>
      <w:r w:rsidRPr="00E61488">
        <w:rPr>
          <w:rFonts w:ascii="Arial" w:eastAsiaTheme="minorEastAsia" w:hAnsi="Arial" w:cs="Arial"/>
          <w:color w:val="000000"/>
          <w:sz w:val="22"/>
          <w:szCs w:val="22"/>
          <w:lang w:eastAsia="ja-JP"/>
        </w:rPr>
        <w:t>When examining water consumption among Israelis and Palestinians, only ‘fresh, natural’ water sources, which are under dispute, are considered. Treated sewage and desalinated seawater are artificial sources, which both sides can produce, and are not part of the fresh, natural water supply.</w:t>
      </w:r>
    </w:p>
    <w:p w:rsidR="00E61488" w:rsidRDefault="00E61488" w:rsidP="00E61488">
      <w:pPr>
        <w:spacing w:before="0" w:after="0"/>
        <w:rPr>
          <w:rFonts w:eastAsiaTheme="minorEastAsia"/>
          <w:color w:val="000000"/>
          <w:lang w:eastAsia="ja-JP"/>
        </w:rPr>
      </w:pPr>
    </w:p>
    <w:p w:rsidR="00E61488" w:rsidRDefault="00E61488" w:rsidP="00E61488">
      <w:pPr>
        <w:spacing w:before="0" w:after="0"/>
        <w:rPr>
          <w:rFonts w:eastAsiaTheme="minorEastAsia"/>
          <w:color w:val="000000"/>
          <w:lang w:eastAsia="ja-JP"/>
        </w:rPr>
      </w:pPr>
    </w:p>
    <w:p w:rsidR="00E61488" w:rsidRDefault="00E61488" w:rsidP="00E61488">
      <w:pPr>
        <w:spacing w:before="0" w:after="0"/>
        <w:rPr>
          <w:rFonts w:eastAsiaTheme="minorEastAsia"/>
          <w:color w:val="000000"/>
          <w:lang w:eastAsia="ja-JP"/>
        </w:rPr>
      </w:pPr>
    </w:p>
    <w:p w:rsidR="00E61488" w:rsidRDefault="00E61488" w:rsidP="00E61488">
      <w:pPr>
        <w:spacing w:before="0" w:after="0"/>
        <w:rPr>
          <w:rFonts w:eastAsiaTheme="minorEastAsia"/>
          <w:color w:val="000000"/>
          <w:lang w:eastAsia="ja-JP"/>
        </w:rPr>
      </w:pPr>
    </w:p>
    <w:p w:rsidR="00E61488" w:rsidRDefault="00E61488" w:rsidP="00E61488">
      <w:pPr>
        <w:spacing w:before="0" w:after="0"/>
        <w:rPr>
          <w:rFonts w:eastAsiaTheme="minorEastAsia"/>
          <w:color w:val="000000"/>
          <w:lang w:eastAsia="ja-JP"/>
        </w:rPr>
      </w:pPr>
    </w:p>
    <w:p w:rsidR="00E61488" w:rsidRDefault="00E61488" w:rsidP="00E61488">
      <w:pPr>
        <w:spacing w:before="0" w:after="0"/>
        <w:rPr>
          <w:rFonts w:eastAsiaTheme="minorEastAsia"/>
          <w:color w:val="000000"/>
          <w:lang w:eastAsia="ja-JP"/>
        </w:rPr>
      </w:pPr>
    </w:p>
    <w:p w:rsidR="00E61488" w:rsidRPr="00105666" w:rsidRDefault="00E61488" w:rsidP="00E61488">
      <w:pPr>
        <w:spacing w:before="0" w:after="0"/>
        <w:rPr>
          <w:rFonts w:eastAsiaTheme="minorEastAsia"/>
          <w:color w:val="000000"/>
          <w:lang w:eastAsia="ja-JP"/>
        </w:rPr>
      </w:pPr>
    </w:p>
    <w:p w:rsidR="000D73B5" w:rsidRPr="00105666" w:rsidRDefault="000D73B5" w:rsidP="000D73B5">
      <w:pPr>
        <w:pStyle w:val="Didascalia"/>
        <w:framePr w:wrap="around"/>
        <w:rPr>
          <w:rFonts w:eastAsiaTheme="minorEastAsia" w:cs="Times New Roman"/>
          <w:bCs/>
          <w:color w:val="000000"/>
          <w:sz w:val="22"/>
          <w:szCs w:val="22"/>
          <w:lang w:eastAsia="ja-JP"/>
        </w:rPr>
      </w:pPr>
      <w:r w:rsidRPr="00E61488">
        <w:rPr>
          <w:rFonts w:cs="Times New Roman"/>
          <w:sz w:val="20"/>
          <w:szCs w:val="20"/>
        </w:rPr>
        <w:lastRenderedPageBreak/>
        <w:t xml:space="preserve">Table </w:t>
      </w:r>
      <w:r w:rsidR="00E61488">
        <w:rPr>
          <w:rFonts w:cs="Times New Roman"/>
          <w:sz w:val="20"/>
          <w:szCs w:val="20"/>
        </w:rPr>
        <w:t>8</w:t>
      </w:r>
      <w:r w:rsidR="00A43E18" w:rsidRPr="00E61488">
        <w:rPr>
          <w:rFonts w:cs="Times New Roman"/>
          <w:sz w:val="20"/>
          <w:szCs w:val="20"/>
        </w:rPr>
        <w:fldChar w:fldCharType="begin"/>
      </w:r>
      <w:r w:rsidRPr="00E61488">
        <w:rPr>
          <w:rFonts w:cs="Times New Roman"/>
          <w:sz w:val="20"/>
          <w:szCs w:val="20"/>
        </w:rPr>
        <w:instrText xml:space="preserve"> SEQ Table \* ARABIC </w:instrText>
      </w:r>
      <w:r w:rsidR="00A43E18" w:rsidRPr="00E61488">
        <w:rPr>
          <w:rFonts w:cs="Times New Roman"/>
          <w:sz w:val="20"/>
          <w:szCs w:val="20"/>
        </w:rPr>
        <w:fldChar w:fldCharType="end"/>
      </w:r>
      <w:r w:rsidRPr="00E61488">
        <w:rPr>
          <w:rFonts w:eastAsiaTheme="minorEastAsia" w:cs="Times New Roman"/>
          <w:sz w:val="20"/>
          <w:szCs w:val="20"/>
          <w:lang w:eastAsia="ja-JP"/>
        </w:rPr>
        <w:t>: The changes in Israeli and Palestinian water consumption over 40 years</w:t>
      </w:r>
      <w:r w:rsidRPr="00105666">
        <w:rPr>
          <w:rStyle w:val="Rimandonotaapidipagina"/>
          <w:rFonts w:eastAsiaTheme="minorEastAsia" w:cs="Times New Roman"/>
          <w:color w:val="000000"/>
          <w:sz w:val="22"/>
          <w:szCs w:val="22"/>
          <w:lang w:eastAsia="ja-JP"/>
        </w:rPr>
        <w:footnoteReference w:id="50"/>
      </w:r>
    </w:p>
    <w:tbl>
      <w:tblPr>
        <w:tblStyle w:val="Grigliatabella"/>
        <w:tblW w:w="5000" w:type="pct"/>
        <w:tblLook w:val="04A0"/>
      </w:tblPr>
      <w:tblGrid>
        <w:gridCol w:w="661"/>
        <w:gridCol w:w="1162"/>
        <w:gridCol w:w="1625"/>
        <w:gridCol w:w="1739"/>
        <w:gridCol w:w="1306"/>
        <w:gridCol w:w="1626"/>
        <w:gridCol w:w="1735"/>
      </w:tblGrid>
      <w:tr w:rsidR="000D73B5" w:rsidRPr="00E61488" w:rsidTr="0049631C">
        <w:tc>
          <w:tcPr>
            <w:tcW w:w="332" w:type="pct"/>
            <w:vMerge w:val="restart"/>
            <w:shd w:val="clear" w:color="auto" w:fill="1F497D" w:themeFill="text2"/>
          </w:tcPr>
          <w:p w:rsidR="000D73B5" w:rsidRPr="00E61488" w:rsidRDefault="000D73B5" w:rsidP="00E61488">
            <w:pPr>
              <w:spacing w:before="0" w:after="0"/>
              <w:jc w:val="center"/>
              <w:rPr>
                <w:rFonts w:ascii="Arial" w:hAnsi="Arial" w:cs="Arial"/>
                <w:color w:val="FFFFFF" w:themeColor="background1"/>
                <w:sz w:val="20"/>
              </w:rPr>
            </w:pPr>
            <w:r w:rsidRPr="00E61488">
              <w:rPr>
                <w:rFonts w:ascii="Arial" w:hAnsi="Arial" w:cs="Arial"/>
                <w:color w:val="FFFFFF" w:themeColor="background1"/>
                <w:sz w:val="20"/>
              </w:rPr>
              <w:t>Year</w:t>
            </w:r>
          </w:p>
        </w:tc>
        <w:tc>
          <w:tcPr>
            <w:tcW w:w="2334" w:type="pct"/>
            <w:gridSpan w:val="3"/>
            <w:shd w:val="clear" w:color="auto" w:fill="1F497D" w:themeFill="text2"/>
          </w:tcPr>
          <w:p w:rsidR="000D73B5" w:rsidRPr="00E61488" w:rsidRDefault="000D73B5" w:rsidP="00E61488">
            <w:pPr>
              <w:spacing w:before="0" w:after="0"/>
              <w:jc w:val="center"/>
              <w:rPr>
                <w:rFonts w:ascii="Arial" w:hAnsi="Arial" w:cs="Arial"/>
                <w:color w:val="FFFFFF" w:themeColor="background1"/>
                <w:sz w:val="20"/>
              </w:rPr>
            </w:pPr>
            <w:r w:rsidRPr="00E61488">
              <w:rPr>
                <w:rFonts w:ascii="Arial" w:hAnsi="Arial" w:cs="Arial"/>
                <w:color w:val="FFFFFF" w:themeColor="background1"/>
                <w:sz w:val="20"/>
              </w:rPr>
              <w:t>Israel</w:t>
            </w:r>
          </w:p>
        </w:tc>
        <w:tc>
          <w:tcPr>
            <w:tcW w:w="2334" w:type="pct"/>
            <w:gridSpan w:val="3"/>
            <w:shd w:val="clear" w:color="auto" w:fill="1F497D" w:themeFill="text2"/>
          </w:tcPr>
          <w:p w:rsidR="000D73B5" w:rsidRPr="00E61488" w:rsidRDefault="000D73B5" w:rsidP="00E61488">
            <w:pPr>
              <w:spacing w:before="0" w:after="0"/>
              <w:jc w:val="center"/>
              <w:rPr>
                <w:rFonts w:ascii="Arial" w:hAnsi="Arial" w:cs="Arial"/>
                <w:color w:val="FFFFFF" w:themeColor="background1"/>
                <w:sz w:val="20"/>
              </w:rPr>
            </w:pPr>
            <w:r w:rsidRPr="00E61488">
              <w:rPr>
                <w:rFonts w:ascii="Arial" w:hAnsi="Arial" w:cs="Arial"/>
                <w:color w:val="FFFFFF" w:themeColor="background1"/>
                <w:sz w:val="20"/>
              </w:rPr>
              <w:t>Palestinian in Judea &amp; Samaria</w:t>
            </w:r>
          </w:p>
        </w:tc>
      </w:tr>
      <w:tr w:rsidR="000D73B5" w:rsidRPr="00E61488" w:rsidTr="0049631C">
        <w:tc>
          <w:tcPr>
            <w:tcW w:w="332" w:type="pct"/>
            <w:vMerge/>
            <w:shd w:val="clear" w:color="auto" w:fill="1F497D" w:themeFill="text2"/>
          </w:tcPr>
          <w:p w:rsidR="000D73B5" w:rsidRPr="00E61488" w:rsidRDefault="000D73B5" w:rsidP="00E61488">
            <w:pPr>
              <w:spacing w:before="0" w:after="0"/>
              <w:jc w:val="center"/>
              <w:rPr>
                <w:rFonts w:ascii="Arial" w:hAnsi="Arial" w:cs="Arial"/>
                <w:color w:val="FFFFFF" w:themeColor="background1"/>
                <w:sz w:val="20"/>
              </w:rPr>
            </w:pPr>
          </w:p>
        </w:tc>
        <w:tc>
          <w:tcPr>
            <w:tcW w:w="584" w:type="pct"/>
            <w:shd w:val="clear" w:color="auto" w:fill="1F497D" w:themeFill="text2"/>
          </w:tcPr>
          <w:p w:rsidR="000D73B5" w:rsidRPr="00E61488" w:rsidRDefault="000D73B5" w:rsidP="00E61488">
            <w:pPr>
              <w:spacing w:before="0" w:after="0"/>
              <w:jc w:val="center"/>
              <w:rPr>
                <w:rFonts w:ascii="Arial" w:hAnsi="Arial" w:cs="Arial"/>
                <w:color w:val="FFFFFF" w:themeColor="background1"/>
                <w:sz w:val="20"/>
              </w:rPr>
            </w:pPr>
            <w:r w:rsidRPr="00E61488">
              <w:rPr>
                <w:rFonts w:ascii="Arial" w:hAnsi="Arial" w:cs="Arial"/>
                <w:color w:val="FFFFFF" w:themeColor="background1"/>
                <w:sz w:val="20"/>
              </w:rPr>
              <w:t>Population</w:t>
            </w:r>
          </w:p>
        </w:tc>
        <w:tc>
          <w:tcPr>
            <w:tcW w:w="847" w:type="pct"/>
            <w:shd w:val="clear" w:color="auto" w:fill="1F497D" w:themeFill="text2"/>
          </w:tcPr>
          <w:p w:rsidR="000D73B5" w:rsidRPr="00E61488" w:rsidRDefault="000D73B5" w:rsidP="00E61488">
            <w:pPr>
              <w:spacing w:before="0" w:after="0"/>
              <w:jc w:val="center"/>
              <w:rPr>
                <w:rFonts w:ascii="Arial" w:hAnsi="Arial" w:cs="Arial"/>
                <w:color w:val="FFFFFF" w:themeColor="background1"/>
                <w:sz w:val="20"/>
              </w:rPr>
            </w:pPr>
            <w:r w:rsidRPr="00E61488">
              <w:rPr>
                <w:rFonts w:ascii="Arial" w:hAnsi="Arial" w:cs="Arial"/>
                <w:color w:val="FFFFFF" w:themeColor="background1"/>
                <w:sz w:val="20"/>
              </w:rPr>
              <w:t>Natural water amount (MCM/Y)</w:t>
            </w:r>
          </w:p>
        </w:tc>
        <w:tc>
          <w:tcPr>
            <w:tcW w:w="904" w:type="pct"/>
            <w:shd w:val="clear" w:color="auto" w:fill="1F497D" w:themeFill="text2"/>
          </w:tcPr>
          <w:p w:rsidR="000D73B5" w:rsidRPr="00E61488" w:rsidRDefault="000D73B5" w:rsidP="00E61488">
            <w:pPr>
              <w:spacing w:before="0" w:after="0"/>
              <w:jc w:val="center"/>
              <w:rPr>
                <w:rFonts w:ascii="Arial" w:hAnsi="Arial" w:cs="Arial"/>
                <w:color w:val="FFFFFF" w:themeColor="background1"/>
                <w:sz w:val="20"/>
              </w:rPr>
            </w:pPr>
            <w:r w:rsidRPr="00E61488">
              <w:rPr>
                <w:rFonts w:ascii="Arial" w:hAnsi="Arial" w:cs="Arial"/>
                <w:color w:val="FFFFFF" w:themeColor="background1"/>
                <w:sz w:val="20"/>
              </w:rPr>
              <w:t>Per capita consumption (m3/y)</w:t>
            </w:r>
          </w:p>
        </w:tc>
        <w:tc>
          <w:tcPr>
            <w:tcW w:w="584" w:type="pct"/>
            <w:shd w:val="clear" w:color="auto" w:fill="1F497D" w:themeFill="text2"/>
          </w:tcPr>
          <w:p w:rsidR="000D73B5" w:rsidRPr="00E61488" w:rsidRDefault="000D73B5" w:rsidP="00E61488">
            <w:pPr>
              <w:spacing w:before="0" w:after="0"/>
              <w:jc w:val="center"/>
              <w:rPr>
                <w:rFonts w:ascii="Arial" w:hAnsi="Arial" w:cs="Arial"/>
                <w:color w:val="FFFFFF" w:themeColor="background1"/>
                <w:sz w:val="20"/>
              </w:rPr>
            </w:pPr>
            <w:r w:rsidRPr="00E61488">
              <w:rPr>
                <w:rFonts w:ascii="Arial" w:hAnsi="Arial" w:cs="Arial"/>
                <w:color w:val="FFFFFF" w:themeColor="background1"/>
                <w:sz w:val="20"/>
              </w:rPr>
              <w:t>Population</w:t>
            </w:r>
            <w:r w:rsidRPr="00E61488">
              <w:rPr>
                <w:rStyle w:val="Rimandonotaapidipagina"/>
                <w:rFonts w:ascii="Arial" w:hAnsi="Arial" w:cs="Arial"/>
                <w:color w:val="FFFFFF" w:themeColor="background1"/>
                <w:szCs w:val="20"/>
              </w:rPr>
              <w:footnoteReference w:id="51"/>
            </w:r>
          </w:p>
        </w:tc>
        <w:tc>
          <w:tcPr>
            <w:tcW w:w="847" w:type="pct"/>
            <w:shd w:val="clear" w:color="auto" w:fill="1F497D" w:themeFill="text2"/>
          </w:tcPr>
          <w:p w:rsidR="000D73B5" w:rsidRPr="00E61488" w:rsidRDefault="000D73B5" w:rsidP="00E61488">
            <w:pPr>
              <w:spacing w:before="0" w:after="0"/>
              <w:jc w:val="center"/>
              <w:rPr>
                <w:rFonts w:ascii="Arial" w:hAnsi="Arial" w:cs="Arial"/>
                <w:color w:val="FFFFFF" w:themeColor="background1"/>
                <w:sz w:val="20"/>
              </w:rPr>
            </w:pPr>
            <w:r w:rsidRPr="00E61488">
              <w:rPr>
                <w:rFonts w:ascii="Arial" w:hAnsi="Arial" w:cs="Arial"/>
                <w:color w:val="FFFFFF" w:themeColor="background1"/>
                <w:sz w:val="20"/>
              </w:rPr>
              <w:t>Natural water amount (MCM/Y)</w:t>
            </w:r>
          </w:p>
        </w:tc>
        <w:tc>
          <w:tcPr>
            <w:tcW w:w="904" w:type="pct"/>
            <w:shd w:val="clear" w:color="auto" w:fill="1F497D" w:themeFill="text2"/>
          </w:tcPr>
          <w:p w:rsidR="000D73B5" w:rsidRPr="00E61488" w:rsidRDefault="000D73B5" w:rsidP="00E61488">
            <w:pPr>
              <w:spacing w:before="0" w:after="0"/>
              <w:jc w:val="center"/>
              <w:rPr>
                <w:rFonts w:ascii="Arial" w:hAnsi="Arial" w:cs="Arial"/>
                <w:color w:val="FFFFFF" w:themeColor="background1"/>
                <w:sz w:val="20"/>
              </w:rPr>
            </w:pPr>
            <w:r w:rsidRPr="00E61488">
              <w:rPr>
                <w:rFonts w:ascii="Arial" w:hAnsi="Arial" w:cs="Arial"/>
                <w:color w:val="FFFFFF" w:themeColor="background1"/>
                <w:sz w:val="20"/>
              </w:rPr>
              <w:t>Per capita consumption (m3/y)</w:t>
            </w:r>
          </w:p>
        </w:tc>
      </w:tr>
      <w:tr w:rsidR="000D73B5" w:rsidRPr="00E61488" w:rsidTr="00A85671">
        <w:tc>
          <w:tcPr>
            <w:tcW w:w="332" w:type="pct"/>
          </w:tcPr>
          <w:p w:rsidR="000D73B5" w:rsidRPr="00E61488" w:rsidRDefault="000D73B5" w:rsidP="00E61488">
            <w:pPr>
              <w:spacing w:before="0" w:after="0"/>
              <w:jc w:val="center"/>
              <w:rPr>
                <w:rFonts w:ascii="Arial" w:hAnsi="Arial" w:cs="Arial"/>
                <w:sz w:val="20"/>
              </w:rPr>
            </w:pPr>
            <w:r w:rsidRPr="00E61488">
              <w:rPr>
                <w:rFonts w:ascii="Arial" w:hAnsi="Arial" w:cs="Arial"/>
                <w:sz w:val="20"/>
              </w:rPr>
              <w:t>1967</w:t>
            </w:r>
          </w:p>
        </w:tc>
        <w:tc>
          <w:tcPr>
            <w:tcW w:w="584" w:type="pct"/>
          </w:tcPr>
          <w:p w:rsidR="000D73B5" w:rsidRPr="00E61488" w:rsidRDefault="000D73B5" w:rsidP="00E61488">
            <w:pPr>
              <w:spacing w:before="0" w:after="0"/>
              <w:jc w:val="center"/>
              <w:rPr>
                <w:rFonts w:ascii="Arial" w:hAnsi="Arial" w:cs="Arial"/>
                <w:sz w:val="20"/>
              </w:rPr>
            </w:pPr>
            <w:r w:rsidRPr="00E61488">
              <w:rPr>
                <w:rFonts w:ascii="Arial" w:hAnsi="Arial" w:cs="Arial"/>
                <w:sz w:val="20"/>
              </w:rPr>
              <w:t>2,776,000</w:t>
            </w:r>
          </w:p>
        </w:tc>
        <w:tc>
          <w:tcPr>
            <w:tcW w:w="847" w:type="pct"/>
          </w:tcPr>
          <w:p w:rsidR="000D73B5" w:rsidRPr="00E61488" w:rsidRDefault="000D73B5" w:rsidP="00E61488">
            <w:pPr>
              <w:spacing w:before="0" w:after="0"/>
              <w:jc w:val="center"/>
              <w:rPr>
                <w:rFonts w:ascii="Arial" w:hAnsi="Arial" w:cs="Arial"/>
                <w:sz w:val="20"/>
              </w:rPr>
            </w:pPr>
            <w:r w:rsidRPr="00E61488">
              <w:rPr>
                <w:rFonts w:ascii="Arial" w:hAnsi="Arial" w:cs="Arial"/>
                <w:sz w:val="20"/>
              </w:rPr>
              <w:t>1,411</w:t>
            </w:r>
          </w:p>
        </w:tc>
        <w:tc>
          <w:tcPr>
            <w:tcW w:w="904" w:type="pct"/>
          </w:tcPr>
          <w:p w:rsidR="000D73B5" w:rsidRPr="00E61488" w:rsidRDefault="000D73B5" w:rsidP="00E61488">
            <w:pPr>
              <w:spacing w:before="0" w:after="0"/>
              <w:jc w:val="center"/>
              <w:rPr>
                <w:rFonts w:ascii="Arial" w:hAnsi="Arial" w:cs="Arial"/>
                <w:sz w:val="20"/>
              </w:rPr>
            </w:pPr>
            <w:r w:rsidRPr="00E61488">
              <w:rPr>
                <w:rFonts w:ascii="Arial" w:hAnsi="Arial" w:cs="Arial"/>
                <w:sz w:val="20"/>
              </w:rPr>
              <w:t>508</w:t>
            </w:r>
          </w:p>
        </w:tc>
        <w:tc>
          <w:tcPr>
            <w:tcW w:w="584" w:type="pct"/>
          </w:tcPr>
          <w:p w:rsidR="000D73B5" w:rsidRPr="00E61488" w:rsidRDefault="000D73B5" w:rsidP="00E61488">
            <w:pPr>
              <w:spacing w:before="0" w:after="0"/>
              <w:jc w:val="center"/>
              <w:rPr>
                <w:rFonts w:ascii="Arial" w:hAnsi="Arial" w:cs="Arial"/>
                <w:sz w:val="20"/>
              </w:rPr>
            </w:pPr>
            <w:r w:rsidRPr="00E61488">
              <w:rPr>
                <w:rFonts w:ascii="Arial" w:hAnsi="Arial" w:cs="Arial"/>
                <w:sz w:val="20"/>
              </w:rPr>
              <w:t>700,000</w:t>
            </w:r>
          </w:p>
        </w:tc>
        <w:tc>
          <w:tcPr>
            <w:tcW w:w="847" w:type="pct"/>
          </w:tcPr>
          <w:p w:rsidR="000D73B5" w:rsidRPr="00E61488" w:rsidRDefault="000D73B5" w:rsidP="00E61488">
            <w:pPr>
              <w:spacing w:before="0" w:after="0"/>
              <w:jc w:val="center"/>
              <w:rPr>
                <w:rFonts w:ascii="Arial" w:hAnsi="Arial" w:cs="Arial"/>
                <w:sz w:val="20"/>
              </w:rPr>
            </w:pPr>
            <w:r w:rsidRPr="00E61488">
              <w:rPr>
                <w:rFonts w:ascii="Arial" w:hAnsi="Arial" w:cs="Arial"/>
                <w:sz w:val="20"/>
              </w:rPr>
              <w:t>65</w:t>
            </w:r>
          </w:p>
        </w:tc>
        <w:tc>
          <w:tcPr>
            <w:tcW w:w="904" w:type="pct"/>
          </w:tcPr>
          <w:p w:rsidR="000D73B5" w:rsidRPr="00E61488" w:rsidRDefault="000D73B5" w:rsidP="00E61488">
            <w:pPr>
              <w:spacing w:before="0" w:after="0"/>
              <w:jc w:val="center"/>
              <w:rPr>
                <w:rFonts w:ascii="Arial" w:hAnsi="Arial" w:cs="Arial"/>
                <w:sz w:val="20"/>
              </w:rPr>
            </w:pPr>
            <w:r w:rsidRPr="00E61488">
              <w:rPr>
                <w:rFonts w:ascii="Arial" w:hAnsi="Arial" w:cs="Arial"/>
                <w:sz w:val="20"/>
              </w:rPr>
              <w:t>93</w:t>
            </w:r>
          </w:p>
        </w:tc>
      </w:tr>
      <w:tr w:rsidR="000D73B5" w:rsidRPr="00E61488" w:rsidTr="00A85671">
        <w:tc>
          <w:tcPr>
            <w:tcW w:w="332" w:type="pct"/>
          </w:tcPr>
          <w:p w:rsidR="000D73B5" w:rsidRPr="00E61488" w:rsidRDefault="000D73B5" w:rsidP="00E61488">
            <w:pPr>
              <w:spacing w:before="0" w:after="0"/>
              <w:jc w:val="center"/>
              <w:rPr>
                <w:rFonts w:ascii="Arial" w:hAnsi="Arial" w:cs="Arial"/>
                <w:sz w:val="20"/>
              </w:rPr>
            </w:pPr>
            <w:r w:rsidRPr="00E61488">
              <w:rPr>
                <w:rFonts w:ascii="Arial" w:hAnsi="Arial" w:cs="Arial"/>
                <w:sz w:val="20"/>
              </w:rPr>
              <w:t>2006</w:t>
            </w:r>
          </w:p>
        </w:tc>
        <w:tc>
          <w:tcPr>
            <w:tcW w:w="584" w:type="pct"/>
          </w:tcPr>
          <w:p w:rsidR="000D73B5" w:rsidRPr="00E61488" w:rsidRDefault="000D73B5" w:rsidP="00E61488">
            <w:pPr>
              <w:spacing w:before="0" w:after="0"/>
              <w:jc w:val="center"/>
              <w:rPr>
                <w:rFonts w:ascii="Arial" w:hAnsi="Arial" w:cs="Arial"/>
                <w:sz w:val="20"/>
              </w:rPr>
            </w:pPr>
            <w:r w:rsidRPr="00E61488">
              <w:rPr>
                <w:rFonts w:ascii="Arial" w:hAnsi="Arial" w:cs="Arial"/>
                <w:sz w:val="20"/>
              </w:rPr>
              <w:t>7,117,000</w:t>
            </w:r>
          </w:p>
        </w:tc>
        <w:tc>
          <w:tcPr>
            <w:tcW w:w="847" w:type="pct"/>
          </w:tcPr>
          <w:p w:rsidR="000D73B5" w:rsidRPr="00E61488" w:rsidRDefault="000D73B5" w:rsidP="00E61488">
            <w:pPr>
              <w:spacing w:before="0" w:after="0"/>
              <w:jc w:val="center"/>
              <w:rPr>
                <w:rFonts w:ascii="Arial" w:hAnsi="Arial" w:cs="Arial"/>
                <w:sz w:val="20"/>
              </w:rPr>
            </w:pPr>
            <w:r w:rsidRPr="00E61488">
              <w:rPr>
                <w:rFonts w:ascii="Arial" w:hAnsi="Arial" w:cs="Arial"/>
                <w:sz w:val="20"/>
              </w:rPr>
              <w:t>1,211</w:t>
            </w:r>
          </w:p>
        </w:tc>
        <w:tc>
          <w:tcPr>
            <w:tcW w:w="904" w:type="pct"/>
          </w:tcPr>
          <w:p w:rsidR="000D73B5" w:rsidRPr="00E61488" w:rsidRDefault="000D73B5" w:rsidP="00E61488">
            <w:pPr>
              <w:spacing w:before="0" w:after="0"/>
              <w:jc w:val="center"/>
              <w:rPr>
                <w:rFonts w:ascii="Arial" w:hAnsi="Arial" w:cs="Arial"/>
                <w:sz w:val="20"/>
              </w:rPr>
            </w:pPr>
            <w:r w:rsidRPr="00E61488">
              <w:rPr>
                <w:rFonts w:ascii="Arial" w:hAnsi="Arial" w:cs="Arial"/>
                <w:sz w:val="20"/>
              </w:rPr>
              <w:t>170</w:t>
            </w:r>
          </w:p>
        </w:tc>
        <w:tc>
          <w:tcPr>
            <w:tcW w:w="584" w:type="pct"/>
          </w:tcPr>
          <w:p w:rsidR="000D73B5" w:rsidRPr="00E61488" w:rsidRDefault="000D73B5" w:rsidP="00E61488">
            <w:pPr>
              <w:spacing w:before="0" w:after="0"/>
              <w:jc w:val="center"/>
              <w:rPr>
                <w:rFonts w:ascii="Arial" w:hAnsi="Arial" w:cs="Arial"/>
                <w:sz w:val="20"/>
              </w:rPr>
            </w:pPr>
            <w:r w:rsidRPr="00E61488">
              <w:rPr>
                <w:rFonts w:ascii="Arial" w:hAnsi="Arial" w:cs="Arial"/>
                <w:sz w:val="20"/>
              </w:rPr>
              <w:t>1,400,000</w:t>
            </w:r>
          </w:p>
        </w:tc>
        <w:tc>
          <w:tcPr>
            <w:tcW w:w="847" w:type="pct"/>
          </w:tcPr>
          <w:p w:rsidR="000D73B5" w:rsidRPr="00E61488" w:rsidRDefault="000D73B5" w:rsidP="00E61488">
            <w:pPr>
              <w:spacing w:before="0" w:after="0"/>
              <w:jc w:val="center"/>
              <w:rPr>
                <w:rFonts w:ascii="Arial" w:hAnsi="Arial" w:cs="Arial"/>
                <w:sz w:val="20"/>
              </w:rPr>
            </w:pPr>
            <w:r w:rsidRPr="00E61488">
              <w:rPr>
                <w:rFonts w:ascii="Arial" w:hAnsi="Arial" w:cs="Arial"/>
                <w:sz w:val="20"/>
              </w:rPr>
              <w:t>180</w:t>
            </w:r>
          </w:p>
        </w:tc>
        <w:tc>
          <w:tcPr>
            <w:tcW w:w="904" w:type="pct"/>
          </w:tcPr>
          <w:p w:rsidR="000D73B5" w:rsidRPr="00E61488" w:rsidRDefault="000D73B5" w:rsidP="00E61488">
            <w:pPr>
              <w:spacing w:before="0" w:after="0"/>
              <w:jc w:val="center"/>
              <w:rPr>
                <w:rFonts w:ascii="Arial" w:hAnsi="Arial" w:cs="Arial"/>
                <w:sz w:val="20"/>
              </w:rPr>
            </w:pPr>
            <w:r w:rsidRPr="00E61488">
              <w:rPr>
                <w:rFonts w:ascii="Arial" w:hAnsi="Arial" w:cs="Arial"/>
                <w:sz w:val="20"/>
              </w:rPr>
              <w:t>129</w:t>
            </w:r>
          </w:p>
        </w:tc>
      </w:tr>
    </w:tbl>
    <w:p w:rsidR="000D73B5" w:rsidRDefault="000D73B5" w:rsidP="000D73B5"/>
    <w:p w:rsidR="00E61488" w:rsidRDefault="00E61488" w:rsidP="000D73B5"/>
    <w:tbl>
      <w:tblPr>
        <w:tblStyle w:val="Grigliatabella"/>
        <w:tblpPr w:leftFromText="141" w:rightFromText="141" w:vertAnchor="text" w:tblpY="1"/>
        <w:tblOverlap w:val="never"/>
        <w:tblW w:w="0" w:type="auto"/>
        <w:tblLook w:val="04A0"/>
      </w:tblPr>
      <w:tblGrid>
        <w:gridCol w:w="5358"/>
      </w:tblGrid>
      <w:tr w:rsidR="00E61488" w:rsidTr="00E61488">
        <w:tc>
          <w:tcPr>
            <w:tcW w:w="5353" w:type="dxa"/>
          </w:tcPr>
          <w:p w:rsidR="00E61488" w:rsidRDefault="00E61488" w:rsidP="00E61488">
            <w:pPr>
              <w:pStyle w:val="Didascalia"/>
              <w:framePr w:hSpace="0" w:wrap="auto" w:vAnchor="margin" w:hAnchor="text" w:xAlign="left" w:yAlign="inline"/>
              <w:rPr>
                <w:rFonts w:cs="Times New Roman"/>
                <w:sz w:val="22"/>
                <w:szCs w:val="22"/>
              </w:rPr>
            </w:pPr>
            <w:r>
              <w:rPr>
                <w:rFonts w:cs="Times New Roman"/>
                <w:noProof/>
                <w:sz w:val="22"/>
                <w:szCs w:val="22"/>
                <w:lang w:val="it-IT" w:eastAsia="it-IT"/>
              </w:rPr>
              <w:drawing>
                <wp:anchor distT="0" distB="0" distL="114300" distR="114300" simplePos="0" relativeHeight="251743232" behindDoc="0" locked="0" layoutInCell="1" allowOverlap="1">
                  <wp:simplePos x="0" y="0"/>
                  <wp:positionH relativeFrom="column">
                    <wp:posOffset>-635</wp:posOffset>
                  </wp:positionH>
                  <wp:positionV relativeFrom="paragraph">
                    <wp:posOffset>445770</wp:posOffset>
                  </wp:positionV>
                  <wp:extent cx="3246120" cy="2541270"/>
                  <wp:effectExtent l="19050" t="0" r="0" b="0"/>
                  <wp:wrapTight wrapText="bothSides">
                    <wp:wrapPolygon edited="0">
                      <wp:start x="-127" y="0"/>
                      <wp:lineTo x="-127" y="21373"/>
                      <wp:lineTo x="21549" y="21373"/>
                      <wp:lineTo x="21549" y="0"/>
                      <wp:lineTo x="-127" y="0"/>
                    </wp:wrapPolygon>
                  </wp:wrapTight>
                  <wp:docPr id="70"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0"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46120" cy="2541270"/>
                          </a:xfrm>
                          <a:prstGeom prst="rect">
                            <a:avLst/>
                          </a:prstGeom>
                          <a:noFill/>
                          <a:ln>
                            <a:noFill/>
                          </a:ln>
                          <a:extLst>
                            <a:ext uri="{FAA26D3D-D897-4be2-8F04-BA451C77F1D7}">
                              <ma14:placeholderFlag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ma14="http://schemas.microsoft.com/office/mac/drawingml/2011/main"/>
                            </a:ext>
                          </a:extLst>
                        </pic:spPr>
                      </pic:pic>
                    </a:graphicData>
                  </a:graphic>
                </wp:anchor>
              </w:drawing>
            </w:r>
            <w:r w:rsidRPr="00105666">
              <w:rPr>
                <w:rFonts w:cs="Times New Roman"/>
                <w:sz w:val="22"/>
                <w:szCs w:val="22"/>
              </w:rPr>
              <w:t xml:space="preserve">Figure </w:t>
            </w:r>
            <w:r>
              <w:rPr>
                <w:rFonts w:cs="Times New Roman"/>
                <w:sz w:val="22"/>
                <w:szCs w:val="22"/>
              </w:rPr>
              <w:t>26</w:t>
            </w:r>
            <w:r w:rsidRPr="00105666">
              <w:rPr>
                <w:rFonts w:cs="Times New Roman"/>
                <w:sz w:val="22"/>
                <w:szCs w:val="22"/>
              </w:rPr>
              <w:t> : Amount of water supplied to the PA since the 1995 Interim Agreement</w:t>
            </w:r>
          </w:p>
          <w:p w:rsidR="00E61488" w:rsidRPr="00E61488" w:rsidRDefault="00E61488" w:rsidP="00E61488">
            <w:pPr>
              <w:rPr>
                <w:lang w:eastAsia="pl-PL"/>
              </w:rPr>
            </w:pPr>
            <w:r w:rsidRPr="009824E8">
              <w:rPr>
                <w:rFonts w:ascii="Times New Roman" w:hAnsi="Times New Roman"/>
                <w:i/>
                <w:sz w:val="18"/>
                <w:szCs w:val="18"/>
                <w:lang w:val="en-GB"/>
              </w:rPr>
              <w:t xml:space="preserve">Source: </w:t>
            </w:r>
            <w:r w:rsidRPr="009824E8">
              <w:rPr>
                <w:rFonts w:ascii="Times New Roman" w:hAnsi="Times New Roman"/>
                <w:i/>
                <w:sz w:val="18"/>
                <w:szCs w:val="18"/>
              </w:rPr>
              <w:t xml:space="preserve">The Begin-Sadat Center for Strategic Studies  - BAR-ILAN University-  </w:t>
            </w:r>
            <w:r w:rsidRPr="009824E8">
              <w:rPr>
                <w:rFonts w:ascii="Times New Roman" w:hAnsi="Times New Roman"/>
                <w:i/>
                <w:iCs/>
                <w:sz w:val="18"/>
                <w:szCs w:val="18"/>
              </w:rPr>
              <w:t xml:space="preserve">Mideast Security and Policy Studies No. 94 </w:t>
            </w:r>
            <w:r w:rsidRPr="009824E8">
              <w:rPr>
                <w:rFonts w:ascii="Times New Roman" w:hAnsi="Times New Roman"/>
                <w:i/>
                <w:sz w:val="18"/>
                <w:szCs w:val="18"/>
              </w:rPr>
              <w:t xml:space="preserve">- The Israeli-Palestinian Water Conflict: An Israeli Perspective - </w:t>
            </w:r>
            <w:proofErr w:type="spellStart"/>
            <w:r w:rsidRPr="009824E8">
              <w:rPr>
                <w:rFonts w:ascii="Times New Roman" w:hAnsi="Times New Roman"/>
                <w:i/>
                <w:sz w:val="18"/>
                <w:szCs w:val="18"/>
              </w:rPr>
              <w:t>Haim</w:t>
            </w:r>
            <w:proofErr w:type="spellEnd"/>
            <w:r w:rsidRPr="009824E8">
              <w:rPr>
                <w:rFonts w:ascii="Times New Roman" w:hAnsi="Times New Roman"/>
                <w:i/>
                <w:sz w:val="18"/>
                <w:szCs w:val="18"/>
              </w:rPr>
              <w:t xml:space="preserve"> </w:t>
            </w:r>
            <w:proofErr w:type="spellStart"/>
            <w:r w:rsidRPr="009824E8">
              <w:rPr>
                <w:rFonts w:ascii="Times New Roman" w:hAnsi="Times New Roman"/>
                <w:i/>
                <w:sz w:val="18"/>
                <w:szCs w:val="18"/>
              </w:rPr>
              <w:t>Gvirtzman</w:t>
            </w:r>
            <w:proofErr w:type="spellEnd"/>
            <w:r w:rsidRPr="009824E8">
              <w:rPr>
                <w:rFonts w:ascii="Times New Roman" w:hAnsi="Times New Roman"/>
                <w:i/>
                <w:sz w:val="18"/>
                <w:szCs w:val="18"/>
              </w:rPr>
              <w:t xml:space="preserve">  - January 2012 (p.8)</w:t>
            </w:r>
          </w:p>
        </w:tc>
      </w:tr>
    </w:tbl>
    <w:p w:rsidR="000D73B5" w:rsidRPr="00E61488" w:rsidRDefault="000D73B5" w:rsidP="00E61488">
      <w:pPr>
        <w:spacing w:before="0" w:after="0"/>
        <w:rPr>
          <w:rFonts w:ascii="Arial" w:hAnsi="Arial" w:cs="Arial"/>
          <w:sz w:val="22"/>
          <w:szCs w:val="22"/>
        </w:rPr>
      </w:pPr>
      <w:r w:rsidRPr="00E61488">
        <w:rPr>
          <w:rFonts w:ascii="Arial" w:hAnsi="Arial" w:cs="Arial"/>
          <w:sz w:val="22"/>
          <w:szCs w:val="22"/>
        </w:rPr>
        <w:t xml:space="preserve">In 1967, Israel's total water consumption was 508 m3 per capita per year (m3/c/y), while that of the Palestinians was 93 m3/c/y. By 2006 the gap had significantly narrowed to 170 m3/c/y for Israelis and 129 m3/c/y for Palestinians. Since 2006, these trends have continued due to the drilling of 15 new wells for Palestinian consumption that produce 15 MCM/Y. The current per capita consumption is 150 m3/c/y for Israelis versus 140 m3/c/y for Palestinians. </w:t>
      </w:r>
      <w:r w:rsidRPr="00E61488">
        <w:rPr>
          <w:rFonts w:ascii="Arial" w:eastAsiaTheme="minorEastAsia" w:hAnsi="Arial" w:cs="Arial"/>
          <w:color w:val="000000"/>
          <w:sz w:val="22"/>
          <w:szCs w:val="22"/>
          <w:lang w:eastAsia="ja-JP"/>
        </w:rPr>
        <w:t>The significant increase in Palestinian per capita water consumption over the last few decades is a unique phenomenon. While general global trends indicate a decrease in per capita consumption over time due to population growth and deterioration of water resources, the Palestinians exhibit the opposite trend due to their increased access to water since 1967.</w:t>
      </w:r>
    </w:p>
    <w:p w:rsidR="000D73B5" w:rsidRPr="00E61488" w:rsidRDefault="000D73B5" w:rsidP="00E61488">
      <w:pPr>
        <w:spacing w:before="0" w:after="0"/>
        <w:rPr>
          <w:rFonts w:ascii="Arial" w:eastAsiaTheme="minorEastAsia" w:hAnsi="Arial" w:cs="Arial"/>
          <w:b/>
          <w:bCs/>
          <w:color w:val="000000"/>
          <w:sz w:val="22"/>
          <w:szCs w:val="22"/>
          <w:lang w:eastAsia="ja-JP"/>
        </w:rPr>
      </w:pPr>
    </w:p>
    <w:p w:rsidR="000D73B5" w:rsidRPr="00E61488" w:rsidRDefault="000D73B5" w:rsidP="00E61488">
      <w:pPr>
        <w:widowControl w:val="0"/>
        <w:autoSpaceDE w:val="0"/>
        <w:autoSpaceDN w:val="0"/>
        <w:adjustRightInd w:val="0"/>
        <w:spacing w:before="0" w:after="0"/>
        <w:rPr>
          <w:rFonts w:ascii="Arial" w:eastAsiaTheme="minorEastAsia" w:hAnsi="Arial" w:cs="Arial"/>
          <w:sz w:val="22"/>
          <w:szCs w:val="22"/>
          <w:lang w:eastAsia="ja-JP"/>
        </w:rPr>
      </w:pPr>
      <w:r w:rsidRPr="00E61488">
        <w:rPr>
          <w:rFonts w:ascii="Arial" w:eastAsiaTheme="minorEastAsia" w:hAnsi="Arial" w:cs="Arial"/>
          <w:color w:val="000000"/>
          <w:sz w:val="22"/>
          <w:szCs w:val="22"/>
          <w:lang w:eastAsia="ja-JP"/>
        </w:rPr>
        <w:t>In contrast to the extensive improvement of water supply installations, mainly due to Israel's assistance, no significant progress has been made by Palestinian wastewater treatment plants.</w:t>
      </w:r>
      <w:r w:rsidRPr="00E61488">
        <w:rPr>
          <w:rFonts w:ascii="Arial" w:eastAsiaTheme="minorEastAsia" w:hAnsi="Arial" w:cs="Arial"/>
          <w:sz w:val="22"/>
          <w:szCs w:val="22"/>
          <w:lang w:eastAsia="ja-JP"/>
        </w:rPr>
        <w:t xml:space="preserve"> The quantity of wastewater generated by the Palestinians at present is estimated at about 52 MCM/Y. Of this, only about 4 MCM/Y is treated in Palestinian plants, roughly 14 MCM/Y is treated in Israeli plants, and the rest (about 34 MCM/Y) pollutes the groundwater and the environment. Apart from the wastewater treatment plant at El-</w:t>
      </w:r>
      <w:proofErr w:type="spellStart"/>
      <w:r w:rsidRPr="00E61488">
        <w:rPr>
          <w:rFonts w:ascii="Arial" w:eastAsiaTheme="minorEastAsia" w:hAnsi="Arial" w:cs="Arial"/>
          <w:sz w:val="22"/>
          <w:szCs w:val="22"/>
          <w:lang w:eastAsia="ja-JP"/>
        </w:rPr>
        <w:t>Bireh</w:t>
      </w:r>
      <w:proofErr w:type="spellEnd"/>
      <w:r w:rsidRPr="00E61488">
        <w:rPr>
          <w:rFonts w:ascii="Arial" w:eastAsiaTheme="minorEastAsia" w:hAnsi="Arial" w:cs="Arial"/>
          <w:sz w:val="22"/>
          <w:szCs w:val="22"/>
          <w:lang w:eastAsia="ja-JP"/>
        </w:rPr>
        <w:t xml:space="preserve">, no new plants have been constructed in the past 15 years, and even this plant is not maintained properly – its effluent is not used for agriculture, as planned, but is discharged to </w:t>
      </w:r>
      <w:proofErr w:type="spellStart"/>
      <w:r w:rsidRPr="00E61488">
        <w:rPr>
          <w:rFonts w:ascii="Arial" w:eastAsiaTheme="minorEastAsia" w:hAnsi="Arial" w:cs="Arial"/>
          <w:sz w:val="22"/>
          <w:szCs w:val="22"/>
          <w:lang w:eastAsia="ja-JP"/>
        </w:rPr>
        <w:t>Wadi</w:t>
      </w:r>
      <w:proofErr w:type="spellEnd"/>
      <w:r w:rsidRPr="00E61488">
        <w:rPr>
          <w:rFonts w:ascii="Arial" w:eastAsiaTheme="minorEastAsia" w:hAnsi="Arial" w:cs="Arial"/>
          <w:sz w:val="22"/>
          <w:szCs w:val="22"/>
          <w:lang w:eastAsia="ja-JP"/>
        </w:rPr>
        <w:t xml:space="preserve"> </w:t>
      </w:r>
      <w:proofErr w:type="spellStart"/>
      <w:r w:rsidRPr="00E61488">
        <w:rPr>
          <w:rFonts w:ascii="Arial" w:eastAsiaTheme="minorEastAsia" w:hAnsi="Arial" w:cs="Arial"/>
          <w:sz w:val="22"/>
          <w:szCs w:val="22"/>
          <w:lang w:eastAsia="ja-JP"/>
        </w:rPr>
        <w:t>Qelt</w:t>
      </w:r>
      <w:proofErr w:type="spellEnd"/>
      <w:r w:rsidRPr="00E61488">
        <w:rPr>
          <w:rFonts w:ascii="Arial" w:eastAsiaTheme="minorEastAsia" w:hAnsi="Arial" w:cs="Arial"/>
          <w:sz w:val="22"/>
          <w:szCs w:val="22"/>
          <w:lang w:eastAsia="ja-JP"/>
        </w:rPr>
        <w:t>, thereby contaminating it. Furthermore, the Palestinians, possibly due to negligence, have allowed sewage to flow into Israeli territory, polluting the environment and the common aquifer. In stark contrast, 90% of the wastewater from Israeli settlements is already undergoing treatment.</w:t>
      </w:r>
    </w:p>
    <w:p w:rsidR="000D73B5" w:rsidRPr="00E61488" w:rsidRDefault="000D73B5" w:rsidP="00E61488">
      <w:pPr>
        <w:widowControl w:val="0"/>
        <w:autoSpaceDE w:val="0"/>
        <w:autoSpaceDN w:val="0"/>
        <w:adjustRightInd w:val="0"/>
        <w:spacing w:before="0" w:after="0"/>
        <w:rPr>
          <w:rFonts w:ascii="Arial" w:eastAsiaTheme="minorEastAsia" w:hAnsi="Arial" w:cs="Arial"/>
          <w:sz w:val="22"/>
          <w:szCs w:val="22"/>
          <w:lang w:eastAsia="ja-JP"/>
        </w:rPr>
      </w:pPr>
      <w:r w:rsidRPr="00E61488">
        <w:rPr>
          <w:rFonts w:ascii="Arial" w:eastAsiaTheme="minorEastAsia" w:hAnsi="Arial" w:cs="Arial"/>
          <w:sz w:val="22"/>
          <w:szCs w:val="22"/>
          <w:lang w:eastAsia="ja-JP"/>
        </w:rPr>
        <w:t xml:space="preserve"> </w:t>
      </w:r>
    </w:p>
    <w:p w:rsidR="000D73B5" w:rsidRPr="00E61488" w:rsidRDefault="000D73B5" w:rsidP="00E61488">
      <w:pPr>
        <w:widowControl w:val="0"/>
        <w:autoSpaceDE w:val="0"/>
        <w:autoSpaceDN w:val="0"/>
        <w:adjustRightInd w:val="0"/>
        <w:spacing w:before="0" w:after="0"/>
        <w:rPr>
          <w:rFonts w:ascii="Arial" w:eastAsiaTheme="minorEastAsia" w:hAnsi="Arial" w:cs="Arial"/>
          <w:color w:val="000000"/>
          <w:sz w:val="22"/>
          <w:szCs w:val="22"/>
          <w:lang w:eastAsia="ja-JP"/>
        </w:rPr>
      </w:pPr>
      <w:r w:rsidRPr="00E61488">
        <w:rPr>
          <w:rFonts w:ascii="Arial" w:eastAsiaTheme="minorEastAsia" w:hAnsi="Arial" w:cs="Arial"/>
          <w:color w:val="000000"/>
          <w:sz w:val="22"/>
          <w:szCs w:val="22"/>
          <w:lang w:eastAsia="ja-JP"/>
        </w:rPr>
        <w:t>Since it is difficult to quantify the various criteria outlined in international legal norms, signed agreements between countries are</w:t>
      </w:r>
      <w:r w:rsidRPr="00E61488">
        <w:rPr>
          <w:rFonts w:ascii="Arial" w:eastAsiaTheme="minorEastAsia" w:hAnsi="Arial" w:cs="Arial"/>
          <w:sz w:val="22"/>
          <w:szCs w:val="22"/>
          <w:lang w:eastAsia="ja-JP"/>
        </w:rPr>
        <w:t xml:space="preserve"> binding on the parties and cannot be overruled by customary legal principles. Consequently, the 1995 water agreement signed by Israel and the PA leaves no room for further demands by the Palestinians. This agreement quantified the Palestinians' "future needs" as approximately 70-80 MCM/Y in addition to the 118 MCM/Y already available to them. Israel has met its obligations regarding water supply, not only for the interim period, but also for any future final status agreement. The Palestinians' current demands are not only unjustified according to international legal norms but also fall short according to several international legal </w:t>
      </w:r>
      <w:r w:rsidRPr="00E61488">
        <w:rPr>
          <w:rFonts w:ascii="Arial" w:eastAsiaTheme="minorEastAsia" w:hAnsi="Arial" w:cs="Arial"/>
          <w:sz w:val="22"/>
          <w:szCs w:val="22"/>
          <w:lang w:eastAsia="ja-JP"/>
        </w:rPr>
        <w:lastRenderedPageBreak/>
        <w:t xml:space="preserve">parameters regarding disputed water resources, as discussed below. </w:t>
      </w:r>
    </w:p>
    <w:p w:rsidR="000D73B5" w:rsidRPr="00E61488" w:rsidRDefault="000D73B5" w:rsidP="00E61488">
      <w:pPr>
        <w:widowControl w:val="0"/>
        <w:autoSpaceDE w:val="0"/>
        <w:autoSpaceDN w:val="0"/>
        <w:adjustRightInd w:val="0"/>
        <w:spacing w:before="0" w:after="0"/>
        <w:rPr>
          <w:rFonts w:ascii="Arial" w:eastAsiaTheme="minorEastAsia" w:hAnsi="Arial" w:cs="Arial"/>
          <w:color w:val="000000"/>
          <w:sz w:val="22"/>
          <w:szCs w:val="22"/>
          <w:lang w:eastAsia="ja-JP"/>
        </w:rPr>
      </w:pPr>
      <w:r w:rsidRPr="00E61488">
        <w:rPr>
          <w:rFonts w:ascii="Arial" w:eastAsiaTheme="minorEastAsia" w:hAnsi="Arial" w:cs="Arial"/>
          <w:b/>
          <w:bCs/>
          <w:color w:val="000000"/>
          <w:sz w:val="22"/>
          <w:szCs w:val="22"/>
          <w:lang w:eastAsia="ja-JP"/>
        </w:rPr>
        <w:t xml:space="preserve"> </w:t>
      </w:r>
    </w:p>
    <w:p w:rsidR="000D73B5" w:rsidRPr="00E61488" w:rsidRDefault="000D73B5" w:rsidP="00E61488">
      <w:pPr>
        <w:spacing w:before="0" w:after="0"/>
        <w:rPr>
          <w:rFonts w:ascii="Arial" w:eastAsiaTheme="minorEastAsia" w:hAnsi="Arial" w:cs="Arial"/>
          <w:sz w:val="22"/>
          <w:szCs w:val="22"/>
          <w:lang w:eastAsia="ja-JP"/>
        </w:rPr>
      </w:pPr>
      <w:r w:rsidRPr="00E61488">
        <w:rPr>
          <w:rFonts w:ascii="Arial" w:hAnsi="Arial" w:cs="Arial"/>
          <w:sz w:val="22"/>
          <w:szCs w:val="22"/>
        </w:rPr>
        <w:t xml:space="preserve">As has been the case in Israel, increasing the Palestinian water supply can be achieved by improving water use efficiency and wastewater development. The immense water savings that would accrue as a result of plugging leaks in urban pipes is at least 10 MCM/Y, though obviously it is impossible to totally prevent leaks. In addition, the great savings that would result from improving irrigation techniques is at least 15 MCM/Y, which could contribute significantly to the water supply for agricultural lands. Furthermore, the collection and treatment of urban sewage would produce at least 30 MCM/Y to be used for irrigation. This enormous amount would replace freshwater that could be used instead for domestic purposes. Seawater desalination plants could supply any quantity of water that the Palestinians desire. </w:t>
      </w:r>
      <w:r w:rsidRPr="00E61488">
        <w:rPr>
          <w:rFonts w:ascii="Arial" w:eastAsiaTheme="minorEastAsia" w:hAnsi="Arial" w:cs="Arial"/>
          <w:color w:val="000000"/>
          <w:sz w:val="22"/>
          <w:szCs w:val="22"/>
          <w:lang w:eastAsia="ja-JP"/>
        </w:rPr>
        <w:t xml:space="preserve">Finally, the Palestinians should be working to pay individually for their water consumption, to prevent leaks in domestic pipelines, to implement conservative irrigation techniques, and to reuse sewage water for irrigation. The fact that they have taken none of these steps and have not adopted any sustainable development practices precludes their demands for additional water from Israel. </w:t>
      </w:r>
    </w:p>
    <w:p w:rsidR="000D73B5" w:rsidRPr="00E61488" w:rsidRDefault="000D73B5" w:rsidP="00E61488">
      <w:pPr>
        <w:spacing w:before="0" w:after="0"/>
        <w:rPr>
          <w:rFonts w:ascii="Arial" w:hAnsi="Arial" w:cs="Arial"/>
          <w:b/>
          <w:i/>
          <w:sz w:val="22"/>
          <w:szCs w:val="22"/>
        </w:rPr>
      </w:pPr>
    </w:p>
    <w:p w:rsidR="003C2A8A" w:rsidRDefault="00792401" w:rsidP="007B5760">
      <w:pPr>
        <w:pStyle w:val="Default"/>
        <w:spacing w:before="0"/>
        <w:contextualSpacing/>
        <w:rPr>
          <w:rFonts w:ascii="Times New Roman" w:hAnsi="Times New Roman"/>
          <w:b/>
          <w:caps/>
          <w:color w:val="FFFFFF" w:themeColor="background1"/>
          <w:spacing w:val="20"/>
          <w:kern w:val="28"/>
          <w:sz w:val="28"/>
          <w:szCs w:val="28"/>
          <w:lang w:eastAsia="pl-PL"/>
        </w:rPr>
      </w:pPr>
      <w:r w:rsidRPr="008F559D">
        <w:rPr>
          <w:rFonts w:ascii="Arial" w:hAnsi="Arial" w:cs="Arial"/>
          <w:sz w:val="22"/>
          <w:szCs w:val="22"/>
          <w:lang w:val="en-GB"/>
        </w:rPr>
        <w:t xml:space="preserve"> </w:t>
      </w:r>
    </w:p>
    <w:p w:rsidR="00C468AA" w:rsidRDefault="00C468AA" w:rsidP="00A574EB">
      <w:pPr>
        <w:jc w:val="center"/>
        <w:rPr>
          <w:rFonts w:ascii="Times New Roman" w:hAnsi="Times New Roman"/>
          <w:b/>
          <w:caps/>
          <w:color w:val="FFFFFF" w:themeColor="background1"/>
          <w:spacing w:val="20"/>
          <w:kern w:val="28"/>
          <w:sz w:val="28"/>
          <w:szCs w:val="28"/>
          <w:lang w:eastAsia="pl-PL"/>
        </w:rPr>
        <w:sectPr w:rsidR="00C468AA" w:rsidSect="00AB31B3">
          <w:footerReference w:type="default" r:id="rId141"/>
          <w:pgSz w:w="11906" w:h="16838"/>
          <w:pgMar w:top="1417" w:right="1134" w:bottom="1134" w:left="1134" w:header="708" w:footer="708" w:gutter="0"/>
          <w:cols w:space="708"/>
          <w:docGrid w:linePitch="360"/>
        </w:sectPr>
      </w:pPr>
    </w:p>
    <w:p w:rsidR="004F7933" w:rsidRPr="00C3617C" w:rsidRDefault="003B0CD7" w:rsidP="005E7468">
      <w:pPr>
        <w:pStyle w:val="Titolo1"/>
      </w:pPr>
      <w:bookmarkStart w:id="64" w:name="_Toc382998026"/>
      <w:r w:rsidRPr="00C3617C">
        <w:lastRenderedPageBreak/>
        <w:t>Annex</w:t>
      </w:r>
      <w:r w:rsidR="00582AC7" w:rsidRPr="00C3617C">
        <w:t xml:space="preserve"> </w:t>
      </w:r>
      <w:r w:rsidR="00043271">
        <w:t>7</w:t>
      </w:r>
      <w:r w:rsidRPr="00C3617C">
        <w:t xml:space="preserve">: Inventory </w:t>
      </w:r>
      <w:r w:rsidR="00AC49B1">
        <w:t>of devco and echo interventions</w:t>
      </w:r>
      <w:bookmarkEnd w:id="64"/>
    </w:p>
    <w:p w:rsidR="004F7933" w:rsidRDefault="004F7933" w:rsidP="003B0CD7">
      <w:pPr>
        <w:jc w:val="center"/>
        <w:rPr>
          <w:rFonts w:ascii="Times New Roman" w:hAnsi="Times New Roman"/>
          <w:b/>
          <w:caps/>
          <w:color w:val="365F91" w:themeColor="accent1" w:themeShade="BF"/>
          <w:spacing w:val="20"/>
          <w:kern w:val="28"/>
          <w:sz w:val="25"/>
          <w:szCs w:val="28"/>
          <w:lang w:eastAsia="pl-PL"/>
        </w:rPr>
      </w:pPr>
    </w:p>
    <w:bookmarkEnd w:id="0"/>
    <w:p w:rsidR="00A23C41" w:rsidRDefault="00A23C41" w:rsidP="00B54C8F">
      <w:pPr>
        <w:pStyle w:val="Paragrafoelenco"/>
        <w:numPr>
          <w:ilvl w:val="0"/>
          <w:numId w:val="44"/>
        </w:numPr>
        <w:spacing w:before="0" w:after="0"/>
        <w:ind w:hanging="720"/>
        <w:jc w:val="left"/>
        <w:rPr>
          <w:rFonts w:ascii="Arial" w:hAnsi="Arial" w:cs="Arial"/>
          <w:b/>
          <w:caps/>
          <w:color w:val="1F497D" w:themeColor="text2"/>
          <w:spacing w:val="20"/>
          <w:kern w:val="28"/>
          <w:sz w:val="24"/>
          <w:szCs w:val="24"/>
          <w:lang w:eastAsia="pl-PL"/>
        </w:rPr>
      </w:pPr>
      <w:r w:rsidRPr="00EF09A2">
        <w:rPr>
          <w:rFonts w:ascii="Arial" w:hAnsi="Arial" w:cs="Arial"/>
          <w:b/>
          <w:caps/>
          <w:color w:val="1F497D" w:themeColor="text2"/>
          <w:spacing w:val="20"/>
          <w:kern w:val="28"/>
          <w:sz w:val="24"/>
          <w:szCs w:val="24"/>
          <w:lang w:eastAsia="pl-PL"/>
        </w:rPr>
        <w:t>INVENTORY methodology</w:t>
      </w:r>
    </w:p>
    <w:p w:rsidR="00A23C41" w:rsidRPr="00EF09A2" w:rsidRDefault="00A23C41" w:rsidP="00A23C41">
      <w:pPr>
        <w:pStyle w:val="Paragrafoelenco"/>
        <w:spacing w:before="0" w:after="0"/>
        <w:jc w:val="left"/>
        <w:rPr>
          <w:rFonts w:ascii="Arial" w:hAnsi="Arial" w:cs="Arial"/>
          <w:b/>
          <w:caps/>
          <w:color w:val="1F497D" w:themeColor="text2"/>
          <w:spacing w:val="20"/>
          <w:kern w:val="28"/>
          <w:sz w:val="24"/>
          <w:szCs w:val="24"/>
          <w:lang w:eastAsia="pl-PL"/>
        </w:rPr>
      </w:pPr>
    </w:p>
    <w:p w:rsidR="00A23C41" w:rsidRPr="00EF09A2" w:rsidRDefault="00A23C41" w:rsidP="00A23C41">
      <w:pPr>
        <w:spacing w:before="0" w:after="0"/>
        <w:rPr>
          <w:rFonts w:ascii="Arial" w:hAnsi="Arial" w:cs="Arial"/>
          <w:sz w:val="22"/>
          <w:szCs w:val="22"/>
          <w:lang w:val="en-GB"/>
        </w:rPr>
      </w:pPr>
      <w:r w:rsidRPr="00EF09A2">
        <w:rPr>
          <w:rFonts w:ascii="Arial" w:hAnsi="Arial" w:cs="Arial"/>
          <w:sz w:val="22"/>
          <w:szCs w:val="22"/>
          <w:lang w:val="en-GB"/>
        </w:rPr>
        <w:t>Elaboration of the Inventory of the interventions financed by the European Commission in Palestine and for the Palestinian People</w:t>
      </w:r>
    </w:p>
    <w:p w:rsidR="00A23C41" w:rsidRDefault="00A23C41" w:rsidP="00A23C41">
      <w:pPr>
        <w:spacing w:before="0" w:after="0"/>
        <w:rPr>
          <w:rFonts w:ascii="Arial" w:hAnsi="Arial" w:cs="Arial"/>
          <w:sz w:val="22"/>
          <w:szCs w:val="22"/>
          <w:lang w:val="en-GB"/>
        </w:rPr>
      </w:pPr>
      <w:r w:rsidRPr="00EF09A2">
        <w:rPr>
          <w:rFonts w:ascii="Arial" w:hAnsi="Arial" w:cs="Arial"/>
          <w:sz w:val="22"/>
          <w:szCs w:val="22"/>
          <w:lang w:val="en-GB"/>
        </w:rPr>
        <w:t>From the beginning of the evaluation, the team has started to work in order to re</w:t>
      </w:r>
      <w:r>
        <w:rPr>
          <w:rFonts w:ascii="Arial" w:hAnsi="Arial" w:cs="Arial"/>
          <w:sz w:val="22"/>
          <w:szCs w:val="22"/>
          <w:lang w:val="en-GB"/>
        </w:rPr>
        <w:t xml:space="preserve">construct the inventory of all </w:t>
      </w:r>
      <w:r w:rsidRPr="00EF09A2">
        <w:rPr>
          <w:rFonts w:ascii="Arial" w:hAnsi="Arial" w:cs="Arial"/>
          <w:sz w:val="22"/>
          <w:szCs w:val="22"/>
          <w:lang w:val="en-GB"/>
        </w:rPr>
        <w:t>interventions financed by the European Commission in Palestine</w:t>
      </w:r>
      <w:r w:rsidRPr="00EF09A2">
        <w:rPr>
          <w:rStyle w:val="Rimandonotaapidipagina"/>
          <w:rFonts w:ascii="Arial" w:hAnsi="Arial" w:cs="Arial"/>
          <w:sz w:val="22"/>
          <w:szCs w:val="22"/>
        </w:rPr>
        <w:footnoteReference w:id="52"/>
      </w:r>
      <w:r>
        <w:rPr>
          <w:rFonts w:ascii="Arial" w:hAnsi="Arial" w:cs="Arial"/>
          <w:sz w:val="22"/>
          <w:szCs w:val="22"/>
          <w:lang w:val="en-GB"/>
        </w:rPr>
        <w:t xml:space="preserve"> from 2008 to 2012.</w:t>
      </w:r>
    </w:p>
    <w:p w:rsidR="00A23C41" w:rsidRPr="00EF09A2" w:rsidRDefault="00A23C41" w:rsidP="00A23C41">
      <w:pPr>
        <w:spacing w:before="0" w:after="0"/>
        <w:rPr>
          <w:rFonts w:ascii="Arial" w:hAnsi="Arial" w:cs="Arial"/>
          <w:sz w:val="22"/>
          <w:szCs w:val="22"/>
          <w:lang w:val="en-GB"/>
        </w:rPr>
      </w:pPr>
    </w:p>
    <w:p w:rsidR="00A23C41" w:rsidRPr="00EF09A2" w:rsidRDefault="00A23C41" w:rsidP="00A23C41">
      <w:pPr>
        <w:spacing w:before="0" w:after="0"/>
        <w:rPr>
          <w:rFonts w:ascii="Arial" w:hAnsi="Arial" w:cs="Arial"/>
          <w:sz w:val="22"/>
          <w:szCs w:val="22"/>
          <w:lang w:val="en-GB"/>
        </w:rPr>
      </w:pPr>
      <w:r w:rsidRPr="00EF09A2">
        <w:rPr>
          <w:rFonts w:ascii="Arial" w:hAnsi="Arial" w:cs="Arial"/>
          <w:sz w:val="22"/>
          <w:szCs w:val="22"/>
          <w:lang w:val="en-GB"/>
        </w:rPr>
        <w:t>It is worth noting that the goal of the inventory and of its analysis is twofold:</w:t>
      </w:r>
    </w:p>
    <w:p w:rsidR="00A23C41" w:rsidRPr="00EF09A2" w:rsidRDefault="00A23C41" w:rsidP="00A23C41">
      <w:pPr>
        <w:pStyle w:val="Paragrafoelenco"/>
        <w:numPr>
          <w:ilvl w:val="0"/>
          <w:numId w:val="1"/>
        </w:numPr>
        <w:spacing w:before="0" w:after="0"/>
        <w:rPr>
          <w:rFonts w:ascii="Arial" w:hAnsi="Arial" w:cs="Arial"/>
          <w:sz w:val="22"/>
          <w:szCs w:val="22"/>
          <w:lang w:val="en-GB"/>
        </w:rPr>
      </w:pPr>
      <w:r w:rsidRPr="00EF09A2">
        <w:rPr>
          <w:rFonts w:ascii="Arial" w:hAnsi="Arial" w:cs="Arial"/>
          <w:sz w:val="22"/>
          <w:szCs w:val="22"/>
          <w:lang w:val="en-GB"/>
        </w:rPr>
        <w:t xml:space="preserve">First, the inventory enables to illustrate the </w:t>
      </w:r>
      <w:r w:rsidRPr="00EF09A2">
        <w:rPr>
          <w:rFonts w:ascii="Arial" w:hAnsi="Arial" w:cs="Arial"/>
          <w:i/>
          <w:sz w:val="22"/>
          <w:szCs w:val="22"/>
          <w:lang w:val="en-GB"/>
        </w:rPr>
        <w:t xml:space="preserve">realised (ex post) </w:t>
      </w:r>
      <w:r w:rsidRPr="00EF09A2">
        <w:rPr>
          <w:rFonts w:ascii="Arial" w:hAnsi="Arial" w:cs="Arial"/>
          <w:sz w:val="22"/>
          <w:szCs w:val="22"/>
          <w:lang w:val="en-GB"/>
        </w:rPr>
        <w:t xml:space="preserve">intervention logic, as compared to the </w:t>
      </w:r>
      <w:r w:rsidRPr="00EF09A2">
        <w:rPr>
          <w:rFonts w:ascii="Arial" w:hAnsi="Arial" w:cs="Arial"/>
          <w:i/>
          <w:sz w:val="22"/>
          <w:szCs w:val="22"/>
          <w:lang w:val="en-GB"/>
        </w:rPr>
        <w:t>intended (ex ante</w:t>
      </w:r>
      <w:r w:rsidRPr="00EF09A2">
        <w:rPr>
          <w:rFonts w:ascii="Arial" w:hAnsi="Arial" w:cs="Arial"/>
          <w:sz w:val="22"/>
          <w:szCs w:val="22"/>
          <w:lang w:val="en-GB"/>
        </w:rPr>
        <w:t xml:space="preserve">) intervention logic coming out from the analysis of policy documents. </w:t>
      </w:r>
    </w:p>
    <w:p w:rsidR="00A23C41" w:rsidRPr="00EF09A2" w:rsidRDefault="00A23C41" w:rsidP="00A23C41">
      <w:pPr>
        <w:pStyle w:val="Paragrafoelenco"/>
        <w:numPr>
          <w:ilvl w:val="0"/>
          <w:numId w:val="1"/>
        </w:numPr>
        <w:spacing w:before="0" w:after="0"/>
        <w:rPr>
          <w:rFonts w:ascii="Arial" w:hAnsi="Arial" w:cs="Arial"/>
          <w:sz w:val="22"/>
          <w:szCs w:val="22"/>
          <w:lang w:val="en-GB"/>
        </w:rPr>
      </w:pPr>
      <w:r w:rsidRPr="00EF09A2">
        <w:rPr>
          <w:rFonts w:ascii="Arial" w:hAnsi="Arial" w:cs="Arial"/>
          <w:sz w:val="22"/>
          <w:szCs w:val="22"/>
          <w:lang w:val="en-GB"/>
        </w:rPr>
        <w:t xml:space="preserve">Second, it helps to show in a synthetic way, through tables and graphs, the size, the </w:t>
      </w:r>
      <w:proofErr w:type="spellStart"/>
      <w:r w:rsidRPr="00EF09A2">
        <w:rPr>
          <w:rFonts w:ascii="Arial" w:hAnsi="Arial" w:cs="Arial"/>
          <w:sz w:val="22"/>
          <w:szCs w:val="22"/>
          <w:lang w:val="en-GB"/>
        </w:rPr>
        <w:t>sectoral</w:t>
      </w:r>
      <w:proofErr w:type="spellEnd"/>
      <w:r w:rsidRPr="00EF09A2">
        <w:rPr>
          <w:rFonts w:ascii="Arial" w:hAnsi="Arial" w:cs="Arial"/>
          <w:sz w:val="22"/>
          <w:szCs w:val="22"/>
          <w:lang w:val="en-GB"/>
        </w:rPr>
        <w:t xml:space="preserve"> and financial distribution of the </w:t>
      </w:r>
      <w:r>
        <w:rPr>
          <w:rFonts w:ascii="Arial" w:hAnsi="Arial" w:cs="Arial"/>
          <w:sz w:val="22"/>
          <w:szCs w:val="22"/>
          <w:lang w:val="en-GB"/>
        </w:rPr>
        <w:t>EC</w:t>
      </w:r>
      <w:r w:rsidRPr="00EF09A2">
        <w:rPr>
          <w:rFonts w:ascii="Arial" w:hAnsi="Arial" w:cs="Arial"/>
          <w:sz w:val="22"/>
          <w:szCs w:val="22"/>
          <w:lang w:val="en-GB"/>
        </w:rPr>
        <w:t xml:space="preserve"> interventions and their evolution over time, based on  data retrieved from the Data Warehouse</w:t>
      </w:r>
      <w:r w:rsidRPr="00EF09A2">
        <w:rPr>
          <w:rStyle w:val="Rimandonotaapidipagina"/>
          <w:rFonts w:ascii="Arial" w:hAnsi="Arial" w:cs="Arial"/>
          <w:sz w:val="22"/>
          <w:szCs w:val="22"/>
        </w:rPr>
        <w:footnoteReference w:id="53"/>
      </w:r>
      <w:r>
        <w:rPr>
          <w:rFonts w:ascii="Arial" w:hAnsi="Arial" w:cs="Arial"/>
          <w:sz w:val="22"/>
          <w:szCs w:val="22"/>
          <w:lang w:val="en-GB"/>
        </w:rPr>
        <w:t xml:space="preserve"> of the DG DEVCO</w:t>
      </w:r>
      <w:r w:rsidRPr="00EF09A2">
        <w:rPr>
          <w:rFonts w:ascii="Arial" w:hAnsi="Arial" w:cs="Arial"/>
          <w:sz w:val="22"/>
          <w:szCs w:val="22"/>
          <w:lang w:val="en-GB"/>
        </w:rPr>
        <w:t>.</w:t>
      </w:r>
    </w:p>
    <w:p w:rsidR="00A23C41" w:rsidRDefault="00A23C41" w:rsidP="00A23C41">
      <w:pPr>
        <w:spacing w:before="0" w:after="0"/>
        <w:rPr>
          <w:rFonts w:ascii="Arial" w:hAnsi="Arial" w:cs="Arial"/>
          <w:sz w:val="22"/>
          <w:szCs w:val="22"/>
          <w:lang w:val="en-GB"/>
        </w:rPr>
      </w:pPr>
    </w:p>
    <w:p w:rsidR="00A23C41" w:rsidRPr="00EF09A2" w:rsidRDefault="00A23C41" w:rsidP="00A23C41">
      <w:pPr>
        <w:spacing w:before="0" w:after="0"/>
        <w:rPr>
          <w:rFonts w:ascii="Arial" w:hAnsi="Arial" w:cs="Arial"/>
          <w:sz w:val="22"/>
          <w:szCs w:val="22"/>
          <w:lang w:val="en-GB"/>
        </w:rPr>
      </w:pPr>
      <w:r w:rsidRPr="00EF09A2">
        <w:rPr>
          <w:rFonts w:ascii="Arial" w:hAnsi="Arial" w:cs="Arial"/>
          <w:sz w:val="22"/>
          <w:szCs w:val="22"/>
          <w:lang w:val="en-GB"/>
        </w:rPr>
        <w:t xml:space="preserve">As depicted in the figure 1, the process followed can be synthesized in four main steps, which will be presented in further detail in the following sections. </w:t>
      </w:r>
    </w:p>
    <w:p w:rsidR="00A23C41" w:rsidRPr="00EF09A2" w:rsidRDefault="00A23C41" w:rsidP="00A23C41">
      <w:pPr>
        <w:spacing w:after="0"/>
        <w:rPr>
          <w:rFonts w:ascii="Arial" w:hAnsi="Arial" w:cs="Arial"/>
          <w:sz w:val="24"/>
          <w:szCs w:val="24"/>
          <w:lang w:val="en-GB"/>
        </w:rPr>
      </w:pPr>
    </w:p>
    <w:p w:rsidR="00A23C41" w:rsidRPr="00EF09A2" w:rsidRDefault="00A23C41" w:rsidP="00A23C41">
      <w:pPr>
        <w:spacing w:after="0"/>
        <w:rPr>
          <w:rFonts w:ascii="Arial" w:hAnsi="Arial" w:cs="Arial"/>
          <w:sz w:val="24"/>
          <w:szCs w:val="24"/>
          <w:lang w:val="en-GB"/>
        </w:rPr>
      </w:pPr>
    </w:p>
    <w:p w:rsidR="00A23C41" w:rsidRPr="00EF09A2" w:rsidRDefault="00A23C41" w:rsidP="00A23C41">
      <w:pPr>
        <w:spacing w:after="0"/>
        <w:rPr>
          <w:rFonts w:ascii="Arial" w:hAnsi="Arial" w:cs="Arial"/>
          <w:sz w:val="24"/>
          <w:szCs w:val="24"/>
          <w:lang w:val="en-GB"/>
        </w:rPr>
      </w:pPr>
    </w:p>
    <w:p w:rsidR="00A23C41" w:rsidRPr="00EF09A2" w:rsidRDefault="00A23C41" w:rsidP="00A23C41">
      <w:pPr>
        <w:spacing w:after="0"/>
        <w:rPr>
          <w:rFonts w:ascii="Arial" w:hAnsi="Arial" w:cs="Arial"/>
          <w:sz w:val="24"/>
          <w:szCs w:val="24"/>
          <w:lang w:val="en-GB"/>
        </w:rPr>
      </w:pPr>
    </w:p>
    <w:p w:rsidR="00A23C41" w:rsidRDefault="00A23C41" w:rsidP="00A23C41">
      <w:pPr>
        <w:spacing w:after="0"/>
        <w:rPr>
          <w:rFonts w:ascii="Arial" w:hAnsi="Arial" w:cs="Arial"/>
          <w:sz w:val="24"/>
          <w:szCs w:val="24"/>
          <w:lang w:val="en-GB"/>
        </w:rPr>
      </w:pPr>
    </w:p>
    <w:p w:rsidR="00A23C41" w:rsidRPr="00EF09A2" w:rsidRDefault="00A23C41" w:rsidP="00A23C41">
      <w:pPr>
        <w:spacing w:after="0"/>
        <w:rPr>
          <w:rFonts w:ascii="Arial" w:hAnsi="Arial" w:cs="Arial"/>
          <w:sz w:val="24"/>
          <w:szCs w:val="24"/>
          <w:lang w:val="en-GB"/>
        </w:rPr>
      </w:pPr>
    </w:p>
    <w:p w:rsidR="00A23C41" w:rsidRPr="00EF09A2" w:rsidRDefault="00A23C41" w:rsidP="00A23C41">
      <w:pPr>
        <w:spacing w:after="0"/>
        <w:rPr>
          <w:rFonts w:ascii="Arial" w:hAnsi="Arial" w:cs="Arial"/>
          <w:sz w:val="24"/>
          <w:szCs w:val="24"/>
          <w:lang w:val="en-GB"/>
        </w:rPr>
      </w:pPr>
    </w:p>
    <w:p w:rsidR="00A23C41" w:rsidRPr="00EF09A2" w:rsidRDefault="00A23C41" w:rsidP="00A23C41">
      <w:pPr>
        <w:spacing w:after="0"/>
        <w:rPr>
          <w:rFonts w:ascii="Arial" w:hAnsi="Arial" w:cs="Arial"/>
          <w:sz w:val="24"/>
          <w:szCs w:val="24"/>
          <w:lang w:val="en-GB"/>
        </w:rPr>
      </w:pPr>
    </w:p>
    <w:p w:rsidR="00A23C41" w:rsidRPr="00EF09A2" w:rsidRDefault="00A23C41" w:rsidP="00A23C41">
      <w:pPr>
        <w:spacing w:after="0"/>
        <w:rPr>
          <w:rFonts w:ascii="Arial" w:hAnsi="Arial" w:cs="Arial"/>
          <w:sz w:val="24"/>
          <w:szCs w:val="24"/>
          <w:lang w:val="en-GB"/>
        </w:rPr>
      </w:pPr>
    </w:p>
    <w:p w:rsidR="00A23C41" w:rsidRPr="00EF09A2" w:rsidRDefault="00A23C41" w:rsidP="00A23C41">
      <w:pPr>
        <w:spacing w:after="0"/>
        <w:rPr>
          <w:rFonts w:ascii="Arial" w:hAnsi="Arial" w:cs="Arial"/>
          <w:sz w:val="24"/>
          <w:szCs w:val="24"/>
          <w:lang w:val="en-GB"/>
        </w:rPr>
      </w:pPr>
    </w:p>
    <w:p w:rsidR="00A23C41" w:rsidRPr="00EF09A2" w:rsidRDefault="00A23C41" w:rsidP="00A23C41">
      <w:pPr>
        <w:spacing w:after="0"/>
        <w:rPr>
          <w:rFonts w:ascii="Arial" w:hAnsi="Arial" w:cs="Arial"/>
          <w:sz w:val="24"/>
          <w:szCs w:val="24"/>
          <w:lang w:val="en-GB"/>
        </w:rPr>
      </w:pPr>
    </w:p>
    <w:p w:rsidR="00A23C41" w:rsidRPr="00EF09A2" w:rsidRDefault="00A23C41" w:rsidP="00A23C41">
      <w:pPr>
        <w:spacing w:after="0"/>
        <w:rPr>
          <w:rFonts w:ascii="Arial" w:hAnsi="Arial" w:cs="Arial"/>
          <w:sz w:val="24"/>
          <w:szCs w:val="24"/>
          <w:lang w:val="en-GB"/>
        </w:rPr>
      </w:pPr>
    </w:p>
    <w:p w:rsidR="00A23C41" w:rsidRPr="00EF09A2" w:rsidRDefault="00A23C41" w:rsidP="00A23C41">
      <w:pPr>
        <w:spacing w:after="0"/>
        <w:rPr>
          <w:rFonts w:ascii="Arial" w:hAnsi="Arial" w:cs="Arial"/>
          <w:sz w:val="24"/>
          <w:szCs w:val="24"/>
          <w:lang w:val="en-GB"/>
        </w:rPr>
      </w:pPr>
    </w:p>
    <w:p w:rsidR="00A23C41" w:rsidRPr="00EF09A2" w:rsidRDefault="00A23C41" w:rsidP="00A23C41">
      <w:pPr>
        <w:spacing w:after="0"/>
        <w:rPr>
          <w:rFonts w:ascii="Arial" w:hAnsi="Arial" w:cs="Arial"/>
          <w:sz w:val="24"/>
          <w:szCs w:val="24"/>
          <w:lang w:val="en-GB"/>
        </w:rPr>
      </w:pPr>
    </w:p>
    <w:p w:rsidR="00A23C41" w:rsidRPr="00EF09A2" w:rsidRDefault="00A23C41" w:rsidP="00A23C41">
      <w:pPr>
        <w:spacing w:after="0"/>
        <w:rPr>
          <w:rFonts w:ascii="Arial" w:hAnsi="Arial" w:cs="Arial"/>
          <w:sz w:val="24"/>
          <w:szCs w:val="24"/>
          <w:lang w:val="en-GB"/>
        </w:rPr>
      </w:pPr>
    </w:p>
    <w:p w:rsidR="00A23C41" w:rsidRPr="00EF09A2" w:rsidRDefault="00A23C41" w:rsidP="00A23C41">
      <w:pPr>
        <w:spacing w:after="0"/>
        <w:rPr>
          <w:rFonts w:ascii="Arial" w:hAnsi="Arial" w:cs="Arial"/>
          <w:sz w:val="24"/>
          <w:szCs w:val="24"/>
          <w:lang w:val="en-GB"/>
        </w:rPr>
      </w:pPr>
    </w:p>
    <w:p w:rsidR="00A23C41" w:rsidRPr="00580155" w:rsidRDefault="00A23C41" w:rsidP="00D714DB">
      <w:pPr>
        <w:pStyle w:val="Didascalia"/>
        <w:framePr w:wrap="around"/>
        <w:rPr>
          <w:lang w:val="en-GB"/>
        </w:rPr>
      </w:pPr>
      <w:r w:rsidRPr="00580155">
        <w:rPr>
          <w:lang w:val="en-GB"/>
        </w:rPr>
        <w:t>Figure 1: Inventory Process</w:t>
      </w:r>
    </w:p>
    <w:tbl>
      <w:tblPr>
        <w:tblStyle w:val="Grigliatabella"/>
        <w:tblW w:w="9705"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tblPr>
      <w:tblGrid>
        <w:gridCol w:w="9705"/>
      </w:tblGrid>
      <w:tr w:rsidR="00A23C41" w:rsidRPr="00EF09A2" w:rsidTr="00A23C41">
        <w:trPr>
          <w:trHeight w:val="9665"/>
        </w:trPr>
        <w:tc>
          <w:tcPr>
            <w:tcW w:w="9705" w:type="dxa"/>
            <w:shd w:val="clear" w:color="auto" w:fill="DBE5F1" w:themeFill="accent1" w:themeFillTint="33"/>
          </w:tcPr>
          <w:p w:rsidR="00A23C41" w:rsidRPr="00EF09A2" w:rsidRDefault="00A43E18" w:rsidP="00A23C41">
            <w:pPr>
              <w:rPr>
                <w:rFonts w:ascii="Arial" w:hAnsi="Arial" w:cs="Arial"/>
              </w:rPr>
            </w:pPr>
            <w:r>
              <w:rPr>
                <w:rFonts w:ascii="Arial" w:hAnsi="Arial" w:cs="Arial"/>
                <w:noProof/>
                <w:lang w:val="it-IT" w:eastAsia="it-IT"/>
              </w:rPr>
              <w:pict>
                <v:rect id="_x0000_s1100" style="position:absolute;left:0;text-align:left;margin-left:1.8pt;margin-top:3.7pt;width:249pt;height:49.9pt;z-index:251712512" fillcolor="#4f81bd [3204]" strokecolor="#f2f2f2 [3041]" strokeweight="3pt">
                  <v:shadow on="t" type="perspective" color="#243f60 [1604]" opacity=".5" offset="1pt" offset2="-1pt"/>
                  <v:textbox>
                    <w:txbxContent>
                      <w:p w:rsidR="005D72C2" w:rsidRPr="000D7E7A" w:rsidRDefault="005D72C2" w:rsidP="00A23C41">
                        <w:pPr>
                          <w:pStyle w:val="Paragrafoelenco"/>
                          <w:ind w:left="-142"/>
                          <w:jc w:val="center"/>
                          <w:rPr>
                            <w:rFonts w:ascii="Arial Narrow" w:hAnsi="Arial Narrow"/>
                            <w:b/>
                            <w:color w:val="FFFFFF" w:themeColor="background1"/>
                            <w:sz w:val="18"/>
                            <w:szCs w:val="18"/>
                          </w:rPr>
                        </w:pPr>
                        <w:r>
                          <w:rPr>
                            <w:rFonts w:ascii="Arial Narrow" w:hAnsi="Arial Narrow"/>
                            <w:b/>
                            <w:color w:val="FFFFFF" w:themeColor="background1"/>
                            <w:sz w:val="18"/>
                            <w:szCs w:val="18"/>
                          </w:rPr>
                          <w:t>1.</w:t>
                        </w:r>
                        <w:r w:rsidRPr="000D7E7A">
                          <w:rPr>
                            <w:rFonts w:ascii="Arial Narrow" w:hAnsi="Arial Narrow"/>
                            <w:b/>
                            <w:color w:val="FFFFFF" w:themeColor="background1"/>
                            <w:sz w:val="18"/>
                            <w:szCs w:val="18"/>
                          </w:rPr>
                          <w:t>EXTRACTION</w:t>
                        </w:r>
                      </w:p>
                      <w:p w:rsidR="005D72C2" w:rsidRDefault="005D72C2" w:rsidP="00A23C41">
                        <w:pPr>
                          <w:contextualSpacing/>
                          <w:jc w:val="center"/>
                          <w:rPr>
                            <w:rFonts w:ascii="Arial Narrow" w:hAnsi="Arial Narrow"/>
                            <w:sz w:val="18"/>
                            <w:szCs w:val="18"/>
                          </w:rPr>
                        </w:pPr>
                        <w:r>
                          <w:rPr>
                            <w:rFonts w:ascii="Arial Narrow" w:hAnsi="Arial Narrow"/>
                            <w:sz w:val="18"/>
                            <w:szCs w:val="18"/>
                          </w:rPr>
                          <w:t xml:space="preserve">of Contracts and Decisions </w:t>
                        </w:r>
                        <w:r w:rsidRPr="00041E3B">
                          <w:rPr>
                            <w:rFonts w:ascii="Arial Narrow" w:hAnsi="Arial Narrow"/>
                            <w:sz w:val="18"/>
                            <w:szCs w:val="18"/>
                          </w:rPr>
                          <w:t xml:space="preserve">from </w:t>
                        </w:r>
                        <w:proofErr w:type="spellStart"/>
                        <w:r>
                          <w:rPr>
                            <w:rFonts w:ascii="Arial Narrow" w:hAnsi="Arial Narrow"/>
                            <w:sz w:val="18"/>
                            <w:szCs w:val="18"/>
                          </w:rPr>
                          <w:t>D</w:t>
                        </w:r>
                        <w:r w:rsidRPr="00041E3B">
                          <w:rPr>
                            <w:rFonts w:ascii="Arial Narrow" w:hAnsi="Arial Narrow"/>
                            <w:sz w:val="18"/>
                            <w:szCs w:val="18"/>
                          </w:rPr>
                          <w:t>ata</w:t>
                        </w:r>
                        <w:r>
                          <w:rPr>
                            <w:rFonts w:ascii="Arial Narrow" w:hAnsi="Arial Narrow"/>
                            <w:sz w:val="18"/>
                            <w:szCs w:val="18"/>
                          </w:rPr>
                          <w:t>warehouse</w:t>
                        </w:r>
                        <w:proofErr w:type="spellEnd"/>
                        <w:r w:rsidRPr="0080292A">
                          <w:rPr>
                            <w:rFonts w:ascii="Arial Narrow" w:hAnsi="Arial Narrow"/>
                            <w:b/>
                            <w:sz w:val="18"/>
                            <w:szCs w:val="18"/>
                          </w:rPr>
                          <w:t xml:space="preserve">: </w:t>
                        </w:r>
                        <w:r w:rsidRPr="00041E3B">
                          <w:rPr>
                            <w:rFonts w:ascii="Arial Narrow" w:hAnsi="Arial Narrow"/>
                            <w:b/>
                            <w:sz w:val="18"/>
                            <w:szCs w:val="18"/>
                          </w:rPr>
                          <w:t>temporal criterion</w:t>
                        </w:r>
                        <w:r w:rsidRPr="0080292A">
                          <w:rPr>
                            <w:rFonts w:ascii="Arial Narrow" w:hAnsi="Arial Narrow"/>
                            <w:sz w:val="18"/>
                            <w:szCs w:val="18"/>
                          </w:rPr>
                          <w:t xml:space="preserve"> </w:t>
                        </w:r>
                      </w:p>
                      <w:p w:rsidR="005D72C2" w:rsidRPr="0080292A" w:rsidRDefault="005D72C2" w:rsidP="00A23C41">
                        <w:pPr>
                          <w:contextualSpacing/>
                          <w:jc w:val="center"/>
                          <w:rPr>
                            <w:rFonts w:ascii="Arial Narrow" w:hAnsi="Arial Narrow"/>
                            <w:b/>
                            <w:sz w:val="18"/>
                            <w:szCs w:val="18"/>
                          </w:rPr>
                        </w:pPr>
                        <w:r w:rsidRPr="0080292A">
                          <w:rPr>
                            <w:rFonts w:ascii="Arial Narrow" w:hAnsi="Arial Narrow"/>
                            <w:sz w:val="18"/>
                            <w:szCs w:val="18"/>
                          </w:rPr>
                          <w:t>(200</w:t>
                        </w:r>
                        <w:r>
                          <w:rPr>
                            <w:rFonts w:ascii="Arial Narrow" w:hAnsi="Arial Narrow"/>
                            <w:sz w:val="18"/>
                            <w:szCs w:val="18"/>
                          </w:rPr>
                          <w:t>8-2012</w:t>
                        </w:r>
                        <w:r w:rsidRPr="0080292A">
                          <w:rPr>
                            <w:rFonts w:ascii="Arial Narrow" w:hAnsi="Arial Narrow"/>
                            <w:sz w:val="18"/>
                            <w:szCs w:val="18"/>
                          </w:rPr>
                          <w:t>)</w:t>
                        </w:r>
                      </w:p>
                    </w:txbxContent>
                  </v:textbox>
                </v:rect>
              </w:pict>
            </w:r>
            <w:r>
              <w:rPr>
                <w:rFonts w:ascii="Arial" w:hAnsi="Arial" w:cs="Arial"/>
                <w:noProof/>
                <w:lang w:val="it-IT" w:eastAsia="it-IT"/>
              </w:rPr>
              <w:pict>
                <v:shapetype id="_x0000_t32" coordsize="21600,21600" o:spt="32" o:oned="t" path="m,l21600,21600e" filled="f">
                  <v:path arrowok="t" fillok="f" o:connecttype="none"/>
                  <o:lock v:ext="edit" shapetype="t"/>
                </v:shapetype>
                <v:shape id="_x0000_s1095" type="#_x0000_t32" style="position:absolute;left:0;text-align:left;margin-left:255.3pt;margin-top:21.9pt;width:48pt;height:.05pt;z-index:251707392" o:connectortype="straight">
                  <v:stroke endarrow="block"/>
                </v:shape>
              </w:pict>
            </w:r>
            <w:r>
              <w:rPr>
                <w:rFonts w:ascii="Arial" w:hAnsi="Arial" w:cs="Arial"/>
                <w:noProof/>
                <w:lang w:val="it-IT" w:eastAsia="it-IT"/>
              </w:rPr>
              <w:pict>
                <v:oval id="_x0000_s1096" style="position:absolute;left:0;text-align:left;margin-left:309.4pt;margin-top:8.35pt;width:106.5pt;height:29.25pt;z-index:251708416" fillcolor="white [3201]" strokecolor="#4f81bd [3204]" strokeweight="1pt">
                  <v:stroke dashstyle="dash" endcap="round"/>
                  <v:shadow color="#868686"/>
                  <v:textbox style="mso-next-textbox:#_x0000_s1096">
                    <w:txbxContent>
                      <w:p w:rsidR="005D72C2" w:rsidRPr="007356F1" w:rsidRDefault="005D72C2" w:rsidP="00A23C41">
                        <w:pPr>
                          <w:contextualSpacing/>
                          <w:jc w:val="center"/>
                          <w:rPr>
                            <w:rFonts w:ascii="Arial Narrow" w:hAnsi="Arial Narrow"/>
                            <w:sz w:val="16"/>
                            <w:szCs w:val="16"/>
                          </w:rPr>
                        </w:pPr>
                        <w:r w:rsidRPr="007356F1">
                          <w:rPr>
                            <w:rFonts w:ascii="Arial Narrow" w:hAnsi="Arial Narrow"/>
                            <w:sz w:val="16"/>
                            <w:szCs w:val="16"/>
                          </w:rPr>
                          <w:t>36.702</w:t>
                        </w:r>
                        <w:r>
                          <w:rPr>
                            <w:rFonts w:ascii="Arial Narrow" w:hAnsi="Arial Narrow"/>
                            <w:sz w:val="16"/>
                            <w:szCs w:val="16"/>
                          </w:rPr>
                          <w:t xml:space="preserve"> contracts</w:t>
                        </w:r>
                      </w:p>
                    </w:txbxContent>
                  </v:textbox>
                </v:oval>
              </w:pict>
            </w:r>
          </w:p>
          <w:p w:rsidR="00A23C41" w:rsidRPr="00EF09A2" w:rsidRDefault="00A23C41" w:rsidP="00A23C41">
            <w:pPr>
              <w:rPr>
                <w:rFonts w:ascii="Arial" w:hAnsi="Arial" w:cs="Arial"/>
              </w:rPr>
            </w:pPr>
          </w:p>
          <w:p w:rsidR="00A23C41" w:rsidRPr="00EF09A2" w:rsidRDefault="00A43E18" w:rsidP="00A23C41">
            <w:pPr>
              <w:rPr>
                <w:rFonts w:ascii="Arial" w:hAnsi="Arial" w:cs="Arial"/>
              </w:rPr>
            </w:pPr>
            <w:r>
              <w:rPr>
                <w:rFonts w:ascii="Arial" w:hAnsi="Arial" w:cs="Arial"/>
                <w:noProof/>
                <w:lang w:val="it-IT" w:eastAsia="it-IT"/>
              </w:rPr>
              <w:pict>
                <v:shape id="_x0000_s1091" type="#_x0000_t32" style="position:absolute;left:0;text-align:left;margin-left:123.3pt;margin-top:2.2pt;width:0;height:29.15pt;z-index:251703296" o:connectortype="straight">
                  <v:stroke endarrow="block"/>
                </v:shape>
              </w:pict>
            </w:r>
          </w:p>
          <w:p w:rsidR="00A23C41" w:rsidRPr="00EF09A2" w:rsidRDefault="00A43E18" w:rsidP="00A23C41">
            <w:pPr>
              <w:rPr>
                <w:rFonts w:ascii="Arial" w:hAnsi="Arial" w:cs="Arial"/>
              </w:rPr>
            </w:pPr>
            <w:r>
              <w:rPr>
                <w:rFonts w:ascii="Arial" w:hAnsi="Arial" w:cs="Arial"/>
                <w:noProof/>
                <w:lang w:val="it-IT" w:eastAsia="it-IT"/>
              </w:rPr>
              <w:pict>
                <v:rect id="_x0000_s1092" style="position:absolute;left:0;text-align:left;margin-left:-3.45pt;margin-top:16.4pt;width:249pt;height:63.5pt;z-index:251704320" fillcolor="#4f81bd [3204]" strokecolor="#f2f2f2 [3041]" strokeweight="3pt">
                  <v:shadow on="t" type="perspective" color="#243f60 [1604]" opacity=".5" offset="1pt" offset2="-1pt"/>
                  <v:textbox>
                    <w:txbxContent>
                      <w:p w:rsidR="005D72C2" w:rsidRPr="00041E3B" w:rsidRDefault="005D72C2" w:rsidP="00A23C41">
                        <w:pPr>
                          <w:contextualSpacing/>
                          <w:jc w:val="center"/>
                          <w:rPr>
                            <w:rFonts w:ascii="Arial Narrow" w:hAnsi="Arial Narrow"/>
                            <w:b/>
                            <w:color w:val="FFFFFF" w:themeColor="background1"/>
                            <w:sz w:val="18"/>
                            <w:szCs w:val="18"/>
                          </w:rPr>
                        </w:pPr>
                        <w:r>
                          <w:rPr>
                            <w:rFonts w:ascii="Arial Narrow" w:hAnsi="Arial Narrow"/>
                            <w:b/>
                            <w:color w:val="FFFFFF" w:themeColor="background1"/>
                            <w:sz w:val="18"/>
                            <w:szCs w:val="18"/>
                          </w:rPr>
                          <w:t xml:space="preserve">2. </w:t>
                        </w:r>
                        <w:r w:rsidRPr="00041E3B">
                          <w:rPr>
                            <w:rFonts w:ascii="Arial Narrow" w:hAnsi="Arial Narrow"/>
                            <w:b/>
                            <w:color w:val="FFFFFF" w:themeColor="background1"/>
                            <w:sz w:val="18"/>
                            <w:szCs w:val="18"/>
                          </w:rPr>
                          <w:t xml:space="preserve">FILTERING </w:t>
                        </w:r>
                      </w:p>
                      <w:p w:rsidR="005D72C2" w:rsidRPr="00EE67D8" w:rsidRDefault="005D72C2" w:rsidP="00A23C41">
                        <w:pPr>
                          <w:contextualSpacing/>
                          <w:jc w:val="center"/>
                          <w:rPr>
                            <w:rFonts w:ascii="Arial Narrow" w:hAnsi="Arial Narrow"/>
                            <w:i/>
                            <w:sz w:val="18"/>
                            <w:szCs w:val="18"/>
                          </w:rPr>
                        </w:pPr>
                        <w:r>
                          <w:rPr>
                            <w:rFonts w:ascii="Arial Narrow" w:hAnsi="Arial Narrow"/>
                            <w:sz w:val="18"/>
                            <w:szCs w:val="18"/>
                          </w:rPr>
                          <w:t xml:space="preserve">Removal of canceled contracts and filtering </w:t>
                        </w:r>
                        <w:r w:rsidRPr="00B065A4">
                          <w:rPr>
                            <w:rFonts w:ascii="Arial Narrow" w:hAnsi="Arial Narrow"/>
                            <w:sz w:val="18"/>
                            <w:szCs w:val="18"/>
                          </w:rPr>
                          <w:t>by ”</w:t>
                        </w:r>
                        <w:r w:rsidRPr="00041E3B">
                          <w:rPr>
                            <w:rFonts w:ascii="Arial Narrow" w:hAnsi="Arial Narrow"/>
                            <w:b/>
                            <w:sz w:val="18"/>
                            <w:szCs w:val="18"/>
                          </w:rPr>
                          <w:t>geographical zone</w:t>
                        </w:r>
                        <w:r w:rsidRPr="00B065A4">
                          <w:rPr>
                            <w:rFonts w:ascii="Arial Narrow" w:hAnsi="Arial Narrow"/>
                            <w:sz w:val="18"/>
                            <w:szCs w:val="18"/>
                          </w:rPr>
                          <w:t>”</w:t>
                        </w:r>
                        <w:r>
                          <w:rPr>
                            <w:rFonts w:ascii="Arial Narrow" w:hAnsi="Arial Narrow"/>
                            <w:sz w:val="18"/>
                            <w:szCs w:val="18"/>
                          </w:rPr>
                          <w:t xml:space="preserve"> and selection of relevant contracts </w:t>
                        </w:r>
                        <w:r w:rsidRPr="00EE67D8">
                          <w:rPr>
                            <w:rFonts w:ascii="Arial Narrow" w:hAnsi="Arial Narrow"/>
                            <w:i/>
                            <w:sz w:val="18"/>
                            <w:szCs w:val="18"/>
                          </w:rPr>
                          <w:t>(</w:t>
                        </w:r>
                        <w:r>
                          <w:rPr>
                            <w:rFonts w:ascii="Arial Narrow" w:hAnsi="Arial Narrow"/>
                            <w:i/>
                            <w:sz w:val="18"/>
                            <w:szCs w:val="18"/>
                          </w:rPr>
                          <w:t>Country level, Regional &amp; Multi-country level)</w:t>
                        </w:r>
                      </w:p>
                    </w:txbxContent>
                  </v:textbox>
                </v:rect>
              </w:pict>
            </w:r>
          </w:p>
          <w:p w:rsidR="00A23C41" w:rsidRPr="00EF09A2" w:rsidRDefault="00A23C41" w:rsidP="00A23C41">
            <w:pPr>
              <w:rPr>
                <w:rFonts w:ascii="Arial" w:hAnsi="Arial" w:cs="Arial"/>
              </w:rPr>
            </w:pPr>
          </w:p>
          <w:p w:rsidR="00A23C41" w:rsidRPr="00EF09A2" w:rsidRDefault="00A23C41" w:rsidP="00A23C41">
            <w:pPr>
              <w:rPr>
                <w:rFonts w:ascii="Arial" w:hAnsi="Arial" w:cs="Arial"/>
              </w:rPr>
            </w:pPr>
          </w:p>
          <w:p w:rsidR="00A23C41" w:rsidRPr="00EF09A2" w:rsidRDefault="00A43E18" w:rsidP="00A23C41">
            <w:pPr>
              <w:rPr>
                <w:rFonts w:ascii="Arial" w:hAnsi="Arial" w:cs="Arial"/>
              </w:rPr>
            </w:pPr>
            <w:r>
              <w:rPr>
                <w:rFonts w:ascii="Arial" w:hAnsi="Arial" w:cs="Arial"/>
                <w:noProof/>
                <w:lang w:val="it-IT" w:eastAsia="it-IT"/>
              </w:rPr>
              <w:pict>
                <v:oval id="_x0000_s1108" style="position:absolute;left:0;text-align:left;margin-left:314.4pt;margin-top:9.9pt;width:98.25pt;height:66.5pt;z-index:251720704" fillcolor="white [3201]" strokecolor="#4f81bd [3204]" strokeweight="1pt">
                  <v:stroke dashstyle="dash" endcap="round"/>
                  <v:shadow color="#868686"/>
                  <v:textbox>
                    <w:txbxContent>
                      <w:p w:rsidR="005D72C2" w:rsidRPr="00B52082" w:rsidRDefault="005D72C2" w:rsidP="00A23C41">
                        <w:pPr>
                          <w:contextualSpacing/>
                          <w:jc w:val="center"/>
                          <w:rPr>
                            <w:rFonts w:ascii="Arial Narrow" w:hAnsi="Arial Narrow"/>
                            <w:b/>
                            <w:sz w:val="16"/>
                            <w:szCs w:val="16"/>
                          </w:rPr>
                        </w:pPr>
                        <w:r>
                          <w:rPr>
                            <w:rFonts w:ascii="Arial Narrow" w:hAnsi="Arial Narrow"/>
                            <w:b/>
                            <w:sz w:val="16"/>
                            <w:szCs w:val="16"/>
                          </w:rPr>
                          <w:t>110 Decisions</w:t>
                        </w:r>
                      </w:p>
                      <w:p w:rsidR="005D72C2" w:rsidRPr="00E846AE" w:rsidRDefault="005D72C2" w:rsidP="00A23C41">
                        <w:pPr>
                          <w:contextualSpacing/>
                          <w:jc w:val="center"/>
                          <w:rPr>
                            <w:rFonts w:ascii="Arial Narrow" w:hAnsi="Arial Narrow"/>
                            <w:sz w:val="16"/>
                            <w:szCs w:val="16"/>
                          </w:rPr>
                        </w:pPr>
                        <w:r>
                          <w:rPr>
                            <w:rFonts w:ascii="Arial Narrow" w:hAnsi="Arial Narrow"/>
                            <w:sz w:val="16"/>
                            <w:szCs w:val="16"/>
                          </w:rPr>
                          <w:t xml:space="preserve">46 Bilateral Level </w:t>
                        </w:r>
                      </w:p>
                      <w:p w:rsidR="005D72C2" w:rsidRDefault="005D72C2" w:rsidP="00A23C41">
                        <w:pPr>
                          <w:contextualSpacing/>
                          <w:jc w:val="center"/>
                          <w:rPr>
                            <w:rFonts w:ascii="Arial Narrow" w:hAnsi="Arial Narrow"/>
                            <w:sz w:val="16"/>
                            <w:szCs w:val="16"/>
                          </w:rPr>
                        </w:pPr>
                        <w:r>
                          <w:rPr>
                            <w:rFonts w:ascii="Arial Narrow" w:hAnsi="Arial Narrow"/>
                            <w:sz w:val="16"/>
                            <w:szCs w:val="16"/>
                          </w:rPr>
                          <w:t xml:space="preserve">11 Regional level </w:t>
                        </w:r>
                      </w:p>
                      <w:p w:rsidR="005D72C2" w:rsidRDefault="005D72C2" w:rsidP="00A23C41">
                        <w:pPr>
                          <w:contextualSpacing/>
                          <w:jc w:val="center"/>
                          <w:rPr>
                            <w:rFonts w:ascii="Arial Narrow" w:hAnsi="Arial Narrow"/>
                            <w:sz w:val="16"/>
                            <w:szCs w:val="16"/>
                          </w:rPr>
                        </w:pPr>
                        <w:r>
                          <w:rPr>
                            <w:rFonts w:ascii="Arial Narrow" w:hAnsi="Arial Narrow"/>
                            <w:sz w:val="16"/>
                            <w:szCs w:val="16"/>
                          </w:rPr>
                          <w:t xml:space="preserve">56 Thematic level </w:t>
                        </w:r>
                      </w:p>
                    </w:txbxContent>
                  </v:textbox>
                </v:oval>
              </w:pict>
            </w:r>
          </w:p>
          <w:p w:rsidR="00A23C41" w:rsidRPr="00EF09A2" w:rsidRDefault="00A43E18" w:rsidP="00A23C41">
            <w:pPr>
              <w:rPr>
                <w:rFonts w:ascii="Arial" w:hAnsi="Arial" w:cs="Arial"/>
              </w:rPr>
            </w:pPr>
            <w:r>
              <w:rPr>
                <w:rFonts w:ascii="Arial" w:hAnsi="Arial" w:cs="Arial"/>
                <w:noProof/>
                <w:lang w:val="it-IT" w:eastAsia="it-IT"/>
              </w:rPr>
              <w:pict>
                <v:shape id="_x0000_s1093" type="#_x0000_t32" style="position:absolute;left:0;text-align:left;margin-left:122.55pt;margin-top:15.2pt;width:.75pt;height:29.45pt;flip:x;z-index:251705344" o:connectortype="straight">
                  <v:stroke endarrow="block"/>
                </v:shape>
              </w:pict>
            </w:r>
          </w:p>
          <w:p w:rsidR="00A23C41" w:rsidRPr="00EF09A2" w:rsidRDefault="00A23C41" w:rsidP="00A23C41">
            <w:pPr>
              <w:rPr>
                <w:rFonts w:ascii="Arial" w:hAnsi="Arial" w:cs="Arial"/>
              </w:rPr>
            </w:pPr>
          </w:p>
          <w:p w:rsidR="00A23C41" w:rsidRPr="00EF09A2" w:rsidRDefault="00A43E18" w:rsidP="00A23C41">
            <w:pPr>
              <w:rPr>
                <w:rFonts w:ascii="Arial" w:hAnsi="Arial" w:cs="Arial"/>
              </w:rPr>
            </w:pPr>
            <w:r>
              <w:rPr>
                <w:rFonts w:ascii="Arial" w:hAnsi="Arial" w:cs="Arial"/>
                <w:noProof/>
                <w:lang w:val="it-IT" w:eastAsia="it-IT"/>
              </w:rPr>
              <w:pict>
                <v:shape id="_x0000_s1097" type="#_x0000_t32" style="position:absolute;left:0;text-align:left;margin-left:255.3pt;margin-top:8pt;width:50.25pt;height:31.45pt;flip:y;z-index:251709440" o:connectortype="straight">
                  <v:stroke endarrow="block"/>
                </v:shape>
              </w:pict>
            </w:r>
            <w:r>
              <w:rPr>
                <w:rFonts w:ascii="Arial" w:hAnsi="Arial" w:cs="Arial"/>
                <w:noProof/>
                <w:lang w:val="it-IT" w:eastAsia="it-IT"/>
              </w:rPr>
              <w:pict>
                <v:rect id="_x0000_s1101" style="position:absolute;left:0;text-align:left;margin-left:1.8pt;margin-top:15.25pt;width:249pt;height:58.25pt;z-index:251713536" fillcolor="#4f81bd [3204]" strokecolor="#f2f2f2 [3041]" strokeweight="3pt">
                  <v:shadow on="t" type="perspective" color="#243f60 [1604]" opacity=".5" offset="1pt" offset2="-1pt"/>
                  <v:textbox>
                    <w:txbxContent>
                      <w:p w:rsidR="005D72C2" w:rsidRPr="00041E3B" w:rsidRDefault="005D72C2" w:rsidP="00A23C41">
                        <w:pPr>
                          <w:contextualSpacing/>
                          <w:jc w:val="center"/>
                          <w:rPr>
                            <w:rFonts w:ascii="Arial Narrow" w:hAnsi="Arial Narrow"/>
                            <w:b/>
                            <w:color w:val="FFFFFF" w:themeColor="background1"/>
                            <w:sz w:val="18"/>
                            <w:szCs w:val="18"/>
                          </w:rPr>
                        </w:pPr>
                        <w:r>
                          <w:rPr>
                            <w:rFonts w:ascii="Arial Narrow" w:hAnsi="Arial Narrow"/>
                            <w:b/>
                            <w:color w:val="FFFFFF" w:themeColor="background1"/>
                            <w:sz w:val="18"/>
                            <w:szCs w:val="18"/>
                          </w:rPr>
                          <w:t>3.VALIDATION</w:t>
                        </w:r>
                        <w:r w:rsidRPr="00041E3B">
                          <w:rPr>
                            <w:rFonts w:ascii="Arial Narrow" w:hAnsi="Arial Narrow"/>
                            <w:b/>
                            <w:color w:val="FFFFFF" w:themeColor="background1"/>
                            <w:sz w:val="18"/>
                            <w:szCs w:val="18"/>
                          </w:rPr>
                          <w:t xml:space="preserve"> </w:t>
                        </w:r>
                      </w:p>
                      <w:p w:rsidR="005D72C2" w:rsidRDefault="005D72C2" w:rsidP="00A23C41">
                        <w:pPr>
                          <w:contextualSpacing/>
                          <w:jc w:val="center"/>
                          <w:rPr>
                            <w:rFonts w:ascii="Arial Narrow" w:hAnsi="Arial Narrow"/>
                            <w:sz w:val="18"/>
                            <w:szCs w:val="18"/>
                          </w:rPr>
                        </w:pPr>
                        <w:r>
                          <w:rPr>
                            <w:rFonts w:ascii="Arial Narrow" w:hAnsi="Arial Narrow"/>
                            <w:sz w:val="18"/>
                            <w:szCs w:val="18"/>
                          </w:rPr>
                          <w:t xml:space="preserve">Classification by </w:t>
                        </w:r>
                        <w:r w:rsidRPr="00443D6E">
                          <w:rPr>
                            <w:rFonts w:ascii="Arial Narrow" w:hAnsi="Arial Narrow"/>
                            <w:b/>
                            <w:sz w:val="18"/>
                            <w:szCs w:val="18"/>
                          </w:rPr>
                          <w:t>type of cooperation</w:t>
                        </w:r>
                        <w:r>
                          <w:rPr>
                            <w:rFonts w:ascii="Arial Narrow" w:hAnsi="Arial Narrow"/>
                            <w:sz w:val="18"/>
                            <w:szCs w:val="18"/>
                          </w:rPr>
                          <w:t xml:space="preserve"> looking to the corresponding decision of each contract.</w:t>
                        </w:r>
                      </w:p>
                      <w:p w:rsidR="005D72C2" w:rsidRPr="00027B3A" w:rsidRDefault="005D72C2" w:rsidP="00A23C41">
                        <w:pPr>
                          <w:contextualSpacing/>
                          <w:jc w:val="center"/>
                          <w:rPr>
                            <w:rFonts w:ascii="Arial Narrow" w:hAnsi="Arial Narrow"/>
                            <w:b/>
                            <w:i/>
                            <w:sz w:val="18"/>
                            <w:szCs w:val="18"/>
                          </w:rPr>
                        </w:pPr>
                        <w:r w:rsidRPr="00027B3A">
                          <w:rPr>
                            <w:rFonts w:ascii="Arial Narrow" w:hAnsi="Arial Narrow"/>
                            <w:b/>
                            <w:sz w:val="18"/>
                            <w:szCs w:val="18"/>
                          </w:rPr>
                          <w:t xml:space="preserve">BIL, REG; </w:t>
                        </w:r>
                        <w:r>
                          <w:rPr>
                            <w:rFonts w:ascii="Arial Narrow" w:hAnsi="Arial Narrow"/>
                            <w:b/>
                            <w:sz w:val="18"/>
                            <w:szCs w:val="18"/>
                          </w:rPr>
                          <w:t>THEM</w:t>
                        </w:r>
                      </w:p>
                    </w:txbxContent>
                  </v:textbox>
                </v:rect>
              </w:pict>
            </w:r>
          </w:p>
          <w:p w:rsidR="00A23C41" w:rsidRPr="00EF09A2" w:rsidRDefault="00A43E18" w:rsidP="00A23C41">
            <w:pPr>
              <w:rPr>
                <w:rFonts w:ascii="Arial" w:hAnsi="Arial" w:cs="Arial"/>
              </w:rPr>
            </w:pPr>
            <w:r>
              <w:rPr>
                <w:rFonts w:ascii="Arial" w:hAnsi="Arial" w:cs="Arial"/>
                <w:noProof/>
                <w:lang w:val="it-IT" w:eastAsia="it-IT"/>
              </w:rPr>
              <w:pict>
                <v:oval id="_x0000_s1098" style="position:absolute;left:0;text-align:left;margin-left:314.4pt;margin-top:13.5pt;width:98.25pt;height:79.5pt;z-index:251710464" fillcolor="white [3201]" strokecolor="#4f81bd [3204]" strokeweight="1pt">
                  <v:stroke dashstyle="dash" endcap="round"/>
                  <v:shadow color="#868686"/>
                  <v:textbox>
                    <w:txbxContent>
                      <w:p w:rsidR="005D72C2" w:rsidRPr="00B52082" w:rsidRDefault="005D72C2" w:rsidP="00A23C41">
                        <w:pPr>
                          <w:contextualSpacing/>
                          <w:jc w:val="center"/>
                          <w:rPr>
                            <w:rFonts w:ascii="Arial Narrow" w:hAnsi="Arial Narrow"/>
                            <w:b/>
                            <w:sz w:val="16"/>
                            <w:szCs w:val="16"/>
                          </w:rPr>
                        </w:pPr>
                        <w:r w:rsidRPr="00B52082">
                          <w:rPr>
                            <w:rFonts w:ascii="Arial Narrow" w:hAnsi="Arial Narrow"/>
                            <w:b/>
                            <w:sz w:val="16"/>
                            <w:szCs w:val="16"/>
                          </w:rPr>
                          <w:t xml:space="preserve">406 contracts  </w:t>
                        </w:r>
                      </w:p>
                      <w:p w:rsidR="005D72C2" w:rsidRPr="00E846AE" w:rsidRDefault="005D72C2" w:rsidP="00A23C41">
                        <w:pPr>
                          <w:contextualSpacing/>
                          <w:jc w:val="center"/>
                          <w:rPr>
                            <w:rFonts w:ascii="Arial Narrow" w:hAnsi="Arial Narrow"/>
                            <w:sz w:val="16"/>
                            <w:szCs w:val="16"/>
                          </w:rPr>
                        </w:pPr>
                        <w:r>
                          <w:rPr>
                            <w:rFonts w:ascii="Arial Narrow" w:hAnsi="Arial Narrow"/>
                            <w:sz w:val="16"/>
                            <w:szCs w:val="16"/>
                          </w:rPr>
                          <w:t xml:space="preserve">187 Bilateral Level </w:t>
                        </w:r>
                      </w:p>
                      <w:p w:rsidR="005D72C2" w:rsidRDefault="005D72C2" w:rsidP="00A23C41">
                        <w:pPr>
                          <w:contextualSpacing/>
                          <w:jc w:val="center"/>
                          <w:rPr>
                            <w:rFonts w:ascii="Arial Narrow" w:hAnsi="Arial Narrow"/>
                            <w:sz w:val="16"/>
                            <w:szCs w:val="16"/>
                          </w:rPr>
                        </w:pPr>
                        <w:r>
                          <w:rPr>
                            <w:rFonts w:ascii="Arial Narrow" w:hAnsi="Arial Narrow"/>
                            <w:sz w:val="16"/>
                            <w:szCs w:val="16"/>
                          </w:rPr>
                          <w:t xml:space="preserve">145 Regional level </w:t>
                        </w:r>
                      </w:p>
                      <w:p w:rsidR="005D72C2" w:rsidRDefault="005D72C2" w:rsidP="00A23C41">
                        <w:pPr>
                          <w:contextualSpacing/>
                          <w:jc w:val="center"/>
                          <w:rPr>
                            <w:rFonts w:ascii="Arial Narrow" w:hAnsi="Arial Narrow"/>
                            <w:sz w:val="16"/>
                            <w:szCs w:val="16"/>
                          </w:rPr>
                        </w:pPr>
                        <w:r>
                          <w:rPr>
                            <w:rFonts w:ascii="Arial Narrow" w:hAnsi="Arial Narrow"/>
                            <w:sz w:val="16"/>
                            <w:szCs w:val="16"/>
                          </w:rPr>
                          <w:t xml:space="preserve">142 Thematic level </w:t>
                        </w:r>
                      </w:p>
                      <w:p w:rsidR="005D72C2" w:rsidRPr="00E846AE" w:rsidRDefault="005D72C2" w:rsidP="00A23C41">
                        <w:pPr>
                          <w:contextualSpacing/>
                          <w:jc w:val="center"/>
                          <w:rPr>
                            <w:rFonts w:ascii="Arial Narrow" w:hAnsi="Arial Narrow"/>
                            <w:sz w:val="16"/>
                            <w:szCs w:val="16"/>
                          </w:rPr>
                        </w:pPr>
                        <w:r>
                          <w:rPr>
                            <w:rFonts w:ascii="Arial Narrow" w:hAnsi="Arial Narrow"/>
                            <w:sz w:val="16"/>
                            <w:szCs w:val="16"/>
                          </w:rPr>
                          <w:t>6 Not available</w:t>
                        </w:r>
                      </w:p>
                    </w:txbxContent>
                  </v:textbox>
                </v:oval>
              </w:pict>
            </w:r>
          </w:p>
          <w:p w:rsidR="00A23C41" w:rsidRPr="00EF09A2" w:rsidRDefault="00A43E18" w:rsidP="00A23C41">
            <w:pPr>
              <w:rPr>
                <w:rFonts w:ascii="Arial" w:hAnsi="Arial" w:cs="Arial"/>
              </w:rPr>
            </w:pPr>
            <w:r>
              <w:rPr>
                <w:rFonts w:ascii="Arial" w:hAnsi="Arial" w:cs="Arial"/>
                <w:noProof/>
                <w:lang w:val="it-IT" w:eastAsia="it-IT"/>
              </w:rPr>
              <w:pict>
                <v:shape id="_x0000_s1109" type="#_x0000_t32" style="position:absolute;left:0;text-align:left;margin-left:255.3pt;margin-top:5.1pt;width:50.25pt;height:31.8pt;z-index:251721728" o:connectortype="straight">
                  <v:stroke endarrow="block"/>
                </v:shape>
              </w:pict>
            </w:r>
          </w:p>
          <w:p w:rsidR="00A23C41" w:rsidRPr="00EF09A2" w:rsidRDefault="00A23C41" w:rsidP="00A23C41">
            <w:pPr>
              <w:rPr>
                <w:rFonts w:ascii="Arial" w:hAnsi="Arial" w:cs="Arial"/>
              </w:rPr>
            </w:pPr>
          </w:p>
          <w:p w:rsidR="00A23C41" w:rsidRPr="00EF09A2" w:rsidRDefault="00A43E18" w:rsidP="00A23C41">
            <w:pPr>
              <w:rPr>
                <w:rFonts w:ascii="Arial" w:hAnsi="Arial" w:cs="Arial"/>
              </w:rPr>
            </w:pPr>
            <w:r>
              <w:rPr>
                <w:rFonts w:ascii="Arial" w:hAnsi="Arial" w:cs="Arial"/>
                <w:noProof/>
                <w:lang w:val="it-IT" w:eastAsia="it-IT"/>
              </w:rPr>
              <w:pict>
                <v:shape id="_x0000_s1102" type="#_x0000_t32" style="position:absolute;left:0;text-align:left;margin-left:120.3pt;margin-top:9.7pt;width:.75pt;height:28.35pt;flip:x;z-index:251714560" o:connectortype="straight">
                  <v:stroke endarrow="block"/>
                </v:shape>
              </w:pict>
            </w:r>
          </w:p>
          <w:p w:rsidR="00A23C41" w:rsidRPr="00EF09A2" w:rsidRDefault="00A23C41" w:rsidP="00A23C41">
            <w:pPr>
              <w:rPr>
                <w:rFonts w:ascii="Arial" w:hAnsi="Arial" w:cs="Arial"/>
              </w:rPr>
            </w:pPr>
          </w:p>
          <w:p w:rsidR="00A23C41" w:rsidRPr="00EF09A2" w:rsidRDefault="00A43E18" w:rsidP="00A23C41">
            <w:pPr>
              <w:rPr>
                <w:rFonts w:ascii="Arial" w:hAnsi="Arial" w:cs="Arial"/>
              </w:rPr>
            </w:pPr>
            <w:r>
              <w:rPr>
                <w:rFonts w:ascii="Arial" w:hAnsi="Arial" w:cs="Arial"/>
                <w:noProof/>
                <w:lang w:val="it-IT" w:eastAsia="it-IT"/>
              </w:rPr>
              <w:pict>
                <v:rect id="_x0000_s1099" style="position:absolute;left:0;text-align:left;margin-left:4.05pt;margin-top:9.85pt;width:243.75pt;height:54.8pt;z-index:251711488" fillcolor="#4f81bd [3204]" strokecolor="#f2f2f2 [3041]" strokeweight="3pt">
                  <v:shadow on="t" type="perspective" color="#243f60 [1604]" opacity=".5" offset="1pt" offset2="-1pt"/>
                  <v:textbox>
                    <w:txbxContent>
                      <w:p w:rsidR="005D72C2" w:rsidRPr="00041E3B" w:rsidRDefault="005D72C2" w:rsidP="00A23C41">
                        <w:pPr>
                          <w:contextualSpacing/>
                          <w:jc w:val="center"/>
                          <w:rPr>
                            <w:rFonts w:ascii="Arial Narrow" w:hAnsi="Arial Narrow"/>
                            <w:b/>
                            <w:color w:val="FFFFFF" w:themeColor="background1"/>
                            <w:sz w:val="18"/>
                            <w:szCs w:val="18"/>
                          </w:rPr>
                        </w:pPr>
                        <w:r>
                          <w:rPr>
                            <w:rFonts w:ascii="Arial Narrow" w:hAnsi="Arial Narrow"/>
                            <w:b/>
                            <w:color w:val="FFFFFF" w:themeColor="background1"/>
                            <w:sz w:val="18"/>
                            <w:szCs w:val="18"/>
                          </w:rPr>
                          <w:t>4.</w:t>
                        </w:r>
                        <w:r w:rsidRPr="00041E3B">
                          <w:rPr>
                            <w:rFonts w:ascii="Arial Narrow" w:hAnsi="Arial Narrow"/>
                            <w:b/>
                            <w:color w:val="FFFFFF" w:themeColor="background1"/>
                            <w:sz w:val="18"/>
                            <w:szCs w:val="18"/>
                          </w:rPr>
                          <w:t>CLASSIFICATION</w:t>
                        </w:r>
                      </w:p>
                      <w:p w:rsidR="005D72C2" w:rsidRPr="007356F1" w:rsidRDefault="005D72C2" w:rsidP="00A23C41">
                        <w:pPr>
                          <w:contextualSpacing/>
                          <w:jc w:val="center"/>
                          <w:rPr>
                            <w:rFonts w:ascii="Arial Narrow" w:hAnsi="Arial Narrow"/>
                            <w:b/>
                            <w:sz w:val="18"/>
                            <w:szCs w:val="18"/>
                          </w:rPr>
                        </w:pPr>
                        <w:r>
                          <w:rPr>
                            <w:rFonts w:ascii="Arial Narrow" w:hAnsi="Arial Narrow"/>
                            <w:sz w:val="18"/>
                            <w:szCs w:val="18"/>
                          </w:rPr>
                          <w:t xml:space="preserve">by </w:t>
                        </w:r>
                        <w:r w:rsidRPr="00027B3A">
                          <w:rPr>
                            <w:rFonts w:ascii="Arial Narrow" w:hAnsi="Arial Narrow"/>
                            <w:b/>
                            <w:sz w:val="18"/>
                            <w:szCs w:val="18"/>
                          </w:rPr>
                          <w:t>type of cooperation</w:t>
                        </w:r>
                        <w:r>
                          <w:rPr>
                            <w:rFonts w:ascii="Arial Narrow" w:hAnsi="Arial Narrow"/>
                            <w:sz w:val="18"/>
                            <w:szCs w:val="18"/>
                          </w:rPr>
                          <w:t xml:space="preserve">, </w:t>
                        </w:r>
                        <w:r w:rsidRPr="00B833A2">
                          <w:rPr>
                            <w:rFonts w:ascii="Arial Narrow" w:hAnsi="Arial Narrow"/>
                            <w:b/>
                            <w:sz w:val="18"/>
                            <w:szCs w:val="18"/>
                          </w:rPr>
                          <w:t>track,</w:t>
                        </w:r>
                        <w:r>
                          <w:rPr>
                            <w:rFonts w:ascii="Arial Narrow" w:hAnsi="Arial Narrow"/>
                            <w:sz w:val="18"/>
                            <w:szCs w:val="18"/>
                          </w:rPr>
                          <w:t xml:space="preserve"> </w:t>
                        </w:r>
                        <w:r w:rsidRPr="007356F1">
                          <w:rPr>
                            <w:rFonts w:ascii="Arial Narrow" w:hAnsi="Arial Narrow"/>
                            <w:b/>
                            <w:sz w:val="18"/>
                            <w:szCs w:val="18"/>
                          </w:rPr>
                          <w:t>mechanis</w:t>
                        </w:r>
                        <w:r>
                          <w:rPr>
                            <w:rFonts w:ascii="Arial Narrow" w:hAnsi="Arial Narrow"/>
                            <w:b/>
                            <w:sz w:val="18"/>
                            <w:szCs w:val="18"/>
                          </w:rPr>
                          <w:t>m</w:t>
                        </w:r>
                        <w:r w:rsidRPr="007356F1">
                          <w:rPr>
                            <w:rFonts w:ascii="Arial Narrow" w:hAnsi="Arial Narrow"/>
                            <w:b/>
                            <w:sz w:val="18"/>
                            <w:szCs w:val="18"/>
                          </w:rPr>
                          <w:t xml:space="preserve">, </w:t>
                        </w:r>
                        <w:r w:rsidRPr="00DA7E02">
                          <w:rPr>
                            <w:rFonts w:ascii="Arial Narrow" w:hAnsi="Arial Narrow"/>
                            <w:b/>
                            <w:sz w:val="18"/>
                            <w:szCs w:val="18"/>
                          </w:rPr>
                          <w:t>sector</w:t>
                        </w:r>
                        <w:r>
                          <w:rPr>
                            <w:rFonts w:ascii="Arial Narrow" w:hAnsi="Arial Narrow"/>
                            <w:b/>
                            <w:sz w:val="18"/>
                            <w:szCs w:val="18"/>
                          </w:rPr>
                          <w:t>, sub-sector,</w:t>
                        </w:r>
                        <w:r w:rsidRPr="00DA7E02">
                          <w:rPr>
                            <w:rFonts w:ascii="Arial Narrow" w:hAnsi="Arial Narrow"/>
                            <w:b/>
                            <w:sz w:val="18"/>
                            <w:szCs w:val="18"/>
                          </w:rPr>
                          <w:t xml:space="preserve"> </w:t>
                        </w:r>
                        <w:r w:rsidRPr="007356F1">
                          <w:rPr>
                            <w:rFonts w:ascii="Arial Narrow" w:hAnsi="Arial Narrow"/>
                            <w:b/>
                            <w:sz w:val="18"/>
                            <w:szCs w:val="18"/>
                          </w:rPr>
                          <w:t>natu</w:t>
                        </w:r>
                        <w:r>
                          <w:rPr>
                            <w:rFonts w:ascii="Arial Narrow" w:hAnsi="Arial Narrow"/>
                            <w:b/>
                            <w:sz w:val="18"/>
                            <w:szCs w:val="18"/>
                          </w:rPr>
                          <w:t xml:space="preserve">re of contract, type of aid, </w:t>
                        </w:r>
                        <w:r w:rsidRPr="007356F1">
                          <w:rPr>
                            <w:rFonts w:ascii="Arial Narrow" w:hAnsi="Arial Narrow"/>
                            <w:b/>
                            <w:sz w:val="18"/>
                            <w:szCs w:val="18"/>
                          </w:rPr>
                          <w:t>contracting party</w:t>
                        </w:r>
                        <w:r>
                          <w:rPr>
                            <w:rFonts w:ascii="Arial Narrow" w:hAnsi="Arial Narrow"/>
                            <w:b/>
                            <w:sz w:val="18"/>
                            <w:szCs w:val="18"/>
                          </w:rPr>
                          <w:t>, regional classification</w:t>
                        </w:r>
                      </w:p>
                    </w:txbxContent>
                  </v:textbox>
                </v:rect>
              </w:pict>
            </w:r>
          </w:p>
          <w:p w:rsidR="00A23C41" w:rsidRPr="00EF09A2" w:rsidRDefault="00A23C41" w:rsidP="00A23C41">
            <w:pPr>
              <w:rPr>
                <w:rFonts w:ascii="Arial" w:hAnsi="Arial" w:cs="Arial"/>
              </w:rPr>
            </w:pPr>
          </w:p>
          <w:p w:rsidR="00A23C41" w:rsidRPr="00EF09A2" w:rsidRDefault="00A23C41" w:rsidP="00A23C41">
            <w:pPr>
              <w:rPr>
                <w:rFonts w:ascii="Arial" w:hAnsi="Arial" w:cs="Arial"/>
              </w:rPr>
            </w:pPr>
          </w:p>
          <w:p w:rsidR="00A23C41" w:rsidRPr="00EF09A2" w:rsidRDefault="00A23C41" w:rsidP="00A23C41">
            <w:pPr>
              <w:rPr>
                <w:rFonts w:ascii="Arial" w:hAnsi="Arial" w:cs="Arial"/>
              </w:rPr>
            </w:pPr>
          </w:p>
          <w:p w:rsidR="00A23C41" w:rsidRPr="00EF09A2" w:rsidRDefault="00A43E18" w:rsidP="00A23C41">
            <w:pPr>
              <w:rPr>
                <w:rFonts w:ascii="Arial" w:hAnsi="Arial" w:cs="Arial"/>
              </w:rPr>
            </w:pPr>
            <w:r>
              <w:rPr>
                <w:rFonts w:ascii="Arial" w:hAnsi="Arial" w:cs="Arial"/>
                <w:noProof/>
                <w:lang w:val="it-IT" w:eastAsia="it-IT"/>
              </w:rPr>
              <w:pict>
                <v:shape id="_x0000_s1094" type="#_x0000_t32" style="position:absolute;left:0;text-align:left;margin-left:119.55pt;margin-top:1.1pt;width:0;height:28.65pt;z-index:251706368" o:connectortype="straight">
                  <v:stroke endarrow="block"/>
                </v:shape>
              </w:pict>
            </w:r>
          </w:p>
          <w:p w:rsidR="00A23C41" w:rsidRPr="00EF09A2" w:rsidRDefault="00A43E18" w:rsidP="00A23C41">
            <w:pPr>
              <w:rPr>
                <w:rFonts w:ascii="Arial" w:hAnsi="Arial" w:cs="Arial"/>
              </w:rPr>
            </w:pPr>
            <w:r>
              <w:rPr>
                <w:rFonts w:ascii="Arial" w:hAnsi="Arial" w:cs="Arial"/>
                <w:noProof/>
                <w:lang w:val="it-IT" w:eastAsia="it-IT"/>
              </w:rPr>
              <w:pict>
                <v:rect id="_x0000_s1103" style="position:absolute;left:0;text-align:left;margin-left:1.8pt;margin-top:16.45pt;width:249pt;height:45.15pt;z-index:251715584" fillcolor="#4f81bd [3204]" strokecolor="#f2f2f2 [3041]" strokeweight="3pt">
                  <v:shadow on="t" type="perspective" color="#243f60 [1604]" opacity=".5" offset="1pt" offset2="-1pt"/>
                  <v:textbox style="mso-next-textbox:#_x0000_s1103">
                    <w:txbxContent>
                      <w:p w:rsidR="005D72C2" w:rsidRPr="00041E3B" w:rsidRDefault="005D72C2" w:rsidP="00A23C41">
                        <w:pPr>
                          <w:contextualSpacing/>
                          <w:jc w:val="center"/>
                          <w:rPr>
                            <w:rFonts w:ascii="Arial Narrow" w:hAnsi="Arial Narrow"/>
                            <w:b/>
                            <w:color w:val="FFFFFF" w:themeColor="background1"/>
                            <w:sz w:val="18"/>
                            <w:szCs w:val="18"/>
                          </w:rPr>
                        </w:pPr>
                        <w:r>
                          <w:rPr>
                            <w:rFonts w:ascii="Arial Narrow" w:hAnsi="Arial Narrow"/>
                            <w:b/>
                            <w:color w:val="FFFFFF" w:themeColor="background1"/>
                            <w:sz w:val="18"/>
                            <w:szCs w:val="18"/>
                          </w:rPr>
                          <w:t>5.ENRICHMENT</w:t>
                        </w:r>
                      </w:p>
                      <w:p w:rsidR="005D72C2" w:rsidRPr="00B833A2" w:rsidRDefault="005D72C2" w:rsidP="00A23C41">
                        <w:pPr>
                          <w:contextualSpacing/>
                          <w:jc w:val="center"/>
                          <w:rPr>
                            <w:rFonts w:ascii="Arial Narrow" w:hAnsi="Arial Narrow"/>
                            <w:b/>
                            <w:sz w:val="18"/>
                            <w:szCs w:val="18"/>
                          </w:rPr>
                        </w:pPr>
                        <w:r w:rsidRPr="00B833A2">
                          <w:rPr>
                            <w:rFonts w:ascii="Arial Narrow" w:hAnsi="Arial Narrow"/>
                            <w:sz w:val="18"/>
                            <w:szCs w:val="18"/>
                          </w:rPr>
                          <w:t>The</w:t>
                        </w:r>
                        <w:r>
                          <w:rPr>
                            <w:rFonts w:ascii="Arial Narrow" w:hAnsi="Arial Narrow"/>
                            <w:b/>
                            <w:sz w:val="18"/>
                            <w:szCs w:val="18"/>
                          </w:rPr>
                          <w:t xml:space="preserve"> ECHO </w:t>
                        </w:r>
                        <w:r w:rsidRPr="00B833A2">
                          <w:rPr>
                            <w:rFonts w:ascii="Arial Narrow" w:hAnsi="Arial Narrow"/>
                            <w:b/>
                            <w:sz w:val="18"/>
                            <w:szCs w:val="18"/>
                          </w:rPr>
                          <w:t>interventions</w:t>
                        </w:r>
                        <w:r w:rsidRPr="00B833A2">
                          <w:rPr>
                            <w:rFonts w:ascii="Arial Narrow" w:hAnsi="Arial Narrow"/>
                            <w:sz w:val="18"/>
                            <w:szCs w:val="18"/>
                          </w:rPr>
                          <w:t xml:space="preserve"> have been added to the inventory</w:t>
                        </w:r>
                      </w:p>
                      <w:p w:rsidR="005D72C2" w:rsidRPr="000F60EB" w:rsidRDefault="005D72C2" w:rsidP="00A23C41">
                        <w:pPr>
                          <w:rPr>
                            <w:szCs w:val="18"/>
                          </w:rPr>
                        </w:pPr>
                      </w:p>
                    </w:txbxContent>
                  </v:textbox>
                </v:rect>
              </w:pict>
            </w:r>
          </w:p>
          <w:p w:rsidR="00A23C41" w:rsidRPr="00EF09A2" w:rsidRDefault="00A43E18" w:rsidP="00A23C41">
            <w:pPr>
              <w:rPr>
                <w:rFonts w:ascii="Arial" w:hAnsi="Arial" w:cs="Arial"/>
              </w:rPr>
            </w:pPr>
            <w:r>
              <w:rPr>
                <w:rFonts w:ascii="Arial" w:hAnsi="Arial" w:cs="Arial"/>
                <w:noProof/>
                <w:lang w:val="it-IT" w:eastAsia="it-IT"/>
              </w:rPr>
              <w:pict>
                <v:oval id="_x0000_s1106" style="position:absolute;left:0;text-align:left;margin-left:305.55pt;margin-top:7.7pt;width:127.65pt;height:28.5pt;z-index:251718656" fillcolor="white [3201]" strokecolor="#4f81bd [3204]" strokeweight="1pt">
                  <v:stroke dashstyle="dash" endcap="round"/>
                  <v:shadow color="#868686"/>
                  <v:textbox>
                    <w:txbxContent>
                      <w:p w:rsidR="005D72C2" w:rsidRPr="00E846AE" w:rsidRDefault="005D72C2" w:rsidP="00A23C41">
                        <w:pPr>
                          <w:contextualSpacing/>
                          <w:jc w:val="center"/>
                          <w:rPr>
                            <w:rFonts w:ascii="Arial Narrow" w:hAnsi="Arial Narrow"/>
                            <w:sz w:val="16"/>
                            <w:szCs w:val="16"/>
                          </w:rPr>
                        </w:pPr>
                        <w:r>
                          <w:rPr>
                            <w:rFonts w:ascii="Arial Narrow" w:hAnsi="Arial Narrow"/>
                            <w:sz w:val="16"/>
                            <w:szCs w:val="16"/>
                          </w:rPr>
                          <w:t>214</w:t>
                        </w:r>
                        <w:r w:rsidRPr="00E846AE">
                          <w:rPr>
                            <w:rFonts w:ascii="Arial Narrow" w:hAnsi="Arial Narrow"/>
                            <w:sz w:val="16"/>
                            <w:szCs w:val="16"/>
                          </w:rPr>
                          <w:t xml:space="preserve"> </w:t>
                        </w:r>
                        <w:r>
                          <w:rPr>
                            <w:rFonts w:ascii="Arial Narrow" w:hAnsi="Arial Narrow"/>
                            <w:sz w:val="16"/>
                            <w:szCs w:val="16"/>
                          </w:rPr>
                          <w:t xml:space="preserve">interventions </w:t>
                        </w:r>
                      </w:p>
                    </w:txbxContent>
                  </v:textbox>
                </v:oval>
              </w:pict>
            </w:r>
          </w:p>
          <w:p w:rsidR="00A23C41" w:rsidRPr="00EF09A2" w:rsidRDefault="00A43E18" w:rsidP="00A23C41">
            <w:pPr>
              <w:rPr>
                <w:rFonts w:ascii="Arial" w:hAnsi="Arial" w:cs="Arial"/>
              </w:rPr>
            </w:pPr>
            <w:r>
              <w:rPr>
                <w:rFonts w:ascii="Arial" w:hAnsi="Arial" w:cs="Arial"/>
                <w:noProof/>
                <w:lang w:val="it-IT" w:eastAsia="it-IT"/>
              </w:rPr>
              <w:pict>
                <v:shape id="_x0000_s1107" type="#_x0000_t32" style="position:absolute;left:0;text-align:left;margin-left:255.3pt;margin-top:3.25pt;width:45.75pt;height:.05pt;z-index:251719680" o:connectortype="straight">
                  <v:stroke endarrow="block"/>
                </v:shape>
              </w:pict>
            </w:r>
          </w:p>
          <w:p w:rsidR="00A23C41" w:rsidRPr="00EF09A2" w:rsidRDefault="00A43E18" w:rsidP="00A23C41">
            <w:pPr>
              <w:rPr>
                <w:rFonts w:ascii="Arial" w:hAnsi="Arial" w:cs="Arial"/>
              </w:rPr>
            </w:pPr>
            <w:r>
              <w:rPr>
                <w:rFonts w:ascii="Arial" w:hAnsi="Arial" w:cs="Arial"/>
                <w:noProof/>
                <w:lang w:val="it-IT" w:eastAsia="it-IT"/>
              </w:rPr>
              <w:pict>
                <v:shape id="_x0000_s1105" type="#_x0000_t32" style="position:absolute;left:0;text-align:left;margin-left:119.55pt;margin-top:12.5pt;width:0;height:24.4pt;z-index:251717632" o:connectortype="straight">
                  <v:stroke endarrow="block"/>
                </v:shape>
              </w:pict>
            </w:r>
          </w:p>
          <w:p w:rsidR="00A23C41" w:rsidRPr="00EF09A2" w:rsidRDefault="00A23C41" w:rsidP="00A23C41">
            <w:pPr>
              <w:rPr>
                <w:rFonts w:ascii="Arial" w:hAnsi="Arial" w:cs="Arial"/>
              </w:rPr>
            </w:pPr>
          </w:p>
          <w:p w:rsidR="00A23C41" w:rsidRPr="00EF09A2" w:rsidRDefault="00A43E18" w:rsidP="00A23C41">
            <w:pPr>
              <w:rPr>
                <w:rFonts w:ascii="Arial" w:hAnsi="Arial" w:cs="Arial"/>
              </w:rPr>
            </w:pPr>
            <w:r>
              <w:rPr>
                <w:rFonts w:ascii="Arial" w:hAnsi="Arial" w:cs="Arial"/>
                <w:noProof/>
                <w:lang w:val="it-IT" w:eastAsia="it-IT"/>
              </w:rPr>
              <w:pict>
                <v:oval id="_x0000_s1114" style="position:absolute;left:0;text-align:left;margin-left:305.55pt;margin-top:.75pt;width:127.65pt;height:50.5pt;z-index:251726848" fillcolor="white [3201]" strokecolor="#4f81bd [3204]" strokeweight="1pt">
                  <v:stroke dashstyle="dash" endcap="round"/>
                  <v:shadow color="#868686"/>
                  <v:textbox>
                    <w:txbxContent>
                      <w:p w:rsidR="005D72C2" w:rsidRPr="004042D1" w:rsidRDefault="005D72C2" w:rsidP="00A23C41">
                        <w:pPr>
                          <w:spacing w:before="0" w:after="0"/>
                          <w:rPr>
                            <w:rFonts w:ascii="Arial Narrow" w:hAnsi="Arial Narrow"/>
                            <w:sz w:val="16"/>
                            <w:szCs w:val="16"/>
                          </w:rPr>
                        </w:pPr>
                        <w:r w:rsidRPr="004042D1">
                          <w:rPr>
                            <w:rFonts w:ascii="Arial Narrow" w:hAnsi="Arial Narrow"/>
                            <w:sz w:val="16"/>
                            <w:szCs w:val="16"/>
                          </w:rPr>
                          <w:t xml:space="preserve">DEVCO </w:t>
                        </w:r>
                        <w:r>
                          <w:rPr>
                            <w:rFonts w:ascii="Arial Narrow" w:hAnsi="Arial Narrow"/>
                            <w:sz w:val="16"/>
                            <w:szCs w:val="16"/>
                          </w:rPr>
                          <w:tab/>
                        </w:r>
                        <w:r w:rsidRPr="004042D1">
                          <w:rPr>
                            <w:rFonts w:ascii="Arial Narrow" w:hAnsi="Arial Narrow"/>
                            <w:sz w:val="16"/>
                            <w:szCs w:val="16"/>
                          </w:rPr>
                          <w:t xml:space="preserve">108 contracts </w:t>
                        </w:r>
                      </w:p>
                      <w:p w:rsidR="005D72C2" w:rsidRPr="004042D1" w:rsidRDefault="005D72C2" w:rsidP="00A23C41">
                        <w:pPr>
                          <w:spacing w:before="0" w:after="0"/>
                          <w:rPr>
                            <w:rFonts w:ascii="Arial Narrow" w:hAnsi="Arial Narrow"/>
                            <w:sz w:val="16"/>
                            <w:szCs w:val="16"/>
                          </w:rPr>
                        </w:pPr>
                        <w:r w:rsidRPr="004042D1">
                          <w:rPr>
                            <w:rFonts w:ascii="Arial Narrow" w:hAnsi="Arial Narrow"/>
                            <w:sz w:val="16"/>
                            <w:szCs w:val="16"/>
                          </w:rPr>
                          <w:tab/>
                          <w:t>34 Decisions</w:t>
                        </w:r>
                      </w:p>
                      <w:p w:rsidR="005D72C2" w:rsidRPr="004042D1" w:rsidRDefault="005D72C2" w:rsidP="00A23C41">
                        <w:pPr>
                          <w:spacing w:before="0" w:after="0"/>
                          <w:rPr>
                            <w:rFonts w:ascii="Arial Narrow" w:hAnsi="Arial Narrow"/>
                            <w:sz w:val="16"/>
                            <w:szCs w:val="16"/>
                          </w:rPr>
                        </w:pPr>
                        <w:r w:rsidRPr="004042D1">
                          <w:rPr>
                            <w:rFonts w:ascii="Arial Narrow" w:hAnsi="Arial Narrow"/>
                            <w:sz w:val="16"/>
                            <w:szCs w:val="16"/>
                          </w:rPr>
                          <w:t xml:space="preserve">ECHO </w:t>
                        </w:r>
                        <w:r>
                          <w:rPr>
                            <w:rFonts w:ascii="Arial Narrow" w:hAnsi="Arial Narrow"/>
                            <w:sz w:val="16"/>
                            <w:szCs w:val="16"/>
                          </w:rPr>
                          <w:tab/>
                          <w:t>19</w:t>
                        </w:r>
                        <w:r w:rsidRPr="004042D1">
                          <w:rPr>
                            <w:rFonts w:ascii="Arial Narrow" w:hAnsi="Arial Narrow"/>
                            <w:sz w:val="16"/>
                            <w:szCs w:val="16"/>
                          </w:rPr>
                          <w:t xml:space="preserve"> Contracts </w:t>
                        </w:r>
                      </w:p>
                    </w:txbxContent>
                  </v:textbox>
                </v:oval>
              </w:pict>
            </w:r>
            <w:r>
              <w:rPr>
                <w:rFonts w:ascii="Arial" w:hAnsi="Arial" w:cs="Arial"/>
                <w:noProof/>
                <w:lang w:val="it-IT" w:eastAsia="it-IT"/>
              </w:rPr>
              <w:pict>
                <v:rect id="_x0000_s1104" style="position:absolute;left:0;text-align:left;margin-left:8.55pt;margin-top:6.1pt;width:246.75pt;height:45.15pt;z-index:251716608" fillcolor="#4f81bd [3204]" strokecolor="#f2f2f2 [3041]" strokeweight="3pt">
                  <v:shadow on="t" type="perspective" color="#243f60 [1604]" opacity=".5" offset="1pt" offset2="-1pt"/>
                  <v:textbox>
                    <w:txbxContent>
                      <w:p w:rsidR="005D72C2" w:rsidRDefault="005D72C2" w:rsidP="00A23C41">
                        <w:pPr>
                          <w:contextualSpacing/>
                          <w:jc w:val="center"/>
                          <w:rPr>
                            <w:rFonts w:ascii="Arial Narrow" w:hAnsi="Arial Narrow"/>
                            <w:b/>
                            <w:color w:val="FFFFFF" w:themeColor="background1"/>
                            <w:sz w:val="18"/>
                            <w:szCs w:val="18"/>
                          </w:rPr>
                        </w:pPr>
                        <w:r>
                          <w:rPr>
                            <w:rFonts w:ascii="Arial Narrow" w:hAnsi="Arial Narrow"/>
                            <w:b/>
                            <w:color w:val="FFFFFF" w:themeColor="background1"/>
                            <w:sz w:val="18"/>
                            <w:szCs w:val="18"/>
                          </w:rPr>
                          <w:t>6.</w:t>
                        </w:r>
                        <w:r w:rsidRPr="000F60EB">
                          <w:rPr>
                            <w:rFonts w:ascii="Arial Narrow" w:hAnsi="Arial Narrow"/>
                            <w:b/>
                            <w:color w:val="FFFFFF" w:themeColor="background1"/>
                            <w:sz w:val="18"/>
                            <w:szCs w:val="18"/>
                          </w:rPr>
                          <w:t>UPDATE</w:t>
                        </w:r>
                      </w:p>
                      <w:p w:rsidR="005D72C2" w:rsidRPr="000F60EB" w:rsidRDefault="005D72C2" w:rsidP="00A23C41">
                        <w:pPr>
                          <w:contextualSpacing/>
                          <w:jc w:val="center"/>
                          <w:rPr>
                            <w:rFonts w:ascii="Arial Narrow" w:hAnsi="Arial Narrow"/>
                            <w:sz w:val="18"/>
                            <w:szCs w:val="18"/>
                          </w:rPr>
                        </w:pPr>
                        <w:r w:rsidRPr="000F60EB">
                          <w:rPr>
                            <w:rFonts w:ascii="Arial Narrow" w:hAnsi="Arial Narrow"/>
                            <w:sz w:val="18"/>
                            <w:szCs w:val="18"/>
                          </w:rPr>
                          <w:t xml:space="preserve">The DEVCO and ECHO interventions have been updated up to </w:t>
                        </w:r>
                        <w:r w:rsidRPr="000F60EB">
                          <w:rPr>
                            <w:rFonts w:ascii="Arial Narrow" w:hAnsi="Arial Narrow"/>
                            <w:b/>
                            <w:sz w:val="18"/>
                            <w:szCs w:val="18"/>
                          </w:rPr>
                          <w:t>2013</w:t>
                        </w:r>
                        <w:r w:rsidRPr="000F60EB">
                          <w:rPr>
                            <w:rFonts w:ascii="Arial Narrow" w:hAnsi="Arial Narrow"/>
                            <w:sz w:val="18"/>
                            <w:szCs w:val="18"/>
                          </w:rPr>
                          <w:t xml:space="preserve"> </w:t>
                        </w:r>
                      </w:p>
                    </w:txbxContent>
                  </v:textbox>
                </v:rect>
              </w:pict>
            </w:r>
          </w:p>
          <w:p w:rsidR="00A23C41" w:rsidRPr="00EF09A2" w:rsidRDefault="00A43E18" w:rsidP="00A23C41">
            <w:pPr>
              <w:rPr>
                <w:rFonts w:ascii="Arial" w:hAnsi="Arial" w:cs="Arial"/>
              </w:rPr>
            </w:pPr>
            <w:r>
              <w:rPr>
                <w:rFonts w:ascii="Arial" w:hAnsi="Arial" w:cs="Arial"/>
                <w:noProof/>
                <w:lang w:val="it-IT" w:eastAsia="it-IT"/>
              </w:rPr>
              <w:pict>
                <v:shape id="_x0000_s1110" type="#_x0000_t32" style="position:absolute;left:0;text-align:left;margin-left:255.3pt;margin-top:12.15pt;width:48pt;height:0;z-index:251722752" o:connectortype="straight">
                  <v:stroke endarrow="block"/>
                </v:shape>
              </w:pict>
            </w:r>
          </w:p>
          <w:p w:rsidR="00A23C41" w:rsidRPr="00EF09A2" w:rsidRDefault="00A23C41" w:rsidP="00A23C41">
            <w:pPr>
              <w:rPr>
                <w:rFonts w:ascii="Arial" w:hAnsi="Arial" w:cs="Arial"/>
              </w:rPr>
            </w:pPr>
          </w:p>
          <w:p w:rsidR="00A23C41" w:rsidRPr="00EF09A2" w:rsidRDefault="00A23C41" w:rsidP="00A23C41">
            <w:pPr>
              <w:rPr>
                <w:rFonts w:ascii="Arial" w:hAnsi="Arial" w:cs="Arial"/>
              </w:rPr>
            </w:pPr>
          </w:p>
          <w:p w:rsidR="00A23C41" w:rsidRPr="00EF09A2" w:rsidRDefault="00A23C41" w:rsidP="00A23C41">
            <w:pPr>
              <w:rPr>
                <w:rFonts w:ascii="Arial" w:hAnsi="Arial" w:cs="Arial"/>
              </w:rPr>
            </w:pPr>
          </w:p>
        </w:tc>
      </w:tr>
    </w:tbl>
    <w:p w:rsidR="00A23C41" w:rsidRPr="00EF09A2" w:rsidRDefault="00A23C41" w:rsidP="00A23C41">
      <w:pPr>
        <w:spacing w:after="0"/>
        <w:rPr>
          <w:rFonts w:ascii="Arial" w:hAnsi="Arial" w:cs="Arial"/>
        </w:rPr>
      </w:pPr>
    </w:p>
    <w:p w:rsidR="00A23C41" w:rsidRPr="00EF09A2" w:rsidRDefault="00A23C41" w:rsidP="00A23C41">
      <w:pPr>
        <w:rPr>
          <w:rFonts w:ascii="Arial" w:hAnsi="Arial" w:cs="Arial"/>
          <w:b/>
          <w:sz w:val="24"/>
          <w:szCs w:val="24"/>
          <w:lang w:val="en-GB"/>
        </w:rPr>
      </w:pPr>
    </w:p>
    <w:p w:rsidR="00A23C41" w:rsidRPr="00EF09A2" w:rsidRDefault="00A23C41" w:rsidP="00A23C41">
      <w:pPr>
        <w:rPr>
          <w:rFonts w:ascii="Arial" w:hAnsi="Arial" w:cs="Arial"/>
          <w:smallCaps/>
          <w:color w:val="1F497D" w:themeColor="text2"/>
          <w:sz w:val="24"/>
          <w:szCs w:val="24"/>
          <w:lang w:val="en-GB"/>
        </w:rPr>
        <w:sectPr w:rsidR="00A23C41" w:rsidRPr="00EF09A2" w:rsidSect="00A23C41">
          <w:footerReference w:type="default" r:id="rId142"/>
          <w:pgSz w:w="11906" w:h="16838"/>
          <w:pgMar w:top="1417" w:right="1134" w:bottom="1134" w:left="1134" w:header="708" w:footer="708" w:gutter="0"/>
          <w:cols w:space="708"/>
          <w:docGrid w:linePitch="360"/>
        </w:sectPr>
      </w:pPr>
    </w:p>
    <w:p w:rsidR="00A23C41" w:rsidRPr="00EF09A2" w:rsidRDefault="00A23C41" w:rsidP="00A23C41">
      <w:pPr>
        <w:spacing w:before="0" w:after="0"/>
        <w:rPr>
          <w:rFonts w:ascii="Arial" w:hAnsi="Arial" w:cs="Arial"/>
          <w:b/>
          <w:smallCaps/>
          <w:color w:val="1F497D" w:themeColor="text2"/>
          <w:sz w:val="24"/>
          <w:szCs w:val="24"/>
          <w:lang w:val="en-GB"/>
        </w:rPr>
      </w:pPr>
      <w:bookmarkStart w:id="65" w:name="_Toc358819862"/>
      <w:r w:rsidRPr="00EF09A2">
        <w:rPr>
          <w:rFonts w:ascii="Arial" w:hAnsi="Arial" w:cs="Arial"/>
          <w:b/>
          <w:smallCaps/>
          <w:color w:val="1F497D" w:themeColor="text2"/>
          <w:sz w:val="24"/>
          <w:szCs w:val="24"/>
          <w:lang w:val="en-GB"/>
        </w:rPr>
        <w:lastRenderedPageBreak/>
        <w:t>Step 1: Data Extraction</w:t>
      </w:r>
      <w:bookmarkEnd w:id="65"/>
    </w:p>
    <w:p w:rsidR="00A23C41" w:rsidRPr="000937F6" w:rsidRDefault="00A23C41" w:rsidP="00A23C41">
      <w:pPr>
        <w:spacing w:before="0" w:after="0"/>
        <w:rPr>
          <w:rFonts w:ascii="Arial" w:hAnsi="Arial" w:cs="Arial"/>
          <w:sz w:val="22"/>
          <w:szCs w:val="22"/>
          <w:lang w:val="en-GB"/>
        </w:rPr>
      </w:pPr>
      <w:r w:rsidRPr="000937F6">
        <w:rPr>
          <w:rFonts w:ascii="Arial" w:hAnsi="Arial" w:cs="Arial"/>
          <w:sz w:val="22"/>
          <w:szCs w:val="22"/>
          <w:lang w:val="en-GB"/>
        </w:rPr>
        <w:t>Interventions undertaken in the Palestinian territories are included in various programmes at both country and multi-lateral level, as a result the first step aimed at including the largest possible sample of interventions in order to avoid the possible exclusion of  relevant interventions. To this end, all available data from Data Warehouse</w:t>
      </w:r>
      <w:r w:rsidRPr="000937F6">
        <w:rPr>
          <w:rStyle w:val="Rimandonotaapidipagina"/>
          <w:rFonts w:ascii="Arial" w:hAnsi="Arial" w:cs="Arial"/>
          <w:sz w:val="22"/>
          <w:szCs w:val="22"/>
        </w:rPr>
        <w:footnoteReference w:id="54"/>
      </w:r>
      <w:r w:rsidRPr="000937F6">
        <w:rPr>
          <w:rFonts w:ascii="Arial" w:hAnsi="Arial" w:cs="Arial"/>
          <w:sz w:val="22"/>
          <w:szCs w:val="22"/>
          <w:lang w:val="en-GB"/>
        </w:rPr>
        <w:t xml:space="preserve"> were extracted on the basis of the time criterion, i.e. the 2008-2012 period covered by the evaluation. The application of this first criterion gave a result of </w:t>
      </w:r>
      <w:r w:rsidRPr="000937F6">
        <w:rPr>
          <w:rFonts w:ascii="Arial" w:hAnsi="Arial" w:cs="Arial"/>
          <w:b/>
          <w:sz w:val="22"/>
          <w:szCs w:val="22"/>
          <w:lang w:val="en-GB"/>
        </w:rPr>
        <w:t>36.702 contracts</w:t>
      </w:r>
      <w:r w:rsidRPr="000937F6">
        <w:rPr>
          <w:rFonts w:ascii="Arial" w:hAnsi="Arial" w:cs="Arial"/>
          <w:sz w:val="22"/>
          <w:szCs w:val="22"/>
          <w:lang w:val="en-GB"/>
        </w:rPr>
        <w:t xml:space="preserve">.  </w:t>
      </w:r>
    </w:p>
    <w:p w:rsidR="00A23C41" w:rsidRPr="00EF09A2" w:rsidRDefault="00A23C41" w:rsidP="00A23C41">
      <w:pPr>
        <w:spacing w:before="0" w:after="0"/>
        <w:rPr>
          <w:rFonts w:ascii="Arial" w:hAnsi="Arial" w:cs="Arial"/>
          <w:b/>
          <w:smallCaps/>
          <w:color w:val="1F497D" w:themeColor="text2"/>
          <w:sz w:val="24"/>
          <w:szCs w:val="24"/>
          <w:lang w:val="en-GB"/>
        </w:rPr>
      </w:pPr>
    </w:p>
    <w:p w:rsidR="00A23C41" w:rsidRPr="00EF09A2" w:rsidRDefault="00A23C41" w:rsidP="00A23C41">
      <w:pPr>
        <w:spacing w:before="0" w:after="0"/>
        <w:rPr>
          <w:rFonts w:ascii="Arial" w:hAnsi="Arial" w:cs="Arial"/>
          <w:b/>
          <w:smallCaps/>
          <w:color w:val="1F497D" w:themeColor="text2"/>
          <w:sz w:val="24"/>
          <w:szCs w:val="24"/>
          <w:lang w:val="en-GB"/>
        </w:rPr>
      </w:pPr>
      <w:bookmarkStart w:id="66" w:name="_Toc358819863"/>
      <w:r w:rsidRPr="00EF09A2">
        <w:rPr>
          <w:rFonts w:ascii="Arial" w:hAnsi="Arial" w:cs="Arial"/>
          <w:b/>
          <w:smallCaps/>
          <w:color w:val="1F497D" w:themeColor="text2"/>
          <w:sz w:val="24"/>
          <w:szCs w:val="24"/>
          <w:lang w:val="en-GB"/>
        </w:rPr>
        <w:t>Step 2: Filtering process</w:t>
      </w:r>
      <w:bookmarkEnd w:id="66"/>
    </w:p>
    <w:p w:rsidR="00A23C41" w:rsidRPr="000937F6" w:rsidRDefault="00A23C41" w:rsidP="00A23C41">
      <w:pPr>
        <w:spacing w:before="0" w:after="0"/>
        <w:rPr>
          <w:rFonts w:ascii="Arial" w:hAnsi="Arial" w:cs="Arial"/>
          <w:sz w:val="22"/>
          <w:szCs w:val="22"/>
          <w:lang w:val="en-GB"/>
        </w:rPr>
      </w:pPr>
      <w:r w:rsidRPr="000937F6">
        <w:rPr>
          <w:rFonts w:ascii="Arial" w:hAnsi="Arial" w:cs="Arial"/>
          <w:sz w:val="22"/>
          <w:szCs w:val="22"/>
          <w:lang w:val="en-GB"/>
        </w:rPr>
        <w:t xml:space="preserve">This step consisted in applying two main intervention-filtering criteria through which the number of selected interventions was gradually reduced in order to match the scope of the evaluation. </w:t>
      </w:r>
    </w:p>
    <w:p w:rsidR="00A23C41" w:rsidRPr="000937F6" w:rsidRDefault="00A23C41" w:rsidP="00A23C41">
      <w:pPr>
        <w:spacing w:before="0" w:after="0"/>
        <w:rPr>
          <w:rFonts w:ascii="Arial" w:hAnsi="Arial" w:cs="Arial"/>
          <w:sz w:val="22"/>
          <w:szCs w:val="22"/>
          <w:lang w:val="en-GB"/>
        </w:rPr>
      </w:pPr>
    </w:p>
    <w:p w:rsidR="00A23C41" w:rsidRPr="000937F6" w:rsidRDefault="00A23C41" w:rsidP="00A23C41">
      <w:pPr>
        <w:spacing w:before="0" w:after="0"/>
        <w:rPr>
          <w:rFonts w:ascii="Arial" w:hAnsi="Arial" w:cs="Arial"/>
          <w:sz w:val="22"/>
          <w:szCs w:val="22"/>
          <w:lang w:val="en-GB"/>
        </w:rPr>
      </w:pPr>
      <w:r w:rsidRPr="000937F6">
        <w:rPr>
          <w:rFonts w:ascii="Arial" w:hAnsi="Arial" w:cs="Arial"/>
          <w:sz w:val="22"/>
          <w:szCs w:val="22"/>
          <w:lang w:val="en-GB"/>
        </w:rPr>
        <w:t xml:space="preserve">The first action undertaken was to remove the interventions that had been </w:t>
      </w:r>
      <w:r w:rsidR="00A96ED2">
        <w:rPr>
          <w:rFonts w:ascii="Arial" w:hAnsi="Arial" w:cs="Arial"/>
          <w:sz w:val="22"/>
          <w:szCs w:val="22"/>
          <w:lang w:val="en-GB"/>
        </w:rPr>
        <w:t>committed</w:t>
      </w:r>
      <w:r w:rsidRPr="000937F6">
        <w:rPr>
          <w:rFonts w:ascii="Arial" w:hAnsi="Arial" w:cs="Arial"/>
          <w:sz w:val="22"/>
          <w:szCs w:val="22"/>
          <w:lang w:val="en-GB"/>
        </w:rPr>
        <w:t>, but afterwards cancelled, for a total of 732</w:t>
      </w:r>
      <w:r w:rsidRPr="000937F6">
        <w:rPr>
          <w:rStyle w:val="Rimandonotaapidipagina"/>
          <w:rFonts w:ascii="Arial" w:hAnsi="Arial" w:cs="Arial"/>
          <w:sz w:val="22"/>
          <w:szCs w:val="22"/>
        </w:rPr>
        <w:footnoteReference w:id="55"/>
      </w:r>
      <w:r w:rsidRPr="000937F6">
        <w:rPr>
          <w:rFonts w:ascii="Arial" w:hAnsi="Arial" w:cs="Arial"/>
          <w:sz w:val="22"/>
          <w:szCs w:val="22"/>
          <w:lang w:val="en-GB"/>
        </w:rPr>
        <w:t xml:space="preserve">. </w:t>
      </w:r>
    </w:p>
    <w:p w:rsidR="00A23C41" w:rsidRPr="000937F6" w:rsidRDefault="00A23C41" w:rsidP="00A23C41">
      <w:pPr>
        <w:spacing w:before="0" w:after="0"/>
        <w:rPr>
          <w:rFonts w:ascii="Arial" w:hAnsi="Arial" w:cs="Arial"/>
          <w:sz w:val="22"/>
          <w:szCs w:val="22"/>
          <w:lang w:val="en-GB"/>
        </w:rPr>
      </w:pPr>
    </w:p>
    <w:p w:rsidR="00A23C41" w:rsidRPr="000937F6" w:rsidRDefault="00A23C41" w:rsidP="00A23C41">
      <w:pPr>
        <w:pStyle w:val="Paragrafoelenco"/>
        <w:numPr>
          <w:ilvl w:val="0"/>
          <w:numId w:val="4"/>
        </w:numPr>
        <w:spacing w:before="0" w:after="0"/>
        <w:rPr>
          <w:rFonts w:ascii="Arial" w:hAnsi="Arial" w:cs="Arial"/>
          <w:sz w:val="22"/>
          <w:szCs w:val="22"/>
          <w:lang w:val="en-GB"/>
        </w:rPr>
      </w:pPr>
      <w:r w:rsidRPr="000937F6">
        <w:rPr>
          <w:rFonts w:ascii="Arial" w:hAnsi="Arial" w:cs="Arial"/>
          <w:sz w:val="22"/>
          <w:szCs w:val="22"/>
          <w:lang w:val="en-GB"/>
        </w:rPr>
        <w:t xml:space="preserve">The number of remaining contracts after the removal of cancelled contracts was </w:t>
      </w:r>
      <w:r w:rsidRPr="000937F6">
        <w:rPr>
          <w:rFonts w:ascii="Arial" w:hAnsi="Arial" w:cs="Arial"/>
          <w:b/>
          <w:sz w:val="22"/>
          <w:szCs w:val="22"/>
          <w:lang w:val="en-GB"/>
        </w:rPr>
        <w:t>35.970</w:t>
      </w:r>
    </w:p>
    <w:p w:rsidR="00A23C41" w:rsidRPr="00EF09A2" w:rsidRDefault="00A23C41" w:rsidP="00A23C41">
      <w:pPr>
        <w:spacing w:before="0" w:after="0"/>
        <w:rPr>
          <w:rFonts w:ascii="Arial" w:hAnsi="Arial" w:cs="Arial"/>
          <w:b/>
          <w:i/>
          <w:color w:val="1F497D" w:themeColor="text2"/>
          <w:sz w:val="24"/>
          <w:szCs w:val="24"/>
          <w:lang w:val="en-GB"/>
        </w:rPr>
      </w:pPr>
    </w:p>
    <w:p w:rsidR="00A23C41" w:rsidRPr="000D7E7A" w:rsidRDefault="00A23C41" w:rsidP="00A23C41">
      <w:pPr>
        <w:spacing w:before="0" w:after="0"/>
        <w:rPr>
          <w:rFonts w:ascii="Arial" w:hAnsi="Arial" w:cs="Arial"/>
          <w:b/>
          <w:color w:val="1F497D" w:themeColor="text2"/>
          <w:sz w:val="22"/>
          <w:szCs w:val="22"/>
          <w:lang w:val="en-GB"/>
        </w:rPr>
      </w:pPr>
      <w:r w:rsidRPr="000D7E7A">
        <w:rPr>
          <w:rFonts w:ascii="Arial" w:hAnsi="Arial" w:cs="Arial"/>
          <w:b/>
          <w:color w:val="1F497D" w:themeColor="text2"/>
          <w:sz w:val="22"/>
          <w:szCs w:val="22"/>
          <w:lang w:val="en-GB"/>
        </w:rPr>
        <w:t xml:space="preserve">Geographical relevance </w:t>
      </w:r>
    </w:p>
    <w:p w:rsidR="00A23C41" w:rsidRPr="00C61A75" w:rsidRDefault="00A23C41" w:rsidP="00A23C41">
      <w:pPr>
        <w:spacing w:before="0" w:after="0"/>
        <w:rPr>
          <w:rFonts w:ascii="Arial" w:hAnsi="Arial" w:cs="Arial"/>
          <w:sz w:val="22"/>
          <w:szCs w:val="22"/>
          <w:lang w:val="en-GB"/>
        </w:rPr>
      </w:pPr>
      <w:r w:rsidRPr="00C61A75">
        <w:rPr>
          <w:rFonts w:ascii="Arial" w:hAnsi="Arial" w:cs="Arial"/>
          <w:sz w:val="22"/>
          <w:szCs w:val="22"/>
          <w:lang w:val="en-GB"/>
        </w:rPr>
        <w:t xml:space="preserve">Among the 35.970 contracts, an additional selection was done based on the criterion of the geographical relevance. Under this perspective two different screenings have been carried out in order to retrieve all interventions falling under the bilateral programmes, but also regional and multi-country programmes of significance for Palestine. </w:t>
      </w:r>
    </w:p>
    <w:p w:rsidR="00A23C41" w:rsidRPr="00C61A75" w:rsidRDefault="00A23C41" w:rsidP="00A23C41">
      <w:pPr>
        <w:spacing w:before="0" w:after="0"/>
        <w:rPr>
          <w:rFonts w:ascii="Arial" w:hAnsi="Arial" w:cs="Arial"/>
          <w:b/>
          <w:color w:val="1F497D" w:themeColor="text2"/>
          <w:sz w:val="22"/>
          <w:szCs w:val="22"/>
          <w:lang w:val="en-GB"/>
        </w:rPr>
      </w:pPr>
    </w:p>
    <w:p w:rsidR="00A23C41" w:rsidRPr="00C61A75" w:rsidRDefault="00A23C41" w:rsidP="00A23C41">
      <w:pPr>
        <w:spacing w:before="0" w:after="0"/>
        <w:rPr>
          <w:rFonts w:ascii="Arial" w:hAnsi="Arial" w:cs="Arial"/>
          <w:b/>
          <w:sz w:val="22"/>
          <w:szCs w:val="22"/>
          <w:lang w:val="en-GB"/>
        </w:rPr>
      </w:pPr>
      <w:r w:rsidRPr="00C61A75">
        <w:rPr>
          <w:rFonts w:ascii="Arial" w:hAnsi="Arial" w:cs="Arial"/>
          <w:b/>
          <w:sz w:val="22"/>
          <w:szCs w:val="22"/>
          <w:lang w:val="en-GB"/>
        </w:rPr>
        <w:t xml:space="preserve">Country level </w:t>
      </w:r>
    </w:p>
    <w:p w:rsidR="00A23C41" w:rsidRPr="00C61A75" w:rsidRDefault="00A23C41" w:rsidP="00A23C41">
      <w:pPr>
        <w:spacing w:before="0" w:after="0"/>
        <w:rPr>
          <w:rFonts w:ascii="Arial" w:hAnsi="Arial" w:cs="Arial"/>
          <w:sz w:val="22"/>
          <w:szCs w:val="22"/>
          <w:lang w:val="en-GB"/>
        </w:rPr>
      </w:pPr>
      <w:r w:rsidRPr="00C61A75">
        <w:rPr>
          <w:rFonts w:ascii="Arial" w:hAnsi="Arial" w:cs="Arial"/>
          <w:sz w:val="22"/>
          <w:szCs w:val="22"/>
          <w:lang w:val="en-GB"/>
        </w:rPr>
        <w:t xml:space="preserve">This was done firstly by looking at the column “Benefiting Zone” of the Data Warehouse database and selecting the interventions falling under the denomination “West Bank and Gaza Strip”(code PS). </w:t>
      </w:r>
    </w:p>
    <w:p w:rsidR="00A23C41" w:rsidRPr="00C61A75" w:rsidRDefault="00A23C41" w:rsidP="00A23C41">
      <w:pPr>
        <w:spacing w:before="0" w:after="0"/>
        <w:rPr>
          <w:rFonts w:ascii="Arial" w:hAnsi="Arial" w:cs="Arial"/>
          <w:sz w:val="22"/>
          <w:szCs w:val="22"/>
          <w:lang w:val="en-GB"/>
        </w:rPr>
      </w:pPr>
    </w:p>
    <w:p w:rsidR="00A23C41" w:rsidRPr="00C61A75" w:rsidRDefault="00A23C41" w:rsidP="00A23C41">
      <w:pPr>
        <w:pStyle w:val="Paragrafoelenco"/>
        <w:numPr>
          <w:ilvl w:val="0"/>
          <w:numId w:val="4"/>
        </w:numPr>
        <w:spacing w:before="0" w:after="0"/>
        <w:rPr>
          <w:rFonts w:ascii="Arial" w:hAnsi="Arial" w:cs="Arial"/>
          <w:b/>
          <w:sz w:val="22"/>
          <w:szCs w:val="22"/>
          <w:lang w:val="en-GB"/>
        </w:rPr>
      </w:pPr>
      <w:r w:rsidRPr="00C61A75">
        <w:rPr>
          <w:rFonts w:ascii="Arial" w:hAnsi="Arial" w:cs="Arial"/>
          <w:sz w:val="22"/>
          <w:szCs w:val="22"/>
          <w:lang w:val="en-GB"/>
        </w:rPr>
        <w:t xml:space="preserve">The number of contracts falling under the country level was </w:t>
      </w:r>
      <w:r w:rsidRPr="00C61A75">
        <w:rPr>
          <w:rFonts w:ascii="Arial" w:hAnsi="Arial" w:cs="Arial"/>
          <w:b/>
          <w:sz w:val="22"/>
          <w:szCs w:val="22"/>
          <w:lang w:val="en-GB"/>
        </w:rPr>
        <w:t>408.</w:t>
      </w:r>
    </w:p>
    <w:p w:rsidR="00A23C41" w:rsidRPr="00C61A75" w:rsidRDefault="00A23C41" w:rsidP="00A23C41">
      <w:pPr>
        <w:spacing w:before="0" w:after="0"/>
        <w:rPr>
          <w:rFonts w:ascii="Arial" w:hAnsi="Arial" w:cs="Arial"/>
          <w:b/>
          <w:color w:val="1F497D" w:themeColor="text2"/>
          <w:sz w:val="22"/>
          <w:szCs w:val="22"/>
          <w:lang w:val="en-GB"/>
        </w:rPr>
      </w:pPr>
    </w:p>
    <w:p w:rsidR="00A23C41" w:rsidRPr="00C61A75" w:rsidRDefault="00A23C41" w:rsidP="00A23C41">
      <w:pPr>
        <w:spacing w:before="0" w:after="0"/>
        <w:rPr>
          <w:rFonts w:ascii="Arial" w:hAnsi="Arial" w:cs="Arial"/>
          <w:b/>
          <w:sz w:val="22"/>
          <w:szCs w:val="22"/>
          <w:lang w:val="en-GB"/>
        </w:rPr>
      </w:pPr>
      <w:r w:rsidRPr="00C61A75">
        <w:rPr>
          <w:rFonts w:ascii="Arial" w:hAnsi="Arial" w:cs="Arial"/>
          <w:b/>
          <w:sz w:val="22"/>
          <w:szCs w:val="22"/>
          <w:lang w:val="en-GB"/>
        </w:rPr>
        <w:t xml:space="preserve">Regional and Multi-country level </w:t>
      </w:r>
    </w:p>
    <w:p w:rsidR="00A23C41" w:rsidRPr="00C61A75" w:rsidRDefault="00A23C41" w:rsidP="00A23C41">
      <w:pPr>
        <w:spacing w:before="0" w:after="0"/>
        <w:rPr>
          <w:rFonts w:ascii="Arial" w:hAnsi="Arial" w:cs="Arial"/>
          <w:sz w:val="22"/>
          <w:szCs w:val="22"/>
          <w:lang w:val="en-GB"/>
        </w:rPr>
      </w:pPr>
      <w:r w:rsidRPr="00C61A75">
        <w:rPr>
          <w:rFonts w:ascii="Arial" w:hAnsi="Arial" w:cs="Arial"/>
          <w:sz w:val="22"/>
          <w:szCs w:val="22"/>
          <w:lang w:val="en-GB"/>
        </w:rPr>
        <w:t>An additional screening from the 35.970 contracts was carried out in order to retrieve all interventions that are of relevance for the country, but not directly linked to Palestine by having a broader geographical scope (either a regional or a multi-country scope). These programmes are registered into the system with the following geographical definitions, that are also included under the column “Benefiting Zone”:</w:t>
      </w:r>
    </w:p>
    <w:p w:rsidR="00A23C41" w:rsidRPr="00C61A75" w:rsidRDefault="00A23C41" w:rsidP="00A23C41">
      <w:pPr>
        <w:spacing w:before="0" w:after="0"/>
        <w:rPr>
          <w:rFonts w:ascii="Arial" w:hAnsi="Arial" w:cs="Arial"/>
          <w:sz w:val="22"/>
          <w:szCs w:val="22"/>
          <w:lang w:val="en-GB"/>
        </w:rPr>
      </w:pPr>
    </w:p>
    <w:p w:rsidR="00A23C41" w:rsidRPr="00C61A75" w:rsidRDefault="00A23C41" w:rsidP="00A23C41">
      <w:pPr>
        <w:pStyle w:val="Paragrafoelenco"/>
        <w:numPr>
          <w:ilvl w:val="0"/>
          <w:numId w:val="2"/>
        </w:numPr>
        <w:spacing w:before="0" w:after="0"/>
        <w:rPr>
          <w:rFonts w:ascii="Arial" w:hAnsi="Arial" w:cs="Arial"/>
          <w:sz w:val="22"/>
          <w:szCs w:val="22"/>
          <w:lang w:val="en-GB"/>
        </w:rPr>
      </w:pPr>
      <w:r w:rsidRPr="00C61A75">
        <w:rPr>
          <w:rFonts w:ascii="Arial" w:hAnsi="Arial" w:cs="Arial"/>
          <w:sz w:val="22"/>
          <w:szCs w:val="22"/>
          <w:lang w:val="en-GB"/>
        </w:rPr>
        <w:t xml:space="preserve">All countries:(code TPS): 1.749 contracts </w:t>
      </w:r>
    </w:p>
    <w:p w:rsidR="00A23C41" w:rsidRPr="00C61A75" w:rsidRDefault="00A23C41" w:rsidP="00A23C41">
      <w:pPr>
        <w:pStyle w:val="Paragrafoelenco"/>
        <w:numPr>
          <w:ilvl w:val="0"/>
          <w:numId w:val="2"/>
        </w:numPr>
        <w:spacing w:before="0" w:after="0"/>
        <w:rPr>
          <w:rFonts w:ascii="Arial" w:hAnsi="Arial" w:cs="Arial"/>
          <w:sz w:val="22"/>
          <w:szCs w:val="22"/>
          <w:lang w:val="en-GB"/>
        </w:rPr>
      </w:pPr>
      <w:r w:rsidRPr="00C61A75">
        <w:rPr>
          <w:rFonts w:ascii="Arial" w:hAnsi="Arial" w:cs="Arial"/>
          <w:sz w:val="22"/>
          <w:szCs w:val="22"/>
          <w:lang w:val="en-GB"/>
        </w:rPr>
        <w:t>Mediterranean region(code RMD): 253 contracts</w:t>
      </w:r>
    </w:p>
    <w:p w:rsidR="00A23C41" w:rsidRPr="00C61A75" w:rsidRDefault="00A23C41" w:rsidP="00A23C41">
      <w:pPr>
        <w:pStyle w:val="Paragrafoelenco"/>
        <w:numPr>
          <w:ilvl w:val="0"/>
          <w:numId w:val="2"/>
        </w:numPr>
        <w:spacing w:before="0" w:after="0"/>
        <w:rPr>
          <w:rFonts w:ascii="Arial" w:hAnsi="Arial" w:cs="Arial"/>
          <w:sz w:val="22"/>
          <w:szCs w:val="22"/>
          <w:lang w:val="en-GB"/>
        </w:rPr>
      </w:pPr>
      <w:r w:rsidRPr="00C61A75">
        <w:rPr>
          <w:rFonts w:ascii="Arial" w:hAnsi="Arial" w:cs="Arial"/>
          <w:sz w:val="22"/>
          <w:szCs w:val="22"/>
          <w:lang w:val="en-GB"/>
        </w:rPr>
        <w:t xml:space="preserve">Near and Middle East(code PMO): 24 contracts </w:t>
      </w:r>
    </w:p>
    <w:p w:rsidR="00A23C41" w:rsidRPr="00C61A75" w:rsidRDefault="00A23C41" w:rsidP="00A23C41">
      <w:pPr>
        <w:pStyle w:val="Paragrafoelenco"/>
        <w:spacing w:before="0" w:after="0"/>
        <w:rPr>
          <w:rFonts w:ascii="Arial" w:hAnsi="Arial" w:cs="Arial"/>
          <w:sz w:val="22"/>
          <w:szCs w:val="22"/>
          <w:lang w:val="en-GB"/>
        </w:rPr>
      </w:pPr>
    </w:p>
    <w:p w:rsidR="00A23C41" w:rsidRPr="00C61A75" w:rsidRDefault="00A23C41" w:rsidP="00A23C41">
      <w:pPr>
        <w:pStyle w:val="Paragrafoelenco"/>
        <w:numPr>
          <w:ilvl w:val="0"/>
          <w:numId w:val="4"/>
        </w:numPr>
        <w:spacing w:before="0" w:after="0"/>
        <w:rPr>
          <w:rFonts w:ascii="Arial" w:hAnsi="Arial" w:cs="Arial"/>
          <w:b/>
          <w:sz w:val="22"/>
          <w:szCs w:val="22"/>
          <w:lang w:val="en-GB"/>
        </w:rPr>
      </w:pPr>
      <w:r w:rsidRPr="00C61A75">
        <w:rPr>
          <w:rFonts w:ascii="Arial" w:hAnsi="Arial" w:cs="Arial"/>
          <w:sz w:val="22"/>
          <w:szCs w:val="22"/>
          <w:lang w:val="en-GB"/>
        </w:rPr>
        <w:t xml:space="preserve">The number of contracts obtained from this selection was </w:t>
      </w:r>
      <w:r w:rsidRPr="00C61A75">
        <w:rPr>
          <w:rFonts w:ascii="Arial" w:hAnsi="Arial" w:cs="Arial"/>
          <w:b/>
          <w:sz w:val="22"/>
          <w:szCs w:val="22"/>
          <w:lang w:val="en-GB"/>
        </w:rPr>
        <w:t>2.026</w:t>
      </w:r>
    </w:p>
    <w:p w:rsidR="00A23C41" w:rsidRPr="00C61A75" w:rsidRDefault="00A23C41" w:rsidP="00A23C41">
      <w:pPr>
        <w:spacing w:before="0" w:after="0"/>
        <w:rPr>
          <w:rFonts w:ascii="Arial" w:hAnsi="Arial" w:cs="Arial"/>
          <w:sz w:val="22"/>
          <w:szCs w:val="22"/>
          <w:lang w:val="en-GB"/>
        </w:rPr>
      </w:pPr>
      <w:r w:rsidRPr="00C61A75">
        <w:rPr>
          <w:rFonts w:ascii="Arial" w:hAnsi="Arial" w:cs="Arial"/>
          <w:sz w:val="22"/>
          <w:szCs w:val="22"/>
          <w:lang w:val="en-GB"/>
        </w:rPr>
        <w:t xml:space="preserve">The selection of relevant contracts at regional and multi-country level has been refined following several criteria: </w:t>
      </w:r>
    </w:p>
    <w:p w:rsidR="00A23C41" w:rsidRPr="00C61A75" w:rsidRDefault="00A23C41" w:rsidP="00A23C41">
      <w:pPr>
        <w:pStyle w:val="Paragrafoelenco"/>
        <w:numPr>
          <w:ilvl w:val="0"/>
          <w:numId w:val="3"/>
        </w:numPr>
        <w:spacing w:before="0" w:after="0"/>
        <w:rPr>
          <w:rFonts w:ascii="Arial" w:hAnsi="Arial" w:cs="Arial"/>
          <w:sz w:val="22"/>
          <w:szCs w:val="22"/>
          <w:lang w:val="en-GB"/>
        </w:rPr>
      </w:pPr>
      <w:r w:rsidRPr="00C61A75">
        <w:rPr>
          <w:rFonts w:ascii="Arial" w:hAnsi="Arial" w:cs="Arial"/>
          <w:sz w:val="22"/>
          <w:szCs w:val="22"/>
          <w:lang w:val="en-GB"/>
        </w:rPr>
        <w:t>Financing instrument: 327 contracts have been excluded since they fall under financing instruments with a geographic or thematic reference that is clearly out of the scope of the evaluation</w:t>
      </w:r>
      <w:r w:rsidRPr="00C61A75">
        <w:rPr>
          <w:rStyle w:val="Rimandonotaapidipagina"/>
          <w:rFonts w:ascii="Arial" w:hAnsi="Arial" w:cs="Arial"/>
          <w:sz w:val="22"/>
          <w:szCs w:val="22"/>
        </w:rPr>
        <w:footnoteReference w:id="56"/>
      </w:r>
      <w:r w:rsidRPr="00C61A75">
        <w:rPr>
          <w:rFonts w:ascii="Arial" w:hAnsi="Arial" w:cs="Arial"/>
          <w:sz w:val="22"/>
          <w:szCs w:val="22"/>
          <w:lang w:val="en-GB"/>
        </w:rPr>
        <w:t xml:space="preserve"> or those ones under financing instruments corresponding to pure administrative procedures</w:t>
      </w:r>
      <w:r w:rsidRPr="00C61A75">
        <w:rPr>
          <w:rStyle w:val="Rimandonotaapidipagina"/>
          <w:rFonts w:ascii="Arial" w:hAnsi="Arial" w:cs="Arial"/>
          <w:sz w:val="22"/>
          <w:szCs w:val="22"/>
        </w:rPr>
        <w:footnoteReference w:id="57"/>
      </w:r>
      <w:r w:rsidRPr="00C61A75">
        <w:rPr>
          <w:rFonts w:ascii="Arial" w:hAnsi="Arial" w:cs="Arial"/>
          <w:sz w:val="22"/>
          <w:szCs w:val="22"/>
          <w:lang w:val="en-GB"/>
        </w:rPr>
        <w:t xml:space="preserve">; </w:t>
      </w:r>
    </w:p>
    <w:p w:rsidR="00A23C41" w:rsidRPr="00C61A75" w:rsidRDefault="00A23C41" w:rsidP="00A23C41">
      <w:pPr>
        <w:pStyle w:val="Paragrafoelenco"/>
        <w:numPr>
          <w:ilvl w:val="0"/>
          <w:numId w:val="3"/>
        </w:numPr>
        <w:spacing w:before="0" w:after="0"/>
        <w:rPr>
          <w:rFonts w:ascii="Arial" w:hAnsi="Arial" w:cs="Arial"/>
          <w:sz w:val="22"/>
          <w:szCs w:val="22"/>
          <w:lang w:val="en-GB"/>
        </w:rPr>
      </w:pPr>
      <w:r w:rsidRPr="00C61A75">
        <w:rPr>
          <w:rFonts w:ascii="Arial" w:hAnsi="Arial" w:cs="Arial"/>
          <w:sz w:val="22"/>
          <w:szCs w:val="22"/>
          <w:lang w:val="en-GB"/>
        </w:rPr>
        <w:t>Project title</w:t>
      </w:r>
    </w:p>
    <w:p w:rsidR="00A23C41" w:rsidRPr="00C61A75" w:rsidRDefault="00A23C41" w:rsidP="00A23C41">
      <w:pPr>
        <w:pStyle w:val="Paragrafoelenco"/>
        <w:numPr>
          <w:ilvl w:val="0"/>
          <w:numId w:val="3"/>
        </w:numPr>
        <w:spacing w:before="0" w:after="0"/>
        <w:rPr>
          <w:rFonts w:ascii="Arial" w:hAnsi="Arial" w:cs="Arial"/>
          <w:sz w:val="22"/>
          <w:szCs w:val="22"/>
          <w:lang w:val="en-GB"/>
        </w:rPr>
      </w:pPr>
      <w:r w:rsidRPr="00C61A75">
        <w:rPr>
          <w:rFonts w:ascii="Arial" w:hAnsi="Arial" w:cs="Arial"/>
          <w:sz w:val="22"/>
          <w:szCs w:val="22"/>
          <w:lang w:val="en-GB"/>
        </w:rPr>
        <w:lastRenderedPageBreak/>
        <w:t xml:space="preserve">Key words: Partnership for Peace, Tempus, </w:t>
      </w:r>
      <w:proofErr w:type="spellStart"/>
      <w:r w:rsidRPr="00C61A75">
        <w:rPr>
          <w:rFonts w:ascii="Arial" w:hAnsi="Arial" w:cs="Arial"/>
          <w:sz w:val="22"/>
          <w:szCs w:val="22"/>
          <w:lang w:val="en-GB"/>
        </w:rPr>
        <w:t>Euromed</w:t>
      </w:r>
      <w:proofErr w:type="spellEnd"/>
      <w:r w:rsidRPr="00C61A75">
        <w:rPr>
          <w:rFonts w:ascii="Arial" w:hAnsi="Arial" w:cs="Arial"/>
          <w:sz w:val="22"/>
          <w:szCs w:val="22"/>
          <w:lang w:val="en-GB"/>
        </w:rPr>
        <w:t xml:space="preserve"> Youth</w:t>
      </w:r>
      <w:r w:rsidRPr="00C61A75">
        <w:rPr>
          <w:rStyle w:val="Rimandonotaapidipagina"/>
          <w:rFonts w:ascii="Arial" w:hAnsi="Arial" w:cs="Arial"/>
          <w:sz w:val="22"/>
          <w:szCs w:val="22"/>
        </w:rPr>
        <w:footnoteReference w:id="58"/>
      </w:r>
    </w:p>
    <w:p w:rsidR="00A23C41" w:rsidRPr="00C61A75" w:rsidRDefault="00A23C41" w:rsidP="00A23C41">
      <w:pPr>
        <w:pStyle w:val="Paragrafoelenco"/>
        <w:numPr>
          <w:ilvl w:val="0"/>
          <w:numId w:val="3"/>
        </w:numPr>
        <w:spacing w:before="0" w:after="0"/>
        <w:rPr>
          <w:rFonts w:ascii="Arial" w:hAnsi="Arial" w:cs="Arial"/>
          <w:sz w:val="22"/>
          <w:szCs w:val="22"/>
          <w:lang w:val="it-IT"/>
        </w:rPr>
      </w:pPr>
      <w:proofErr w:type="spellStart"/>
      <w:r w:rsidRPr="00C61A75">
        <w:rPr>
          <w:rFonts w:ascii="Arial" w:hAnsi="Arial" w:cs="Arial"/>
          <w:sz w:val="22"/>
          <w:szCs w:val="22"/>
          <w:lang w:val="it-IT"/>
        </w:rPr>
        <w:t>Delegation</w:t>
      </w:r>
      <w:proofErr w:type="spellEnd"/>
      <w:r w:rsidRPr="00C61A75">
        <w:rPr>
          <w:rFonts w:ascii="Arial" w:hAnsi="Arial" w:cs="Arial"/>
          <w:sz w:val="22"/>
          <w:szCs w:val="22"/>
          <w:lang w:val="it-IT"/>
        </w:rPr>
        <w:t xml:space="preserve"> in </w:t>
      </w:r>
      <w:proofErr w:type="spellStart"/>
      <w:r w:rsidRPr="00C61A75">
        <w:rPr>
          <w:rFonts w:ascii="Arial" w:hAnsi="Arial" w:cs="Arial"/>
          <w:sz w:val="22"/>
          <w:szCs w:val="22"/>
          <w:lang w:val="it-IT"/>
        </w:rPr>
        <w:t>charge</w:t>
      </w:r>
      <w:proofErr w:type="spellEnd"/>
      <w:r w:rsidRPr="00C61A75">
        <w:rPr>
          <w:rFonts w:ascii="Arial" w:hAnsi="Arial" w:cs="Arial"/>
          <w:sz w:val="22"/>
          <w:szCs w:val="22"/>
          <w:lang w:val="it-IT"/>
        </w:rPr>
        <w:t xml:space="preserve">: </w:t>
      </w:r>
      <w:proofErr w:type="spellStart"/>
      <w:r w:rsidRPr="00C61A75">
        <w:rPr>
          <w:rFonts w:ascii="Arial" w:hAnsi="Arial" w:cs="Arial"/>
          <w:sz w:val="22"/>
          <w:szCs w:val="22"/>
          <w:lang w:val="it-IT"/>
        </w:rPr>
        <w:t>Palestine</w:t>
      </w:r>
      <w:proofErr w:type="spellEnd"/>
      <w:r w:rsidRPr="00C61A75">
        <w:rPr>
          <w:rFonts w:ascii="Arial" w:hAnsi="Arial" w:cs="Arial"/>
          <w:sz w:val="22"/>
          <w:szCs w:val="22"/>
          <w:lang w:val="it-IT"/>
        </w:rPr>
        <w:t xml:space="preserve">, </w:t>
      </w:r>
      <w:proofErr w:type="spellStart"/>
      <w:r w:rsidRPr="00C61A75">
        <w:rPr>
          <w:rFonts w:ascii="Arial" w:hAnsi="Arial" w:cs="Arial"/>
          <w:sz w:val="22"/>
          <w:szCs w:val="22"/>
          <w:lang w:val="it-IT"/>
        </w:rPr>
        <w:t>Egypt</w:t>
      </w:r>
      <w:proofErr w:type="spellEnd"/>
      <w:r w:rsidRPr="00C61A75">
        <w:rPr>
          <w:rFonts w:ascii="Arial" w:hAnsi="Arial" w:cs="Arial"/>
          <w:sz w:val="22"/>
          <w:szCs w:val="22"/>
          <w:lang w:val="it-IT"/>
        </w:rPr>
        <w:t xml:space="preserve">, Jordan, Israel, </w:t>
      </w:r>
      <w:proofErr w:type="spellStart"/>
      <w:r w:rsidRPr="00C61A75">
        <w:rPr>
          <w:rFonts w:ascii="Arial" w:hAnsi="Arial" w:cs="Arial"/>
          <w:sz w:val="22"/>
          <w:szCs w:val="22"/>
          <w:lang w:val="it-IT"/>
        </w:rPr>
        <w:t>Lebanon</w:t>
      </w:r>
      <w:proofErr w:type="spellEnd"/>
      <w:r w:rsidRPr="00C61A75">
        <w:rPr>
          <w:rFonts w:ascii="Arial" w:hAnsi="Arial" w:cs="Arial"/>
          <w:sz w:val="22"/>
          <w:szCs w:val="22"/>
          <w:lang w:val="it-IT"/>
        </w:rPr>
        <w:t>, Syria</w:t>
      </w:r>
      <w:r w:rsidRPr="00C61A75">
        <w:rPr>
          <w:rStyle w:val="Rimandonotaapidipagina"/>
          <w:rFonts w:ascii="Arial" w:hAnsi="Arial" w:cs="Arial"/>
          <w:sz w:val="22"/>
          <w:szCs w:val="22"/>
        </w:rPr>
        <w:footnoteReference w:id="59"/>
      </w:r>
      <w:r w:rsidRPr="00C61A75">
        <w:rPr>
          <w:rFonts w:ascii="Arial" w:hAnsi="Arial" w:cs="Arial"/>
          <w:sz w:val="22"/>
          <w:szCs w:val="22"/>
          <w:lang w:val="it-IT"/>
        </w:rPr>
        <w:t xml:space="preserve">. </w:t>
      </w:r>
    </w:p>
    <w:p w:rsidR="00A23C41" w:rsidRPr="00C61A75" w:rsidRDefault="00A23C41" w:rsidP="00A23C41">
      <w:pPr>
        <w:spacing w:before="0" w:after="0"/>
        <w:rPr>
          <w:rFonts w:ascii="Arial" w:hAnsi="Arial" w:cs="Arial"/>
          <w:sz w:val="22"/>
          <w:szCs w:val="22"/>
          <w:lang w:val="it-IT"/>
        </w:rPr>
      </w:pPr>
    </w:p>
    <w:p w:rsidR="00A23C41" w:rsidRPr="00C61A75" w:rsidRDefault="00A23C41" w:rsidP="00A23C41">
      <w:pPr>
        <w:spacing w:before="0" w:after="0"/>
        <w:rPr>
          <w:rFonts w:ascii="Arial" w:hAnsi="Arial" w:cs="Arial"/>
          <w:sz w:val="22"/>
          <w:szCs w:val="22"/>
          <w:lang w:val="en-GB"/>
        </w:rPr>
      </w:pPr>
      <w:r w:rsidRPr="00C61A75">
        <w:rPr>
          <w:rFonts w:ascii="Arial" w:hAnsi="Arial" w:cs="Arial"/>
          <w:sz w:val="22"/>
          <w:szCs w:val="22"/>
          <w:lang w:val="en-GB"/>
        </w:rPr>
        <w:t xml:space="preserve">The above mentioned criteria are based on relevant programmes for Palestine, including also those programmes corresponding to neighbouring areas that have a close relation with the Palestinian territories and people. </w:t>
      </w:r>
    </w:p>
    <w:p w:rsidR="00A23C41" w:rsidRPr="00C61A75" w:rsidRDefault="00A23C41" w:rsidP="00A23C41">
      <w:pPr>
        <w:spacing w:before="0" w:after="0"/>
        <w:rPr>
          <w:rFonts w:ascii="Arial" w:hAnsi="Arial" w:cs="Arial"/>
          <w:sz w:val="22"/>
          <w:szCs w:val="22"/>
          <w:lang w:val="en-GB"/>
        </w:rPr>
      </w:pPr>
    </w:p>
    <w:p w:rsidR="00A23C41" w:rsidRPr="00C61A75" w:rsidRDefault="00A23C41" w:rsidP="00A23C41">
      <w:pPr>
        <w:pStyle w:val="Paragrafoelenco"/>
        <w:numPr>
          <w:ilvl w:val="0"/>
          <w:numId w:val="4"/>
        </w:numPr>
        <w:spacing w:before="0" w:after="0"/>
        <w:rPr>
          <w:rFonts w:ascii="Arial" w:hAnsi="Arial" w:cs="Arial"/>
          <w:sz w:val="22"/>
          <w:szCs w:val="22"/>
          <w:lang w:val="en-GB"/>
        </w:rPr>
      </w:pPr>
      <w:r w:rsidRPr="00C61A75">
        <w:rPr>
          <w:rFonts w:ascii="Arial" w:hAnsi="Arial" w:cs="Arial"/>
          <w:sz w:val="22"/>
          <w:szCs w:val="22"/>
          <w:lang w:val="en-GB"/>
        </w:rPr>
        <w:t xml:space="preserve">The number of relevant contracts obtained following this selection was </w:t>
      </w:r>
      <w:r w:rsidRPr="00C61A75">
        <w:rPr>
          <w:rFonts w:ascii="Arial" w:hAnsi="Arial" w:cs="Arial"/>
          <w:b/>
          <w:sz w:val="22"/>
          <w:szCs w:val="22"/>
          <w:lang w:val="en-GB"/>
        </w:rPr>
        <w:t>72</w:t>
      </w:r>
      <w:r w:rsidRPr="00C61A75">
        <w:rPr>
          <w:rFonts w:ascii="Arial" w:hAnsi="Arial" w:cs="Arial"/>
          <w:sz w:val="22"/>
          <w:szCs w:val="22"/>
          <w:lang w:val="en-GB"/>
        </w:rPr>
        <w:t>, as follows :</w:t>
      </w:r>
    </w:p>
    <w:p w:rsidR="00A23C41" w:rsidRPr="00C61A75" w:rsidRDefault="00A23C41" w:rsidP="00A23C41">
      <w:pPr>
        <w:pStyle w:val="Paragrafoelenco"/>
        <w:numPr>
          <w:ilvl w:val="0"/>
          <w:numId w:val="2"/>
        </w:numPr>
        <w:spacing w:before="0" w:after="0"/>
        <w:rPr>
          <w:rFonts w:ascii="Arial" w:hAnsi="Arial" w:cs="Arial"/>
          <w:sz w:val="22"/>
          <w:szCs w:val="22"/>
          <w:lang w:val="en-GB"/>
        </w:rPr>
      </w:pPr>
      <w:r w:rsidRPr="00C61A75">
        <w:rPr>
          <w:rFonts w:ascii="Arial" w:hAnsi="Arial" w:cs="Arial"/>
          <w:sz w:val="22"/>
          <w:szCs w:val="22"/>
          <w:lang w:val="en-GB"/>
        </w:rPr>
        <w:t>All countries: 14</w:t>
      </w:r>
    </w:p>
    <w:p w:rsidR="00A23C41" w:rsidRPr="00C61A75" w:rsidRDefault="00A23C41" w:rsidP="00A23C41">
      <w:pPr>
        <w:pStyle w:val="Paragrafoelenco"/>
        <w:numPr>
          <w:ilvl w:val="0"/>
          <w:numId w:val="2"/>
        </w:numPr>
        <w:spacing w:before="0" w:after="0"/>
        <w:rPr>
          <w:rFonts w:ascii="Arial" w:hAnsi="Arial" w:cs="Arial"/>
          <w:sz w:val="22"/>
          <w:szCs w:val="22"/>
          <w:lang w:val="en-GB"/>
        </w:rPr>
      </w:pPr>
      <w:r w:rsidRPr="00C61A75">
        <w:rPr>
          <w:rFonts w:ascii="Arial" w:hAnsi="Arial" w:cs="Arial"/>
          <w:sz w:val="22"/>
          <w:szCs w:val="22"/>
          <w:lang w:val="en-GB"/>
        </w:rPr>
        <w:t>Mediterranean region: 39</w:t>
      </w:r>
    </w:p>
    <w:p w:rsidR="00A23C41" w:rsidRPr="00C61A75" w:rsidRDefault="00A23C41" w:rsidP="00A23C41">
      <w:pPr>
        <w:pStyle w:val="Paragrafoelenco"/>
        <w:numPr>
          <w:ilvl w:val="0"/>
          <w:numId w:val="2"/>
        </w:numPr>
        <w:spacing w:before="0" w:after="0"/>
        <w:rPr>
          <w:rFonts w:ascii="Arial" w:hAnsi="Arial" w:cs="Arial"/>
          <w:sz w:val="22"/>
          <w:szCs w:val="22"/>
          <w:lang w:val="en-GB"/>
        </w:rPr>
      </w:pPr>
      <w:r w:rsidRPr="00C61A75">
        <w:rPr>
          <w:rFonts w:ascii="Arial" w:hAnsi="Arial" w:cs="Arial"/>
          <w:sz w:val="22"/>
          <w:szCs w:val="22"/>
          <w:lang w:val="en-GB"/>
        </w:rPr>
        <w:t>Near and Middle East: 19</w:t>
      </w:r>
    </w:p>
    <w:p w:rsidR="00A23C41" w:rsidRPr="00EF09A2" w:rsidRDefault="00A23C41" w:rsidP="00A23C41">
      <w:pPr>
        <w:pStyle w:val="Paragrafoelenco"/>
        <w:spacing w:before="0" w:after="0"/>
        <w:rPr>
          <w:rFonts w:ascii="Arial" w:hAnsi="Arial" w:cs="Arial"/>
          <w:sz w:val="24"/>
          <w:szCs w:val="24"/>
          <w:lang w:val="en-GB"/>
        </w:rPr>
      </w:pPr>
    </w:p>
    <w:p w:rsidR="00A23C41" w:rsidRPr="00EF09A2" w:rsidRDefault="00A23C41" w:rsidP="00A23C41">
      <w:pPr>
        <w:spacing w:before="0" w:after="0"/>
        <w:rPr>
          <w:rFonts w:ascii="Arial" w:hAnsi="Arial" w:cs="Arial"/>
          <w:b/>
          <w:smallCaps/>
          <w:color w:val="1F497D" w:themeColor="text2"/>
          <w:sz w:val="24"/>
          <w:szCs w:val="24"/>
          <w:lang w:val="en-GB"/>
        </w:rPr>
      </w:pPr>
      <w:bookmarkStart w:id="67" w:name="_Toc358819864"/>
      <w:r w:rsidRPr="00EF09A2">
        <w:rPr>
          <w:rFonts w:ascii="Arial" w:hAnsi="Arial" w:cs="Arial"/>
          <w:b/>
          <w:smallCaps/>
          <w:color w:val="1F497D" w:themeColor="text2"/>
          <w:sz w:val="24"/>
          <w:szCs w:val="24"/>
          <w:lang w:val="en-GB"/>
        </w:rPr>
        <w:t>Step 3. Data Validation process</w:t>
      </w:r>
      <w:bookmarkEnd w:id="67"/>
    </w:p>
    <w:p w:rsidR="00A23C41" w:rsidRPr="00C61A75" w:rsidRDefault="00A23C41" w:rsidP="00A23C41">
      <w:pPr>
        <w:spacing w:before="0" w:after="0"/>
        <w:rPr>
          <w:rFonts w:ascii="Arial" w:hAnsi="Arial" w:cs="Arial"/>
          <w:bCs/>
          <w:iCs/>
          <w:sz w:val="22"/>
          <w:szCs w:val="22"/>
          <w:lang w:val="en-GB"/>
        </w:rPr>
      </w:pPr>
      <w:r w:rsidRPr="00C61A75">
        <w:rPr>
          <w:rFonts w:ascii="Arial" w:hAnsi="Arial" w:cs="Arial"/>
          <w:bCs/>
          <w:iCs/>
          <w:sz w:val="22"/>
          <w:szCs w:val="22"/>
          <w:lang w:val="en-GB"/>
        </w:rPr>
        <w:t>In order to avoid discrepancies and to make sure that the inventory does include all relevant projects, the full list of 480 contracts was carefully checked. This validation process consisted of five main actions:</w:t>
      </w:r>
    </w:p>
    <w:p w:rsidR="00A23C41" w:rsidRPr="00C61A75" w:rsidRDefault="00A23C41" w:rsidP="00A23C41">
      <w:pPr>
        <w:pStyle w:val="Paragrafoelenco"/>
        <w:numPr>
          <w:ilvl w:val="0"/>
          <w:numId w:val="2"/>
        </w:numPr>
        <w:spacing w:before="0" w:after="0"/>
        <w:rPr>
          <w:rFonts w:ascii="Arial" w:hAnsi="Arial" w:cs="Arial"/>
          <w:bCs/>
          <w:iCs/>
          <w:sz w:val="22"/>
          <w:szCs w:val="22"/>
          <w:lang w:val="en-GB"/>
        </w:rPr>
      </w:pPr>
      <w:r w:rsidRPr="00C61A75">
        <w:rPr>
          <w:rFonts w:ascii="Arial" w:hAnsi="Arial" w:cs="Arial"/>
          <w:bCs/>
          <w:iCs/>
          <w:sz w:val="22"/>
          <w:szCs w:val="22"/>
          <w:lang w:val="en-GB"/>
        </w:rPr>
        <w:t>Withdrawn of Decisions from DWH through the geographical criterion (Palestine) and the temporal criterion (2008-2012), the total number of Decisions resulting from this selection is 57</w:t>
      </w:r>
      <w:r w:rsidRPr="00C61A75">
        <w:rPr>
          <w:rStyle w:val="Rimandonotaapidipagina"/>
          <w:rFonts w:ascii="Arial" w:hAnsi="Arial" w:cs="Arial"/>
          <w:bCs/>
          <w:sz w:val="22"/>
          <w:szCs w:val="22"/>
        </w:rPr>
        <w:footnoteReference w:id="60"/>
      </w:r>
      <w:r w:rsidRPr="00C61A75">
        <w:rPr>
          <w:rFonts w:ascii="Arial" w:hAnsi="Arial" w:cs="Arial"/>
          <w:bCs/>
          <w:iCs/>
          <w:sz w:val="22"/>
          <w:szCs w:val="22"/>
          <w:lang w:val="en-GB"/>
        </w:rPr>
        <w:t xml:space="preserve">; </w:t>
      </w:r>
    </w:p>
    <w:p w:rsidR="00A23C41" w:rsidRPr="00C61A75" w:rsidRDefault="00A23C41" w:rsidP="00A23C41">
      <w:pPr>
        <w:pStyle w:val="Paragrafoelenco"/>
        <w:numPr>
          <w:ilvl w:val="0"/>
          <w:numId w:val="2"/>
        </w:numPr>
        <w:spacing w:before="0" w:after="0"/>
        <w:rPr>
          <w:rFonts w:ascii="Arial" w:hAnsi="Arial" w:cs="Arial"/>
          <w:bCs/>
          <w:iCs/>
          <w:sz w:val="22"/>
          <w:szCs w:val="22"/>
          <w:lang w:val="en-GB"/>
        </w:rPr>
      </w:pPr>
      <w:r w:rsidRPr="00C61A75">
        <w:rPr>
          <w:rFonts w:ascii="Arial" w:hAnsi="Arial" w:cs="Arial"/>
          <w:bCs/>
          <w:iCs/>
          <w:sz w:val="22"/>
          <w:szCs w:val="22"/>
          <w:lang w:val="en-GB"/>
        </w:rPr>
        <w:t>Research of the corresponding decision of each project in the Decision/Contract sheet</w:t>
      </w:r>
      <w:r w:rsidRPr="00C61A75">
        <w:rPr>
          <w:rStyle w:val="Rimandonotaapidipagina"/>
          <w:rFonts w:ascii="Arial" w:hAnsi="Arial" w:cs="Arial"/>
          <w:bCs/>
          <w:sz w:val="22"/>
          <w:szCs w:val="22"/>
        </w:rPr>
        <w:footnoteReference w:id="61"/>
      </w:r>
      <w:r w:rsidRPr="00C61A75">
        <w:rPr>
          <w:rFonts w:ascii="Arial" w:hAnsi="Arial" w:cs="Arial"/>
          <w:bCs/>
          <w:iCs/>
          <w:sz w:val="22"/>
          <w:szCs w:val="22"/>
          <w:lang w:val="en-GB"/>
        </w:rPr>
        <w:t xml:space="preserve"> through the “Contract Reference” and cross-check with the Decisions database;</w:t>
      </w:r>
    </w:p>
    <w:p w:rsidR="00A23C41" w:rsidRPr="00C61A75" w:rsidRDefault="00A23C41" w:rsidP="00A23C41">
      <w:pPr>
        <w:pStyle w:val="Paragrafoelenco"/>
        <w:numPr>
          <w:ilvl w:val="0"/>
          <w:numId w:val="2"/>
        </w:numPr>
        <w:spacing w:before="0" w:after="0"/>
        <w:ind w:hanging="357"/>
        <w:rPr>
          <w:rFonts w:ascii="Arial" w:hAnsi="Arial" w:cs="Arial"/>
          <w:bCs/>
          <w:iCs/>
          <w:sz w:val="22"/>
          <w:szCs w:val="22"/>
          <w:lang w:val="en-GB"/>
        </w:rPr>
      </w:pPr>
      <w:r w:rsidRPr="00C61A75">
        <w:rPr>
          <w:rFonts w:ascii="Arial" w:hAnsi="Arial" w:cs="Arial"/>
          <w:bCs/>
          <w:iCs/>
          <w:sz w:val="22"/>
          <w:szCs w:val="22"/>
          <w:lang w:val="en-GB"/>
        </w:rPr>
        <w:t>Classification of each project for “type of cooperation” looking at the columns “zone benefiting the action” and the “title” of the corresponding decision in order to obtain only 3 main categories: BIL (Bilateral), REG (Regional)</w:t>
      </w:r>
      <w:r w:rsidRPr="00C61A75">
        <w:rPr>
          <w:rStyle w:val="Rimandonotaapidipagina"/>
          <w:rFonts w:ascii="Arial" w:hAnsi="Arial" w:cs="Arial"/>
          <w:bCs/>
          <w:sz w:val="22"/>
          <w:szCs w:val="22"/>
        </w:rPr>
        <w:footnoteReference w:id="62"/>
      </w:r>
      <w:r w:rsidRPr="00C61A75">
        <w:rPr>
          <w:rFonts w:ascii="Arial" w:hAnsi="Arial" w:cs="Arial"/>
          <w:bCs/>
          <w:iCs/>
          <w:sz w:val="22"/>
          <w:szCs w:val="22"/>
          <w:lang w:val="en-GB"/>
        </w:rPr>
        <w:t>, MULTI (All countries), NA</w:t>
      </w:r>
      <w:r w:rsidRPr="00C61A75">
        <w:rPr>
          <w:rStyle w:val="Rimandonotaapidipagina"/>
          <w:rFonts w:ascii="Arial" w:hAnsi="Arial" w:cs="Arial"/>
          <w:bCs/>
          <w:sz w:val="22"/>
          <w:szCs w:val="22"/>
        </w:rPr>
        <w:footnoteReference w:id="63"/>
      </w:r>
      <w:r w:rsidRPr="00C61A75">
        <w:rPr>
          <w:rFonts w:ascii="Arial" w:hAnsi="Arial" w:cs="Arial"/>
          <w:bCs/>
          <w:iCs/>
          <w:sz w:val="22"/>
          <w:szCs w:val="22"/>
          <w:lang w:val="en-GB"/>
        </w:rPr>
        <w:t xml:space="preserve"> (Not available);</w:t>
      </w:r>
    </w:p>
    <w:p w:rsidR="00A23C41" w:rsidRPr="00C61A75" w:rsidRDefault="00A23C41" w:rsidP="00A23C41">
      <w:pPr>
        <w:pStyle w:val="Paragrafoelenco"/>
        <w:numPr>
          <w:ilvl w:val="0"/>
          <w:numId w:val="2"/>
        </w:numPr>
        <w:spacing w:before="0" w:after="0"/>
        <w:ind w:hanging="357"/>
        <w:rPr>
          <w:rFonts w:ascii="Arial" w:hAnsi="Arial" w:cs="Arial"/>
          <w:bCs/>
          <w:iCs/>
          <w:sz w:val="22"/>
          <w:szCs w:val="22"/>
          <w:lang w:val="en-GB"/>
        </w:rPr>
      </w:pPr>
      <w:r w:rsidRPr="00C61A75">
        <w:rPr>
          <w:rFonts w:ascii="Arial" w:hAnsi="Arial" w:cs="Arial"/>
          <w:bCs/>
          <w:iCs/>
          <w:sz w:val="22"/>
          <w:szCs w:val="22"/>
          <w:lang w:val="en-GB"/>
        </w:rPr>
        <w:t xml:space="preserve">Creation of the inventory of Decisions divided by type of cooperation;  </w:t>
      </w:r>
    </w:p>
    <w:p w:rsidR="00A23C41" w:rsidRPr="00C61A75" w:rsidRDefault="00A23C41" w:rsidP="00A23C41">
      <w:pPr>
        <w:pStyle w:val="Paragrafoelenco"/>
        <w:numPr>
          <w:ilvl w:val="0"/>
          <w:numId w:val="2"/>
        </w:numPr>
        <w:spacing w:before="0" w:after="0"/>
        <w:ind w:hanging="357"/>
        <w:rPr>
          <w:rFonts w:ascii="Arial" w:hAnsi="Arial" w:cs="Arial"/>
          <w:bCs/>
          <w:iCs/>
          <w:sz w:val="22"/>
          <w:szCs w:val="22"/>
          <w:lang w:val="en-GB"/>
        </w:rPr>
      </w:pPr>
      <w:r w:rsidRPr="00C61A75">
        <w:rPr>
          <w:rFonts w:ascii="Arial" w:hAnsi="Arial" w:cs="Arial"/>
          <w:bCs/>
          <w:iCs/>
          <w:sz w:val="22"/>
          <w:szCs w:val="22"/>
          <w:lang w:val="en-GB"/>
        </w:rPr>
        <w:t>Cross checking of decisions with the EU/PS Action Programmes and Thematic Strategy Papers.</w:t>
      </w:r>
    </w:p>
    <w:p w:rsidR="00A23C41" w:rsidRPr="00C61A75" w:rsidRDefault="00A23C41" w:rsidP="00A23C41">
      <w:pPr>
        <w:pStyle w:val="Paragrafoelenco"/>
        <w:spacing w:after="0"/>
        <w:rPr>
          <w:rFonts w:ascii="Arial" w:hAnsi="Arial" w:cs="Arial"/>
          <w:bCs/>
          <w:iCs/>
          <w:sz w:val="22"/>
          <w:szCs w:val="22"/>
          <w:lang w:val="en-GB"/>
        </w:rPr>
      </w:pPr>
    </w:p>
    <w:p w:rsidR="00A23C41" w:rsidRPr="00C61A75" w:rsidRDefault="00A23C41" w:rsidP="00A23C41">
      <w:pPr>
        <w:pStyle w:val="Paragrafoelenco"/>
        <w:numPr>
          <w:ilvl w:val="0"/>
          <w:numId w:val="4"/>
        </w:numPr>
        <w:spacing w:before="0" w:after="0"/>
        <w:ind w:hanging="357"/>
        <w:jc w:val="left"/>
        <w:rPr>
          <w:rFonts w:ascii="Arial" w:hAnsi="Arial" w:cs="Arial"/>
          <w:bCs/>
          <w:sz w:val="22"/>
          <w:szCs w:val="22"/>
          <w:lang w:val="en-GB"/>
        </w:rPr>
      </w:pPr>
      <w:r w:rsidRPr="00C61A75">
        <w:rPr>
          <w:rFonts w:ascii="Arial" w:hAnsi="Arial" w:cs="Arial"/>
          <w:bCs/>
          <w:sz w:val="22"/>
          <w:szCs w:val="22"/>
          <w:lang w:val="en-GB"/>
        </w:rPr>
        <w:t>The number of decisions obtained with this research is:</w:t>
      </w:r>
    </w:p>
    <w:p w:rsidR="00A23C41" w:rsidRPr="00C61A75" w:rsidRDefault="00A23C41" w:rsidP="00A23C41">
      <w:pPr>
        <w:pStyle w:val="Paragrafoelenco"/>
        <w:numPr>
          <w:ilvl w:val="0"/>
          <w:numId w:val="8"/>
        </w:numPr>
        <w:spacing w:before="0" w:after="0"/>
        <w:ind w:hanging="357"/>
        <w:jc w:val="left"/>
        <w:rPr>
          <w:rFonts w:ascii="Arial" w:hAnsi="Arial" w:cs="Arial"/>
          <w:bCs/>
          <w:sz w:val="22"/>
          <w:szCs w:val="22"/>
          <w:lang w:val="en-GB"/>
        </w:rPr>
      </w:pPr>
      <w:r w:rsidRPr="00C61A75">
        <w:rPr>
          <w:rFonts w:ascii="Arial" w:hAnsi="Arial" w:cs="Arial"/>
          <w:bCs/>
          <w:sz w:val="22"/>
          <w:szCs w:val="22"/>
          <w:lang w:val="en-GB"/>
        </w:rPr>
        <w:t xml:space="preserve">Bilateral Cooperation: 57 decisions </w:t>
      </w:r>
    </w:p>
    <w:p w:rsidR="00A23C41" w:rsidRPr="00C61A75" w:rsidRDefault="00A23C41" w:rsidP="00A23C41">
      <w:pPr>
        <w:pStyle w:val="Paragrafoelenco"/>
        <w:numPr>
          <w:ilvl w:val="0"/>
          <w:numId w:val="8"/>
        </w:numPr>
        <w:spacing w:before="0" w:after="0"/>
        <w:ind w:hanging="357"/>
        <w:jc w:val="left"/>
        <w:rPr>
          <w:rFonts w:ascii="Arial" w:hAnsi="Arial" w:cs="Arial"/>
          <w:bCs/>
          <w:sz w:val="22"/>
          <w:szCs w:val="22"/>
          <w:lang w:val="en-GB"/>
        </w:rPr>
      </w:pPr>
      <w:r w:rsidRPr="00C61A75">
        <w:rPr>
          <w:rFonts w:ascii="Arial" w:hAnsi="Arial" w:cs="Arial"/>
          <w:bCs/>
          <w:sz w:val="22"/>
          <w:szCs w:val="22"/>
          <w:lang w:val="en-GB"/>
        </w:rPr>
        <w:t>Regional Cooperation: 11 decisions</w:t>
      </w:r>
    </w:p>
    <w:p w:rsidR="00A23C41" w:rsidRPr="00C61A75" w:rsidRDefault="00A23C41" w:rsidP="00A23C41">
      <w:pPr>
        <w:pStyle w:val="Paragrafoelenco"/>
        <w:numPr>
          <w:ilvl w:val="0"/>
          <w:numId w:val="8"/>
        </w:numPr>
        <w:spacing w:before="0" w:after="0"/>
        <w:ind w:hanging="357"/>
        <w:jc w:val="left"/>
        <w:rPr>
          <w:rFonts w:ascii="Arial" w:hAnsi="Arial" w:cs="Arial"/>
          <w:bCs/>
          <w:sz w:val="22"/>
          <w:szCs w:val="22"/>
          <w:lang w:val="en-GB"/>
        </w:rPr>
      </w:pPr>
      <w:r w:rsidRPr="00C61A75">
        <w:rPr>
          <w:rFonts w:ascii="Arial" w:hAnsi="Arial" w:cs="Arial"/>
          <w:bCs/>
          <w:sz w:val="22"/>
          <w:szCs w:val="22"/>
          <w:lang w:val="en-GB"/>
        </w:rPr>
        <w:t>Multi-country Cooperation: 42 decisions</w:t>
      </w:r>
    </w:p>
    <w:p w:rsidR="00A23C41" w:rsidRPr="00C61A75" w:rsidRDefault="00A23C41" w:rsidP="00A23C41">
      <w:pPr>
        <w:spacing w:before="0" w:after="0"/>
        <w:rPr>
          <w:rFonts w:ascii="Arial" w:hAnsi="Arial" w:cs="Arial"/>
          <w:bCs/>
          <w:sz w:val="22"/>
          <w:szCs w:val="22"/>
          <w:lang w:val="en-GB"/>
        </w:rPr>
      </w:pPr>
      <w:r w:rsidRPr="00C61A75">
        <w:rPr>
          <w:rFonts w:ascii="Arial" w:hAnsi="Arial" w:cs="Arial"/>
          <w:bCs/>
          <w:sz w:val="22"/>
          <w:szCs w:val="22"/>
          <w:lang w:val="en-GB"/>
        </w:rPr>
        <w:t xml:space="preserve">The above decisions do not include contracts belonging to decisions issued prior the evaluation period. For these contracts the decision has been individuated in order to classify the intervention but they won’t be included in the presentation and in the analysis since out of the temporal scope of the evaluation. </w:t>
      </w:r>
    </w:p>
    <w:p w:rsidR="00A23C41" w:rsidRPr="00EF09A2" w:rsidRDefault="00A23C41" w:rsidP="00A23C41">
      <w:pPr>
        <w:spacing w:before="0" w:after="0"/>
        <w:rPr>
          <w:rFonts w:ascii="Arial" w:hAnsi="Arial" w:cs="Arial"/>
          <w:bCs/>
          <w:sz w:val="24"/>
          <w:szCs w:val="24"/>
          <w:lang w:val="en-GB"/>
        </w:rPr>
      </w:pPr>
    </w:p>
    <w:p w:rsidR="00A23C41" w:rsidRPr="00EF09A2" w:rsidRDefault="00A23C41" w:rsidP="00A23C41">
      <w:pPr>
        <w:spacing w:before="0" w:after="0"/>
        <w:rPr>
          <w:rFonts w:ascii="Arial" w:hAnsi="Arial" w:cs="Arial"/>
          <w:b/>
          <w:smallCaps/>
          <w:color w:val="1F497D" w:themeColor="text2"/>
          <w:sz w:val="24"/>
          <w:szCs w:val="24"/>
          <w:lang w:val="en-GB"/>
        </w:rPr>
      </w:pPr>
      <w:bookmarkStart w:id="68" w:name="_Toc358819865"/>
      <w:r w:rsidRPr="00EF09A2">
        <w:rPr>
          <w:rFonts w:ascii="Arial" w:hAnsi="Arial" w:cs="Arial"/>
          <w:b/>
          <w:smallCaps/>
          <w:color w:val="1F497D" w:themeColor="text2"/>
          <w:sz w:val="24"/>
          <w:szCs w:val="24"/>
          <w:lang w:val="en-GB"/>
        </w:rPr>
        <w:t>Step 4: Classification</w:t>
      </w:r>
      <w:bookmarkEnd w:id="68"/>
    </w:p>
    <w:p w:rsidR="00A23C41" w:rsidRDefault="00A23C41" w:rsidP="00A23C41">
      <w:pPr>
        <w:pStyle w:val="Paragrafoelenco"/>
        <w:spacing w:before="0" w:after="0"/>
        <w:ind w:left="0"/>
        <w:rPr>
          <w:rFonts w:ascii="Arial" w:hAnsi="Arial" w:cs="Arial"/>
          <w:b/>
          <w:bCs/>
          <w:iCs/>
          <w:szCs w:val="23"/>
          <w:lang w:val="en-GB"/>
        </w:rPr>
      </w:pPr>
      <w:r w:rsidRPr="00C61A75">
        <w:rPr>
          <w:rFonts w:ascii="Arial" w:hAnsi="Arial" w:cs="Arial"/>
          <w:sz w:val="22"/>
          <w:szCs w:val="22"/>
          <w:lang w:val="en-GB"/>
        </w:rPr>
        <w:t>With a view to enhancing the understanding of EC interventions in Palestine</w:t>
      </w:r>
      <w:r>
        <w:rPr>
          <w:rFonts w:ascii="Arial" w:hAnsi="Arial" w:cs="Arial"/>
          <w:sz w:val="22"/>
          <w:szCs w:val="22"/>
          <w:lang w:val="en-GB"/>
        </w:rPr>
        <w:t xml:space="preserve"> </w:t>
      </w:r>
      <w:r w:rsidRPr="00C61A75">
        <w:rPr>
          <w:rFonts w:ascii="Arial" w:hAnsi="Arial" w:cs="Arial"/>
          <w:sz w:val="22"/>
          <w:szCs w:val="22"/>
          <w:lang w:val="en-GB"/>
        </w:rPr>
        <w:t xml:space="preserve">the relevant contracts selected on the basis of the previous steps (i.e. 406 bilateral contracts plus 72 regional and multi-country contracts) have been classified by </w:t>
      </w:r>
      <w:r w:rsidRPr="00C61A75">
        <w:rPr>
          <w:rFonts w:ascii="Arial" w:hAnsi="Arial" w:cs="Arial"/>
          <w:b/>
          <w:sz w:val="22"/>
          <w:szCs w:val="22"/>
          <w:lang w:val="en-GB"/>
        </w:rPr>
        <w:t>mechanism</w:t>
      </w:r>
      <w:r w:rsidRPr="00C61A75">
        <w:rPr>
          <w:rFonts w:ascii="Arial" w:hAnsi="Arial" w:cs="Arial"/>
          <w:sz w:val="22"/>
          <w:szCs w:val="22"/>
          <w:lang w:val="en-GB"/>
        </w:rPr>
        <w:t xml:space="preserve">, </w:t>
      </w:r>
      <w:r w:rsidRPr="00C61A75">
        <w:rPr>
          <w:rFonts w:ascii="Arial" w:hAnsi="Arial" w:cs="Arial"/>
          <w:b/>
          <w:bCs/>
          <w:iCs/>
          <w:sz w:val="22"/>
          <w:szCs w:val="22"/>
          <w:lang w:val="en-GB"/>
        </w:rPr>
        <w:t xml:space="preserve">sectors and sub-sectors, nature of contract, type of aid </w:t>
      </w:r>
      <w:r w:rsidRPr="00C61A75">
        <w:rPr>
          <w:rFonts w:ascii="Arial" w:hAnsi="Arial" w:cs="Arial"/>
          <w:bCs/>
          <w:iCs/>
          <w:sz w:val="22"/>
          <w:szCs w:val="22"/>
          <w:lang w:val="en-GB"/>
        </w:rPr>
        <w:t>and</w:t>
      </w:r>
      <w:r w:rsidRPr="00C61A75">
        <w:rPr>
          <w:rFonts w:ascii="Arial" w:hAnsi="Arial" w:cs="Arial"/>
          <w:b/>
          <w:bCs/>
          <w:iCs/>
          <w:sz w:val="22"/>
          <w:szCs w:val="22"/>
          <w:lang w:val="en-GB"/>
        </w:rPr>
        <w:t xml:space="preserve"> contracting party</w:t>
      </w:r>
      <w:r w:rsidRPr="00EF09A2">
        <w:rPr>
          <w:rFonts w:ascii="Arial" w:hAnsi="Arial" w:cs="Arial"/>
          <w:b/>
          <w:bCs/>
          <w:iCs/>
          <w:szCs w:val="23"/>
          <w:lang w:val="en-GB"/>
        </w:rPr>
        <w:t>.</w:t>
      </w:r>
    </w:p>
    <w:p w:rsidR="00A23C41" w:rsidRDefault="00A23C41" w:rsidP="00A23C41">
      <w:pPr>
        <w:pStyle w:val="Paragrafoelenco"/>
        <w:spacing w:before="0" w:after="0"/>
        <w:ind w:left="0"/>
        <w:rPr>
          <w:rFonts w:ascii="Arial" w:hAnsi="Arial" w:cs="Arial"/>
          <w:b/>
          <w:bCs/>
          <w:iCs/>
          <w:szCs w:val="23"/>
          <w:lang w:val="en-GB"/>
        </w:rPr>
      </w:pPr>
    </w:p>
    <w:p w:rsidR="00A23C41" w:rsidRDefault="00A23C41" w:rsidP="00A23C41">
      <w:pPr>
        <w:pStyle w:val="Paragrafoelenco"/>
        <w:spacing w:before="0" w:after="0"/>
        <w:ind w:left="0"/>
        <w:rPr>
          <w:rFonts w:ascii="Arial" w:hAnsi="Arial" w:cs="Arial"/>
          <w:b/>
          <w:bCs/>
          <w:iCs/>
          <w:szCs w:val="23"/>
          <w:lang w:val="en-GB"/>
        </w:rPr>
      </w:pPr>
    </w:p>
    <w:p w:rsidR="00A23C41" w:rsidRPr="00EF09A2" w:rsidRDefault="00A23C41" w:rsidP="00A23C41">
      <w:pPr>
        <w:pStyle w:val="Paragrafoelenco"/>
        <w:spacing w:before="0" w:after="0"/>
        <w:ind w:left="0"/>
        <w:rPr>
          <w:rFonts w:ascii="Arial" w:hAnsi="Arial" w:cs="Arial"/>
          <w:b/>
          <w:bCs/>
          <w:iCs/>
          <w:szCs w:val="23"/>
          <w:lang w:val="en-GB"/>
        </w:rPr>
      </w:pPr>
    </w:p>
    <w:p w:rsidR="00A23C41" w:rsidRPr="00C61A75" w:rsidRDefault="00A23C41" w:rsidP="00A23C41">
      <w:pPr>
        <w:pStyle w:val="Default"/>
        <w:numPr>
          <w:ilvl w:val="0"/>
          <w:numId w:val="5"/>
        </w:numPr>
        <w:spacing w:before="0" w:after="0"/>
        <w:rPr>
          <w:rFonts w:ascii="Arial" w:hAnsi="Arial" w:cs="Arial"/>
          <w:sz w:val="22"/>
          <w:szCs w:val="22"/>
          <w:lang w:val="en-GB"/>
        </w:rPr>
      </w:pPr>
      <w:r w:rsidRPr="00C61A75">
        <w:rPr>
          <w:rFonts w:ascii="Arial" w:hAnsi="Arial" w:cs="Arial"/>
          <w:b/>
          <w:bCs/>
          <w:i/>
          <w:iCs/>
          <w:sz w:val="22"/>
          <w:szCs w:val="22"/>
          <w:lang w:val="en-GB"/>
        </w:rPr>
        <w:lastRenderedPageBreak/>
        <w:t>Mechanism/Track</w:t>
      </w:r>
    </w:p>
    <w:p w:rsidR="00A23C41" w:rsidRPr="00C61A75" w:rsidRDefault="00A23C41" w:rsidP="00A23C41">
      <w:pPr>
        <w:pStyle w:val="Default"/>
        <w:spacing w:before="0" w:after="0"/>
        <w:rPr>
          <w:rFonts w:ascii="Arial" w:hAnsi="Arial" w:cs="Arial"/>
          <w:sz w:val="22"/>
          <w:szCs w:val="22"/>
          <w:lang w:val="en-GB"/>
        </w:rPr>
      </w:pPr>
      <w:r w:rsidRPr="00C61A75">
        <w:rPr>
          <w:rFonts w:ascii="Arial" w:hAnsi="Arial" w:cs="Arial"/>
          <w:sz w:val="22"/>
          <w:szCs w:val="22"/>
          <w:lang w:val="en-GB"/>
        </w:rPr>
        <w:t>The classification by mechanism has been done bearing in mind the three track approach adopted by the EU cooperation in Palestine, which has been defined on the basis of the documentary analysis carried out by the team and encompassing a number of documents, mainly at programming level (Annual Action Programmes, Decisions and Action Fiches) but also at policy level (Action Plans and Communications). The three tracks are as follows:</w:t>
      </w:r>
    </w:p>
    <w:p w:rsidR="00A23C41" w:rsidRPr="00C61A75" w:rsidRDefault="00A23C41" w:rsidP="00A23C41">
      <w:pPr>
        <w:pStyle w:val="Default"/>
        <w:spacing w:before="0" w:after="0"/>
        <w:rPr>
          <w:rFonts w:ascii="Arial" w:hAnsi="Arial" w:cs="Arial"/>
          <w:sz w:val="22"/>
          <w:szCs w:val="22"/>
          <w:lang w:val="en-GB"/>
        </w:rPr>
      </w:pPr>
    </w:p>
    <w:p w:rsidR="00A23C41" w:rsidRPr="00C61A75" w:rsidRDefault="00A23C41" w:rsidP="00A23C41">
      <w:pPr>
        <w:pStyle w:val="Paragrafoelenco"/>
        <w:numPr>
          <w:ilvl w:val="0"/>
          <w:numId w:val="6"/>
        </w:numPr>
        <w:autoSpaceDE w:val="0"/>
        <w:autoSpaceDN w:val="0"/>
        <w:adjustRightInd w:val="0"/>
        <w:spacing w:before="0" w:after="0"/>
        <w:rPr>
          <w:rFonts w:ascii="Arial" w:hAnsi="Arial" w:cs="Arial"/>
          <w:sz w:val="22"/>
          <w:szCs w:val="22"/>
          <w:lang w:val="en-GB"/>
        </w:rPr>
      </w:pPr>
      <w:r w:rsidRPr="00C61A75">
        <w:rPr>
          <w:rFonts w:ascii="Arial" w:hAnsi="Arial" w:cs="Arial"/>
          <w:b/>
          <w:sz w:val="22"/>
          <w:szCs w:val="22"/>
          <w:lang w:val="en-GB"/>
        </w:rPr>
        <w:t>First Track</w:t>
      </w:r>
      <w:r w:rsidRPr="00C61A75">
        <w:rPr>
          <w:rFonts w:ascii="Arial" w:hAnsi="Arial" w:cs="Arial"/>
          <w:sz w:val="22"/>
          <w:szCs w:val="22"/>
          <w:lang w:val="en-GB"/>
        </w:rPr>
        <w:t>: Direct Financial Support (DFS) through the PEGASE Programme: the objective of this track is to support the state-building of Palestine by helping the PA achieve the objectives of the PRDP (2008-2010) and NDP (2011-2013) through working towards fiscal sustainability and efficient public services. The specific PEGASE components have been detailed in the table below.</w:t>
      </w:r>
    </w:p>
    <w:p w:rsidR="00A23C41" w:rsidRPr="00C61A75" w:rsidRDefault="00A23C41" w:rsidP="00A23C41">
      <w:pPr>
        <w:pStyle w:val="Paragrafoelenco"/>
        <w:numPr>
          <w:ilvl w:val="0"/>
          <w:numId w:val="6"/>
        </w:numPr>
        <w:autoSpaceDE w:val="0"/>
        <w:autoSpaceDN w:val="0"/>
        <w:adjustRightInd w:val="0"/>
        <w:spacing w:before="0" w:after="0"/>
        <w:rPr>
          <w:rFonts w:ascii="Arial" w:hAnsi="Arial" w:cs="Arial"/>
          <w:sz w:val="22"/>
          <w:szCs w:val="22"/>
          <w:lang w:val="en-GB"/>
        </w:rPr>
      </w:pPr>
      <w:r w:rsidRPr="00C61A75">
        <w:rPr>
          <w:rFonts w:ascii="Arial" w:hAnsi="Arial" w:cs="Arial"/>
          <w:b/>
          <w:sz w:val="22"/>
          <w:szCs w:val="22"/>
          <w:lang w:val="en-GB"/>
        </w:rPr>
        <w:t>Second Track</w:t>
      </w:r>
      <w:r w:rsidRPr="00C61A75">
        <w:rPr>
          <w:rFonts w:ascii="Arial" w:hAnsi="Arial" w:cs="Arial"/>
          <w:sz w:val="22"/>
          <w:szCs w:val="22"/>
          <w:lang w:val="en-GB"/>
        </w:rPr>
        <w:t>: Developmental goals, supported through several instruments (ENPI, EIDHR, NSA, DCI-FOOD/FOOD) and the PEGASE Development Cooperation</w:t>
      </w:r>
      <w:r w:rsidRPr="00C61A75">
        <w:rPr>
          <w:rStyle w:val="Rimandonotaapidipagina"/>
          <w:rFonts w:ascii="Arial" w:hAnsi="Arial" w:cs="Arial"/>
          <w:sz w:val="22"/>
          <w:szCs w:val="22"/>
        </w:rPr>
        <w:footnoteReference w:id="64"/>
      </w:r>
      <w:r w:rsidRPr="00C61A75">
        <w:rPr>
          <w:rFonts w:ascii="Arial" w:hAnsi="Arial" w:cs="Arial"/>
          <w:sz w:val="22"/>
          <w:szCs w:val="22"/>
          <w:lang w:val="en-GB"/>
        </w:rPr>
        <w:t xml:space="preserve"> component: the objective of this track is to support various initiatives, including support to rule of law/justice, job creation through private sector/trade driven growth and infrastructure improvement in water and sanitation, with initiatives in East Jerusalem and Area C;</w:t>
      </w:r>
    </w:p>
    <w:p w:rsidR="00A23C41" w:rsidRPr="00C61A75" w:rsidRDefault="00A23C41" w:rsidP="00A23C41">
      <w:pPr>
        <w:pStyle w:val="Default"/>
        <w:numPr>
          <w:ilvl w:val="0"/>
          <w:numId w:val="6"/>
        </w:numPr>
        <w:spacing w:before="0" w:after="0"/>
        <w:rPr>
          <w:rFonts w:ascii="Arial" w:hAnsi="Arial" w:cs="Arial"/>
          <w:sz w:val="22"/>
          <w:szCs w:val="22"/>
          <w:lang w:val="en-GB"/>
        </w:rPr>
      </w:pPr>
      <w:r w:rsidRPr="00C61A75">
        <w:rPr>
          <w:rFonts w:ascii="Arial" w:hAnsi="Arial" w:cs="Arial"/>
          <w:b/>
          <w:sz w:val="22"/>
          <w:szCs w:val="22"/>
          <w:lang w:val="en-GB"/>
        </w:rPr>
        <w:t>Third Track</w:t>
      </w:r>
      <w:r w:rsidRPr="00C61A75">
        <w:rPr>
          <w:rFonts w:ascii="Arial" w:hAnsi="Arial" w:cs="Arial"/>
          <w:sz w:val="22"/>
          <w:szCs w:val="22"/>
          <w:lang w:val="en-GB"/>
        </w:rPr>
        <w:t>: support to Palestinian refugees through UNRWA.</w:t>
      </w:r>
    </w:p>
    <w:p w:rsidR="00A23C41" w:rsidRPr="00EF09A2" w:rsidRDefault="00A23C41" w:rsidP="00A23C41">
      <w:pPr>
        <w:pStyle w:val="Default"/>
        <w:spacing w:before="0" w:after="0"/>
        <w:ind w:left="720"/>
        <w:rPr>
          <w:rFonts w:ascii="Arial" w:hAnsi="Arial" w:cs="Arial"/>
          <w:lang w:val="en-GB"/>
        </w:rPr>
      </w:pPr>
    </w:p>
    <w:p w:rsidR="00A23C41" w:rsidRPr="004D6993" w:rsidRDefault="00A23C41" w:rsidP="00D714DB">
      <w:pPr>
        <w:pStyle w:val="Didascalia"/>
        <w:framePr w:wrap="around"/>
        <w:rPr>
          <w:smallCaps/>
          <w:lang w:val="en-GB"/>
        </w:rPr>
      </w:pPr>
      <w:bookmarkStart w:id="69" w:name="_Toc358819941"/>
      <w:r w:rsidRPr="004D6993">
        <w:rPr>
          <w:lang w:val="en-GB"/>
        </w:rPr>
        <w:t>Table 1: Classification by Mechanism – EU/Palestine contracts</w:t>
      </w:r>
      <w:bookmarkEnd w:id="69"/>
    </w:p>
    <w:p w:rsidR="00A23C41" w:rsidRPr="00EF09A2" w:rsidRDefault="00A23C41" w:rsidP="00A23C41">
      <w:pPr>
        <w:pStyle w:val="Default"/>
        <w:spacing w:before="0" w:after="0"/>
        <w:rPr>
          <w:rFonts w:ascii="Arial" w:hAnsi="Arial" w:cs="Arial"/>
          <w:lang w:val="en-GB"/>
        </w:rPr>
      </w:pPr>
    </w:p>
    <w:tbl>
      <w:tblPr>
        <w:tblW w:w="9723" w:type="dxa"/>
        <w:tblInd w:w="55" w:type="dxa"/>
        <w:tblBorders>
          <w:top w:val="single" w:sz="12" w:space="0" w:color="1F497D" w:themeColor="text2"/>
          <w:left w:val="single" w:sz="12" w:space="0" w:color="1F497D" w:themeColor="text2"/>
          <w:bottom w:val="single" w:sz="12" w:space="0" w:color="1F497D" w:themeColor="text2"/>
          <w:right w:val="single" w:sz="12" w:space="0" w:color="1F497D" w:themeColor="text2"/>
          <w:insideH w:val="single" w:sz="6" w:space="0" w:color="1F497D" w:themeColor="text2"/>
          <w:insideV w:val="single" w:sz="6" w:space="0" w:color="1F497D" w:themeColor="text2"/>
        </w:tblBorders>
        <w:tblCellMar>
          <w:left w:w="70" w:type="dxa"/>
          <w:right w:w="70" w:type="dxa"/>
        </w:tblCellMar>
        <w:tblLook w:val="04A0"/>
      </w:tblPr>
      <w:tblGrid>
        <w:gridCol w:w="3276"/>
        <w:gridCol w:w="5244"/>
        <w:gridCol w:w="1203"/>
      </w:tblGrid>
      <w:tr w:rsidR="00A23C41" w:rsidRPr="00280186" w:rsidTr="00A23C41">
        <w:trPr>
          <w:trHeight w:val="296"/>
        </w:trPr>
        <w:tc>
          <w:tcPr>
            <w:tcW w:w="3276" w:type="dxa"/>
            <w:shd w:val="clear" w:color="auto" w:fill="1F497D" w:themeFill="text2"/>
            <w:noWrap/>
            <w:hideMark/>
          </w:tcPr>
          <w:p w:rsidR="00A23C41" w:rsidRPr="00280186" w:rsidRDefault="00A23C41" w:rsidP="00A23C41">
            <w:pPr>
              <w:spacing w:before="0" w:after="0"/>
              <w:rPr>
                <w:rFonts w:ascii="Arial" w:hAnsi="Arial" w:cs="Arial"/>
                <w:b/>
                <w:color w:val="FFFFFF" w:themeColor="background1"/>
                <w:sz w:val="18"/>
                <w:szCs w:val="18"/>
                <w:lang w:val="en-GB"/>
              </w:rPr>
            </w:pPr>
            <w:r w:rsidRPr="00280186">
              <w:rPr>
                <w:rFonts w:ascii="Arial" w:hAnsi="Arial" w:cs="Arial"/>
                <w:b/>
                <w:color w:val="FFFFFF" w:themeColor="background1"/>
                <w:sz w:val="18"/>
                <w:szCs w:val="18"/>
                <w:lang w:val="en-GB"/>
              </w:rPr>
              <w:t>Mechanism</w:t>
            </w:r>
          </w:p>
        </w:tc>
        <w:tc>
          <w:tcPr>
            <w:tcW w:w="5244" w:type="dxa"/>
            <w:shd w:val="clear" w:color="auto" w:fill="1F497D" w:themeFill="text2"/>
          </w:tcPr>
          <w:p w:rsidR="00A23C41" w:rsidRPr="00280186" w:rsidRDefault="00A23C41" w:rsidP="00A23C41">
            <w:pPr>
              <w:spacing w:before="0" w:after="0"/>
              <w:rPr>
                <w:rFonts w:ascii="Arial" w:hAnsi="Arial" w:cs="Arial"/>
                <w:b/>
                <w:color w:val="FFFFFF" w:themeColor="background1"/>
                <w:sz w:val="18"/>
                <w:szCs w:val="18"/>
                <w:lang w:val="en-GB"/>
              </w:rPr>
            </w:pPr>
            <w:r w:rsidRPr="00280186">
              <w:rPr>
                <w:rFonts w:ascii="Arial" w:hAnsi="Arial" w:cs="Arial"/>
                <w:b/>
                <w:color w:val="FFFFFF" w:themeColor="background1"/>
                <w:sz w:val="18"/>
                <w:szCs w:val="18"/>
                <w:lang w:val="en-GB"/>
              </w:rPr>
              <w:t>Definition</w:t>
            </w:r>
          </w:p>
        </w:tc>
        <w:tc>
          <w:tcPr>
            <w:tcW w:w="1203" w:type="dxa"/>
            <w:shd w:val="clear" w:color="auto" w:fill="1F497D" w:themeFill="text2"/>
          </w:tcPr>
          <w:p w:rsidR="00A23C41" w:rsidRPr="00280186" w:rsidRDefault="00A23C41" w:rsidP="00A23C41">
            <w:pPr>
              <w:spacing w:before="0" w:after="0"/>
              <w:rPr>
                <w:rFonts w:ascii="Arial" w:hAnsi="Arial" w:cs="Arial"/>
                <w:b/>
                <w:color w:val="FFFFFF" w:themeColor="background1"/>
                <w:sz w:val="18"/>
                <w:szCs w:val="18"/>
                <w:lang w:val="en-GB"/>
              </w:rPr>
            </w:pPr>
            <w:r w:rsidRPr="00280186">
              <w:rPr>
                <w:rFonts w:ascii="Arial" w:hAnsi="Arial" w:cs="Arial"/>
                <w:b/>
                <w:color w:val="FFFFFF" w:themeColor="background1"/>
                <w:sz w:val="18"/>
                <w:szCs w:val="18"/>
                <w:lang w:val="en-GB"/>
              </w:rPr>
              <w:t>Track</w:t>
            </w:r>
          </w:p>
        </w:tc>
      </w:tr>
      <w:tr w:rsidR="00A23C41" w:rsidRPr="00280186" w:rsidTr="00A23C41">
        <w:trPr>
          <w:trHeight w:val="296"/>
        </w:trPr>
        <w:tc>
          <w:tcPr>
            <w:tcW w:w="3276" w:type="dxa"/>
            <w:shd w:val="clear" w:color="auto" w:fill="DBE5F1" w:themeFill="accent1" w:themeFillTint="33"/>
            <w:noWrap/>
            <w:hideMark/>
          </w:tcPr>
          <w:p w:rsidR="00A23C41" w:rsidRPr="00280186" w:rsidRDefault="00A23C41" w:rsidP="00A23C41">
            <w:pPr>
              <w:spacing w:before="0" w:after="0"/>
              <w:rPr>
                <w:rFonts w:ascii="Arial" w:hAnsi="Arial" w:cs="Arial"/>
                <w:b/>
                <w:sz w:val="18"/>
                <w:szCs w:val="18"/>
                <w:lang w:val="en-GB"/>
              </w:rPr>
            </w:pPr>
            <w:r w:rsidRPr="00280186">
              <w:rPr>
                <w:rFonts w:ascii="Arial" w:hAnsi="Arial" w:cs="Arial"/>
                <w:b/>
                <w:sz w:val="18"/>
                <w:szCs w:val="18"/>
                <w:lang w:val="en-GB"/>
              </w:rPr>
              <w:t>PEGASE DFS - GLOBAL</w:t>
            </w:r>
          </w:p>
        </w:tc>
        <w:tc>
          <w:tcPr>
            <w:tcW w:w="5244" w:type="dxa"/>
            <w:shd w:val="clear" w:color="auto" w:fill="FFFFFF" w:themeFill="background1"/>
          </w:tcPr>
          <w:p w:rsidR="00A23C41" w:rsidRPr="00280186" w:rsidRDefault="00A23C41" w:rsidP="00A23C41">
            <w:pPr>
              <w:spacing w:before="0" w:after="0"/>
              <w:rPr>
                <w:rFonts w:ascii="Arial" w:hAnsi="Arial" w:cs="Arial"/>
                <w:sz w:val="18"/>
                <w:szCs w:val="18"/>
                <w:lang w:val="en-GB"/>
              </w:rPr>
            </w:pPr>
            <w:r w:rsidRPr="00280186">
              <w:rPr>
                <w:rFonts w:ascii="Arial" w:hAnsi="Arial" w:cs="Arial"/>
                <w:sz w:val="18"/>
                <w:szCs w:val="18"/>
                <w:lang w:val="en-GB"/>
              </w:rPr>
              <w:t>Contracts under PEGASE DFS with no specific reference to a particular programme</w:t>
            </w:r>
            <w:r w:rsidR="00CE21C5">
              <w:rPr>
                <w:rFonts w:ascii="Arial" w:hAnsi="Arial" w:cs="Arial"/>
                <w:sz w:val="18"/>
                <w:szCs w:val="18"/>
                <w:lang w:val="en-GB"/>
              </w:rPr>
              <w:t xml:space="preserve"> and technical support</w:t>
            </w:r>
          </w:p>
        </w:tc>
        <w:tc>
          <w:tcPr>
            <w:tcW w:w="1203" w:type="dxa"/>
          </w:tcPr>
          <w:p w:rsidR="00A23C41" w:rsidRPr="00280186" w:rsidRDefault="00A23C41" w:rsidP="00625324">
            <w:pPr>
              <w:spacing w:before="0" w:after="0"/>
              <w:jc w:val="center"/>
              <w:rPr>
                <w:rFonts w:ascii="Arial" w:hAnsi="Arial" w:cs="Arial"/>
                <w:sz w:val="18"/>
                <w:szCs w:val="18"/>
                <w:lang w:val="en-GB"/>
              </w:rPr>
            </w:pPr>
            <w:r w:rsidRPr="00280186">
              <w:rPr>
                <w:rFonts w:ascii="Arial" w:hAnsi="Arial" w:cs="Arial"/>
                <w:sz w:val="18"/>
                <w:szCs w:val="18"/>
                <w:lang w:val="en-GB"/>
              </w:rPr>
              <w:t>Track 1</w:t>
            </w:r>
          </w:p>
        </w:tc>
      </w:tr>
      <w:tr w:rsidR="00A23C41" w:rsidRPr="00280186" w:rsidTr="00A23C41">
        <w:trPr>
          <w:trHeight w:val="296"/>
        </w:trPr>
        <w:tc>
          <w:tcPr>
            <w:tcW w:w="3276" w:type="dxa"/>
            <w:shd w:val="clear" w:color="auto" w:fill="DBE5F1" w:themeFill="accent1" w:themeFillTint="33"/>
            <w:noWrap/>
            <w:hideMark/>
          </w:tcPr>
          <w:p w:rsidR="00A23C41" w:rsidRPr="00280186" w:rsidRDefault="00A23C41" w:rsidP="00A23C41">
            <w:pPr>
              <w:spacing w:before="0" w:after="0"/>
              <w:rPr>
                <w:rFonts w:ascii="Arial" w:hAnsi="Arial" w:cs="Arial"/>
                <w:b/>
                <w:sz w:val="18"/>
                <w:szCs w:val="18"/>
                <w:lang w:val="en-GB"/>
              </w:rPr>
            </w:pPr>
            <w:r w:rsidRPr="00280186">
              <w:rPr>
                <w:rFonts w:ascii="Arial" w:hAnsi="Arial" w:cs="Arial"/>
                <w:b/>
                <w:sz w:val="18"/>
                <w:szCs w:val="18"/>
                <w:lang w:val="en-GB"/>
              </w:rPr>
              <w:t xml:space="preserve">PEGASE DFS - PRIVATE SECTOR </w:t>
            </w:r>
          </w:p>
        </w:tc>
        <w:tc>
          <w:tcPr>
            <w:tcW w:w="5244" w:type="dxa"/>
            <w:shd w:val="clear" w:color="auto" w:fill="FFFFFF" w:themeFill="background1"/>
          </w:tcPr>
          <w:p w:rsidR="00A23C41" w:rsidRPr="00280186" w:rsidRDefault="00A23C41" w:rsidP="00CE21C5">
            <w:pPr>
              <w:autoSpaceDE w:val="0"/>
              <w:autoSpaceDN w:val="0"/>
              <w:adjustRightInd w:val="0"/>
              <w:spacing w:before="0" w:after="0"/>
              <w:rPr>
                <w:rFonts w:ascii="Arial" w:hAnsi="Arial" w:cs="Arial"/>
                <w:sz w:val="18"/>
                <w:szCs w:val="18"/>
                <w:lang w:val="en-GB"/>
              </w:rPr>
            </w:pPr>
            <w:r w:rsidRPr="00280186">
              <w:rPr>
                <w:rFonts w:ascii="Arial" w:hAnsi="Arial" w:cs="Arial"/>
                <w:sz w:val="18"/>
                <w:szCs w:val="18"/>
                <w:lang w:val="en-GB"/>
              </w:rPr>
              <w:t xml:space="preserve">Private Sector Arrears </w:t>
            </w:r>
          </w:p>
        </w:tc>
        <w:tc>
          <w:tcPr>
            <w:tcW w:w="1203" w:type="dxa"/>
          </w:tcPr>
          <w:p w:rsidR="00A23C41" w:rsidRPr="00280186" w:rsidRDefault="00A23C41" w:rsidP="00625324">
            <w:pPr>
              <w:autoSpaceDE w:val="0"/>
              <w:autoSpaceDN w:val="0"/>
              <w:adjustRightInd w:val="0"/>
              <w:spacing w:before="0" w:after="0"/>
              <w:jc w:val="center"/>
              <w:rPr>
                <w:rFonts w:ascii="Arial" w:hAnsi="Arial" w:cs="Arial"/>
                <w:sz w:val="18"/>
                <w:szCs w:val="18"/>
                <w:lang w:val="en-GB"/>
              </w:rPr>
            </w:pPr>
            <w:r w:rsidRPr="00280186">
              <w:rPr>
                <w:rFonts w:ascii="Arial" w:hAnsi="Arial" w:cs="Arial"/>
                <w:sz w:val="18"/>
                <w:szCs w:val="18"/>
                <w:lang w:val="en-GB"/>
              </w:rPr>
              <w:t>Track 1</w:t>
            </w:r>
          </w:p>
        </w:tc>
      </w:tr>
      <w:tr w:rsidR="00A23C41" w:rsidRPr="00280186" w:rsidTr="00A23C41">
        <w:trPr>
          <w:trHeight w:val="296"/>
        </w:trPr>
        <w:tc>
          <w:tcPr>
            <w:tcW w:w="3276" w:type="dxa"/>
            <w:shd w:val="clear" w:color="auto" w:fill="DBE5F1" w:themeFill="accent1" w:themeFillTint="33"/>
            <w:noWrap/>
            <w:hideMark/>
          </w:tcPr>
          <w:p w:rsidR="00A23C41" w:rsidRPr="00280186" w:rsidRDefault="00A23C41" w:rsidP="00A23C41">
            <w:pPr>
              <w:spacing w:before="0" w:after="0"/>
              <w:rPr>
                <w:rFonts w:ascii="Arial" w:hAnsi="Arial" w:cs="Arial"/>
                <w:b/>
                <w:sz w:val="18"/>
                <w:szCs w:val="18"/>
                <w:lang w:val="en-GB"/>
              </w:rPr>
            </w:pPr>
            <w:r w:rsidRPr="00280186">
              <w:rPr>
                <w:rFonts w:ascii="Arial" w:hAnsi="Arial" w:cs="Arial"/>
                <w:b/>
                <w:sz w:val="18"/>
                <w:szCs w:val="18"/>
                <w:lang w:val="en-GB"/>
              </w:rPr>
              <w:t>PEGASE DFS - CSP</w:t>
            </w:r>
          </w:p>
        </w:tc>
        <w:tc>
          <w:tcPr>
            <w:tcW w:w="5244" w:type="dxa"/>
            <w:shd w:val="clear" w:color="auto" w:fill="FFFFFF" w:themeFill="background1"/>
          </w:tcPr>
          <w:p w:rsidR="00A23C41" w:rsidRPr="00280186" w:rsidRDefault="00A23C41" w:rsidP="00A23C41">
            <w:pPr>
              <w:spacing w:before="0" w:after="0"/>
              <w:rPr>
                <w:rFonts w:ascii="Arial" w:hAnsi="Arial" w:cs="Arial"/>
                <w:sz w:val="18"/>
                <w:szCs w:val="18"/>
                <w:lang w:val="en-GB"/>
              </w:rPr>
            </w:pPr>
            <w:r w:rsidRPr="00280186">
              <w:rPr>
                <w:rFonts w:ascii="Arial" w:hAnsi="Arial" w:cs="Arial"/>
                <w:sz w:val="18"/>
                <w:szCs w:val="18"/>
                <w:lang w:val="en-GB"/>
              </w:rPr>
              <w:t>Support to Civil Servants and Pensioners</w:t>
            </w:r>
          </w:p>
        </w:tc>
        <w:tc>
          <w:tcPr>
            <w:tcW w:w="1203" w:type="dxa"/>
          </w:tcPr>
          <w:p w:rsidR="00A23C41" w:rsidRPr="00280186" w:rsidRDefault="00A23C41" w:rsidP="00625324">
            <w:pPr>
              <w:spacing w:before="0" w:after="0"/>
              <w:jc w:val="center"/>
              <w:rPr>
                <w:rFonts w:ascii="Arial" w:hAnsi="Arial" w:cs="Arial"/>
                <w:sz w:val="18"/>
                <w:szCs w:val="18"/>
                <w:lang w:val="en-GB"/>
              </w:rPr>
            </w:pPr>
            <w:r w:rsidRPr="00280186">
              <w:rPr>
                <w:rFonts w:ascii="Arial" w:hAnsi="Arial" w:cs="Arial"/>
                <w:sz w:val="18"/>
                <w:szCs w:val="18"/>
                <w:lang w:val="en-GB"/>
              </w:rPr>
              <w:t>Track 1</w:t>
            </w:r>
          </w:p>
        </w:tc>
      </w:tr>
      <w:tr w:rsidR="00A23C41" w:rsidRPr="00280186" w:rsidTr="00A23C41">
        <w:trPr>
          <w:trHeight w:val="296"/>
        </w:trPr>
        <w:tc>
          <w:tcPr>
            <w:tcW w:w="3276" w:type="dxa"/>
            <w:shd w:val="clear" w:color="auto" w:fill="DBE5F1" w:themeFill="accent1" w:themeFillTint="33"/>
            <w:noWrap/>
            <w:hideMark/>
          </w:tcPr>
          <w:p w:rsidR="00A23C41" w:rsidRPr="00280186" w:rsidRDefault="00A23C41" w:rsidP="00A23C41">
            <w:pPr>
              <w:spacing w:before="0" w:after="0"/>
              <w:rPr>
                <w:rFonts w:ascii="Arial" w:hAnsi="Arial" w:cs="Arial"/>
                <w:b/>
                <w:sz w:val="18"/>
                <w:szCs w:val="18"/>
                <w:lang w:val="en-GB"/>
              </w:rPr>
            </w:pPr>
            <w:r w:rsidRPr="00280186">
              <w:rPr>
                <w:rFonts w:ascii="Arial" w:hAnsi="Arial" w:cs="Arial"/>
                <w:b/>
                <w:sz w:val="18"/>
                <w:szCs w:val="18"/>
                <w:lang w:val="en-GB"/>
              </w:rPr>
              <w:t>PEGASE DFS - VPF</w:t>
            </w:r>
          </w:p>
        </w:tc>
        <w:tc>
          <w:tcPr>
            <w:tcW w:w="5244" w:type="dxa"/>
            <w:shd w:val="clear" w:color="auto" w:fill="FFFFFF" w:themeFill="background1"/>
          </w:tcPr>
          <w:p w:rsidR="00A23C41" w:rsidRPr="00280186" w:rsidRDefault="00A23C41" w:rsidP="00A23C41">
            <w:pPr>
              <w:spacing w:before="0" w:after="0"/>
              <w:rPr>
                <w:rFonts w:ascii="Arial" w:hAnsi="Arial" w:cs="Arial"/>
                <w:sz w:val="18"/>
                <w:szCs w:val="18"/>
                <w:lang w:val="en-GB"/>
              </w:rPr>
            </w:pPr>
            <w:r w:rsidRPr="00280186">
              <w:rPr>
                <w:rFonts w:ascii="Arial" w:hAnsi="Arial" w:cs="Arial"/>
                <w:sz w:val="18"/>
                <w:szCs w:val="18"/>
                <w:lang w:val="en-GB"/>
              </w:rPr>
              <w:t xml:space="preserve">Support to Vulnerable Palestinian Families </w:t>
            </w:r>
          </w:p>
        </w:tc>
        <w:tc>
          <w:tcPr>
            <w:tcW w:w="1203" w:type="dxa"/>
          </w:tcPr>
          <w:p w:rsidR="00A23C41" w:rsidRPr="00280186" w:rsidRDefault="00A23C41" w:rsidP="00625324">
            <w:pPr>
              <w:spacing w:before="0" w:after="0"/>
              <w:jc w:val="center"/>
              <w:rPr>
                <w:rFonts w:ascii="Arial" w:hAnsi="Arial" w:cs="Arial"/>
                <w:sz w:val="18"/>
                <w:szCs w:val="18"/>
                <w:lang w:val="en-GB"/>
              </w:rPr>
            </w:pPr>
            <w:r w:rsidRPr="00280186">
              <w:rPr>
                <w:rFonts w:ascii="Arial" w:hAnsi="Arial" w:cs="Arial"/>
                <w:sz w:val="18"/>
                <w:szCs w:val="18"/>
                <w:lang w:val="en-GB"/>
              </w:rPr>
              <w:t>Track 1</w:t>
            </w:r>
          </w:p>
        </w:tc>
      </w:tr>
      <w:tr w:rsidR="00A23C41" w:rsidRPr="00280186" w:rsidTr="00A23C41">
        <w:trPr>
          <w:trHeight w:val="296"/>
        </w:trPr>
        <w:tc>
          <w:tcPr>
            <w:tcW w:w="3276" w:type="dxa"/>
            <w:shd w:val="clear" w:color="auto" w:fill="DBE5F1" w:themeFill="accent1" w:themeFillTint="33"/>
            <w:noWrap/>
            <w:hideMark/>
          </w:tcPr>
          <w:p w:rsidR="00A23C41" w:rsidRPr="00280186" w:rsidRDefault="00A23C41" w:rsidP="00A23C41">
            <w:pPr>
              <w:spacing w:before="0" w:after="0"/>
              <w:rPr>
                <w:rFonts w:ascii="Arial" w:hAnsi="Arial" w:cs="Arial"/>
                <w:b/>
                <w:sz w:val="18"/>
                <w:szCs w:val="18"/>
                <w:lang w:val="en-GB"/>
              </w:rPr>
            </w:pPr>
            <w:r w:rsidRPr="00280186">
              <w:rPr>
                <w:rFonts w:ascii="Arial" w:hAnsi="Arial" w:cs="Arial"/>
                <w:b/>
                <w:sz w:val="18"/>
                <w:szCs w:val="18"/>
                <w:lang w:val="en-GB"/>
              </w:rPr>
              <w:t>PEGASE DFS - SEPS</w:t>
            </w:r>
          </w:p>
        </w:tc>
        <w:tc>
          <w:tcPr>
            <w:tcW w:w="5244" w:type="dxa"/>
            <w:shd w:val="clear" w:color="auto" w:fill="FFFFFF" w:themeFill="background1"/>
          </w:tcPr>
          <w:p w:rsidR="00A23C41" w:rsidRPr="00280186" w:rsidRDefault="00A23C41" w:rsidP="00A23C41">
            <w:pPr>
              <w:spacing w:before="0" w:after="0"/>
              <w:rPr>
                <w:rFonts w:ascii="Arial" w:hAnsi="Arial" w:cs="Arial"/>
                <w:sz w:val="18"/>
                <w:szCs w:val="18"/>
                <w:lang w:val="en-GB"/>
              </w:rPr>
            </w:pPr>
            <w:r w:rsidRPr="00280186">
              <w:rPr>
                <w:rFonts w:ascii="Arial" w:hAnsi="Arial" w:cs="Arial"/>
                <w:sz w:val="18"/>
                <w:szCs w:val="18"/>
                <w:lang w:val="en-GB"/>
              </w:rPr>
              <w:t>Support to Essential Services</w:t>
            </w:r>
          </w:p>
        </w:tc>
        <w:tc>
          <w:tcPr>
            <w:tcW w:w="1203" w:type="dxa"/>
          </w:tcPr>
          <w:p w:rsidR="00A23C41" w:rsidRPr="00280186" w:rsidRDefault="00A23C41" w:rsidP="00625324">
            <w:pPr>
              <w:spacing w:before="0" w:after="0"/>
              <w:jc w:val="center"/>
              <w:rPr>
                <w:rFonts w:ascii="Arial" w:hAnsi="Arial" w:cs="Arial"/>
                <w:sz w:val="18"/>
                <w:szCs w:val="18"/>
                <w:lang w:val="en-GB"/>
              </w:rPr>
            </w:pPr>
            <w:r w:rsidRPr="00280186">
              <w:rPr>
                <w:rFonts w:ascii="Arial" w:hAnsi="Arial" w:cs="Arial"/>
                <w:sz w:val="18"/>
                <w:szCs w:val="18"/>
                <w:lang w:val="en-GB"/>
              </w:rPr>
              <w:t>Track 1</w:t>
            </w:r>
          </w:p>
        </w:tc>
      </w:tr>
      <w:tr w:rsidR="00A23C41" w:rsidRPr="00280186" w:rsidTr="00A23C41">
        <w:trPr>
          <w:trHeight w:val="296"/>
        </w:trPr>
        <w:tc>
          <w:tcPr>
            <w:tcW w:w="3276" w:type="dxa"/>
            <w:shd w:val="clear" w:color="auto" w:fill="DBE5F1" w:themeFill="accent1" w:themeFillTint="33"/>
            <w:noWrap/>
            <w:hideMark/>
          </w:tcPr>
          <w:p w:rsidR="00A23C41" w:rsidRPr="00280186" w:rsidRDefault="00A23C41" w:rsidP="00A23C41">
            <w:pPr>
              <w:spacing w:before="0" w:after="0"/>
              <w:rPr>
                <w:rFonts w:ascii="Arial" w:hAnsi="Arial" w:cs="Arial"/>
                <w:b/>
                <w:sz w:val="18"/>
                <w:szCs w:val="18"/>
                <w:lang w:val="en-GB"/>
              </w:rPr>
            </w:pPr>
            <w:r w:rsidRPr="00280186">
              <w:rPr>
                <w:rFonts w:ascii="Arial" w:hAnsi="Arial" w:cs="Arial"/>
                <w:b/>
                <w:sz w:val="18"/>
                <w:szCs w:val="18"/>
                <w:lang w:val="en-GB"/>
              </w:rPr>
              <w:t>PEGASE DFS - CPD</w:t>
            </w:r>
          </w:p>
        </w:tc>
        <w:tc>
          <w:tcPr>
            <w:tcW w:w="5244" w:type="dxa"/>
            <w:shd w:val="clear" w:color="auto" w:fill="FFFFFF" w:themeFill="background1"/>
          </w:tcPr>
          <w:p w:rsidR="00A23C41" w:rsidRPr="00280186" w:rsidRDefault="00A23C41" w:rsidP="00A23C41">
            <w:pPr>
              <w:spacing w:before="0" w:after="0"/>
              <w:rPr>
                <w:rFonts w:ascii="Arial" w:hAnsi="Arial" w:cs="Arial"/>
                <w:sz w:val="18"/>
                <w:szCs w:val="18"/>
                <w:lang w:val="en-GB"/>
              </w:rPr>
            </w:pPr>
            <w:r w:rsidRPr="00280186">
              <w:rPr>
                <w:rFonts w:ascii="Arial" w:hAnsi="Arial" w:cs="Arial"/>
                <w:sz w:val="18"/>
                <w:szCs w:val="18"/>
                <w:lang w:val="en-GB"/>
              </w:rPr>
              <w:t>Payment of salaries to the Civil Police and Civil Defence</w:t>
            </w:r>
          </w:p>
        </w:tc>
        <w:tc>
          <w:tcPr>
            <w:tcW w:w="1203" w:type="dxa"/>
          </w:tcPr>
          <w:p w:rsidR="00A23C41" w:rsidRPr="00280186" w:rsidRDefault="00A23C41" w:rsidP="00625324">
            <w:pPr>
              <w:spacing w:before="0" w:after="0"/>
              <w:jc w:val="center"/>
              <w:rPr>
                <w:rFonts w:ascii="Arial" w:hAnsi="Arial" w:cs="Arial"/>
                <w:sz w:val="18"/>
                <w:szCs w:val="18"/>
                <w:lang w:val="en-GB"/>
              </w:rPr>
            </w:pPr>
            <w:r w:rsidRPr="00280186">
              <w:rPr>
                <w:rFonts w:ascii="Arial" w:hAnsi="Arial" w:cs="Arial"/>
                <w:sz w:val="18"/>
                <w:szCs w:val="18"/>
                <w:lang w:val="en-GB"/>
              </w:rPr>
              <w:t>Track 1</w:t>
            </w:r>
          </w:p>
        </w:tc>
      </w:tr>
      <w:tr w:rsidR="00A23C41" w:rsidRPr="00280186" w:rsidTr="00A23C41">
        <w:trPr>
          <w:trHeight w:val="296"/>
        </w:trPr>
        <w:tc>
          <w:tcPr>
            <w:tcW w:w="3276" w:type="dxa"/>
            <w:shd w:val="clear" w:color="auto" w:fill="DBE5F1" w:themeFill="accent1" w:themeFillTint="33"/>
            <w:noWrap/>
            <w:hideMark/>
          </w:tcPr>
          <w:p w:rsidR="00A23C41" w:rsidRPr="00280186" w:rsidRDefault="00A23C41" w:rsidP="00A23C41">
            <w:pPr>
              <w:spacing w:before="0" w:after="0"/>
              <w:rPr>
                <w:rFonts w:ascii="Arial" w:hAnsi="Arial" w:cs="Arial"/>
                <w:b/>
                <w:sz w:val="18"/>
                <w:szCs w:val="18"/>
                <w:lang w:val="en-GB"/>
              </w:rPr>
            </w:pPr>
            <w:r w:rsidRPr="00280186">
              <w:rPr>
                <w:rFonts w:ascii="Arial" w:hAnsi="Arial" w:cs="Arial"/>
                <w:b/>
                <w:sz w:val="18"/>
                <w:szCs w:val="18"/>
                <w:lang w:val="en-GB"/>
              </w:rPr>
              <w:t>PEGASE DEV COOP</w:t>
            </w:r>
          </w:p>
        </w:tc>
        <w:tc>
          <w:tcPr>
            <w:tcW w:w="5244" w:type="dxa"/>
            <w:shd w:val="clear" w:color="auto" w:fill="FFFFFF" w:themeFill="background1"/>
          </w:tcPr>
          <w:p w:rsidR="00A23C41" w:rsidRPr="00280186" w:rsidRDefault="00A23C41" w:rsidP="00A23C41">
            <w:pPr>
              <w:spacing w:before="0" w:after="0"/>
              <w:rPr>
                <w:rFonts w:ascii="Arial" w:hAnsi="Arial" w:cs="Arial"/>
                <w:sz w:val="18"/>
                <w:szCs w:val="18"/>
                <w:lang w:val="en-GB"/>
              </w:rPr>
            </w:pPr>
            <w:r w:rsidRPr="00280186">
              <w:rPr>
                <w:rFonts w:ascii="Arial" w:hAnsi="Arial" w:cs="Arial"/>
                <w:sz w:val="18"/>
                <w:szCs w:val="18"/>
                <w:lang w:val="en-GB"/>
              </w:rPr>
              <w:t>PEGASE Development Cooperation projects</w:t>
            </w:r>
            <w:r w:rsidR="00CE21C5">
              <w:rPr>
                <w:rFonts w:ascii="Arial" w:hAnsi="Arial" w:cs="Arial"/>
                <w:sz w:val="18"/>
                <w:szCs w:val="18"/>
                <w:lang w:val="en-GB"/>
              </w:rPr>
              <w:t xml:space="preserve"> including Private Sector Reconstruction in Gaza (PSRG)</w:t>
            </w:r>
          </w:p>
        </w:tc>
        <w:tc>
          <w:tcPr>
            <w:tcW w:w="1203" w:type="dxa"/>
            <w:shd w:val="clear" w:color="auto" w:fill="FFFFFF" w:themeFill="background1"/>
          </w:tcPr>
          <w:p w:rsidR="00A23C41" w:rsidRPr="00280186" w:rsidRDefault="00A23C41" w:rsidP="00625324">
            <w:pPr>
              <w:spacing w:before="0" w:after="0"/>
              <w:jc w:val="center"/>
              <w:rPr>
                <w:rFonts w:ascii="Arial" w:hAnsi="Arial" w:cs="Arial"/>
                <w:sz w:val="18"/>
                <w:szCs w:val="18"/>
                <w:lang w:val="en-GB"/>
              </w:rPr>
            </w:pPr>
            <w:r w:rsidRPr="00280186">
              <w:rPr>
                <w:rFonts w:ascii="Arial" w:hAnsi="Arial" w:cs="Arial"/>
                <w:sz w:val="18"/>
                <w:szCs w:val="18"/>
                <w:lang w:val="en-GB"/>
              </w:rPr>
              <w:t>Track 2</w:t>
            </w:r>
          </w:p>
        </w:tc>
      </w:tr>
      <w:tr w:rsidR="00A23C41" w:rsidRPr="00280186" w:rsidTr="00A23C41">
        <w:trPr>
          <w:trHeight w:val="296"/>
        </w:trPr>
        <w:tc>
          <w:tcPr>
            <w:tcW w:w="3276" w:type="dxa"/>
            <w:shd w:val="clear" w:color="auto" w:fill="DBE5F1" w:themeFill="accent1" w:themeFillTint="33"/>
            <w:noWrap/>
            <w:hideMark/>
          </w:tcPr>
          <w:p w:rsidR="00A23C41" w:rsidRPr="00280186" w:rsidRDefault="00A23C41" w:rsidP="00A23C41">
            <w:pPr>
              <w:spacing w:before="0" w:after="0"/>
              <w:rPr>
                <w:rFonts w:ascii="Arial" w:hAnsi="Arial" w:cs="Arial"/>
                <w:b/>
                <w:sz w:val="18"/>
                <w:szCs w:val="18"/>
                <w:lang w:val="en-GB"/>
              </w:rPr>
            </w:pPr>
            <w:r w:rsidRPr="00280186">
              <w:rPr>
                <w:rFonts w:ascii="Arial" w:hAnsi="Arial" w:cs="Arial"/>
                <w:b/>
                <w:sz w:val="18"/>
                <w:szCs w:val="18"/>
                <w:lang w:val="en-GB"/>
              </w:rPr>
              <w:t>DEV</w:t>
            </w:r>
          </w:p>
        </w:tc>
        <w:tc>
          <w:tcPr>
            <w:tcW w:w="5244" w:type="dxa"/>
            <w:shd w:val="clear" w:color="auto" w:fill="FFFFFF" w:themeFill="background1"/>
          </w:tcPr>
          <w:p w:rsidR="00A23C41" w:rsidRPr="00280186" w:rsidRDefault="00A23C41" w:rsidP="00A23C41">
            <w:pPr>
              <w:spacing w:before="0" w:after="0"/>
              <w:rPr>
                <w:rFonts w:ascii="Arial" w:hAnsi="Arial" w:cs="Arial"/>
                <w:sz w:val="18"/>
                <w:szCs w:val="18"/>
                <w:lang w:val="en-GB"/>
              </w:rPr>
            </w:pPr>
            <w:r w:rsidRPr="00280186">
              <w:rPr>
                <w:rFonts w:ascii="Arial" w:hAnsi="Arial" w:cs="Arial"/>
                <w:sz w:val="18"/>
                <w:szCs w:val="18"/>
                <w:lang w:val="en-GB"/>
              </w:rPr>
              <w:t xml:space="preserve">All other contracts not related to PEGASE </w:t>
            </w:r>
          </w:p>
        </w:tc>
        <w:tc>
          <w:tcPr>
            <w:tcW w:w="1203" w:type="dxa"/>
            <w:shd w:val="clear" w:color="auto" w:fill="FFFFFF" w:themeFill="background1"/>
          </w:tcPr>
          <w:p w:rsidR="00A23C41" w:rsidRPr="00280186" w:rsidRDefault="00A23C41" w:rsidP="00625324">
            <w:pPr>
              <w:spacing w:before="0" w:after="0"/>
              <w:jc w:val="center"/>
              <w:rPr>
                <w:rFonts w:ascii="Arial" w:hAnsi="Arial" w:cs="Arial"/>
                <w:sz w:val="18"/>
                <w:szCs w:val="18"/>
                <w:lang w:val="en-GB"/>
              </w:rPr>
            </w:pPr>
            <w:r w:rsidRPr="00280186">
              <w:rPr>
                <w:rFonts w:ascii="Arial" w:hAnsi="Arial" w:cs="Arial"/>
                <w:sz w:val="18"/>
                <w:szCs w:val="18"/>
                <w:lang w:val="en-GB"/>
              </w:rPr>
              <w:t>Track 2</w:t>
            </w:r>
          </w:p>
        </w:tc>
      </w:tr>
      <w:tr w:rsidR="00A23C41" w:rsidRPr="00280186" w:rsidTr="00A23C41">
        <w:trPr>
          <w:trHeight w:val="296"/>
        </w:trPr>
        <w:tc>
          <w:tcPr>
            <w:tcW w:w="3276" w:type="dxa"/>
            <w:shd w:val="clear" w:color="auto" w:fill="DBE5F1" w:themeFill="accent1" w:themeFillTint="33"/>
            <w:noWrap/>
            <w:hideMark/>
          </w:tcPr>
          <w:p w:rsidR="00A23C41" w:rsidRPr="00280186" w:rsidRDefault="00A23C41" w:rsidP="00A23C41">
            <w:pPr>
              <w:spacing w:before="0" w:after="0"/>
              <w:rPr>
                <w:rFonts w:ascii="Arial" w:hAnsi="Arial" w:cs="Arial"/>
                <w:b/>
                <w:sz w:val="18"/>
                <w:szCs w:val="18"/>
                <w:lang w:val="en-GB"/>
              </w:rPr>
            </w:pPr>
            <w:r w:rsidRPr="00280186">
              <w:rPr>
                <w:rFonts w:ascii="Arial" w:hAnsi="Arial" w:cs="Arial"/>
                <w:b/>
                <w:sz w:val="18"/>
                <w:szCs w:val="18"/>
                <w:lang w:val="en-GB"/>
              </w:rPr>
              <w:t>UNRWA</w:t>
            </w:r>
          </w:p>
        </w:tc>
        <w:tc>
          <w:tcPr>
            <w:tcW w:w="5244" w:type="dxa"/>
            <w:shd w:val="clear" w:color="auto" w:fill="FFFFFF" w:themeFill="background1"/>
          </w:tcPr>
          <w:p w:rsidR="00A23C41" w:rsidRPr="00280186" w:rsidRDefault="00A23C41" w:rsidP="00A23C41">
            <w:pPr>
              <w:spacing w:before="0" w:after="0"/>
              <w:rPr>
                <w:rFonts w:ascii="Arial" w:hAnsi="Arial" w:cs="Arial"/>
                <w:sz w:val="18"/>
                <w:szCs w:val="18"/>
                <w:lang w:val="en-GB"/>
              </w:rPr>
            </w:pPr>
            <w:r w:rsidRPr="00280186">
              <w:rPr>
                <w:rFonts w:ascii="Arial" w:hAnsi="Arial" w:cs="Arial"/>
                <w:sz w:val="18"/>
                <w:szCs w:val="18"/>
                <w:lang w:val="en-GB"/>
              </w:rPr>
              <w:t>Contribution to the general fund UNRWA</w:t>
            </w:r>
          </w:p>
        </w:tc>
        <w:tc>
          <w:tcPr>
            <w:tcW w:w="1203" w:type="dxa"/>
          </w:tcPr>
          <w:p w:rsidR="00A23C41" w:rsidRPr="00280186" w:rsidRDefault="00A23C41" w:rsidP="00625324">
            <w:pPr>
              <w:spacing w:before="0" w:after="0"/>
              <w:jc w:val="center"/>
              <w:rPr>
                <w:rFonts w:ascii="Arial" w:hAnsi="Arial" w:cs="Arial"/>
                <w:sz w:val="18"/>
                <w:szCs w:val="18"/>
                <w:lang w:val="en-GB"/>
              </w:rPr>
            </w:pPr>
            <w:r w:rsidRPr="00280186">
              <w:rPr>
                <w:rFonts w:ascii="Arial" w:hAnsi="Arial" w:cs="Arial"/>
                <w:sz w:val="18"/>
                <w:szCs w:val="18"/>
                <w:lang w:val="en-GB"/>
              </w:rPr>
              <w:t>Track 3</w:t>
            </w:r>
          </w:p>
        </w:tc>
      </w:tr>
    </w:tbl>
    <w:p w:rsidR="00A23C41" w:rsidRPr="00EF09A2" w:rsidRDefault="00A23C41" w:rsidP="00A23C41">
      <w:pPr>
        <w:pStyle w:val="Default"/>
        <w:shd w:val="clear" w:color="auto" w:fill="FFFFFF" w:themeFill="background1"/>
        <w:spacing w:before="0" w:after="0"/>
        <w:ind w:left="720"/>
        <w:rPr>
          <w:rFonts w:ascii="Arial" w:hAnsi="Arial" w:cs="Arial"/>
          <w:lang w:val="en-GB"/>
        </w:rPr>
      </w:pPr>
    </w:p>
    <w:p w:rsidR="00A23C41" w:rsidRPr="00C61A75" w:rsidRDefault="00A23C41" w:rsidP="00A23C41">
      <w:pPr>
        <w:pStyle w:val="Default"/>
        <w:numPr>
          <w:ilvl w:val="0"/>
          <w:numId w:val="5"/>
        </w:numPr>
        <w:spacing w:before="0" w:after="0"/>
        <w:rPr>
          <w:rFonts w:ascii="Arial" w:hAnsi="Arial" w:cs="Arial"/>
          <w:sz w:val="22"/>
          <w:szCs w:val="22"/>
          <w:lang w:val="en-GB"/>
        </w:rPr>
      </w:pPr>
      <w:r w:rsidRPr="00C61A75">
        <w:rPr>
          <w:rFonts w:ascii="Arial" w:hAnsi="Arial" w:cs="Arial"/>
          <w:b/>
          <w:bCs/>
          <w:i/>
          <w:iCs/>
          <w:sz w:val="22"/>
          <w:szCs w:val="22"/>
          <w:lang w:val="en-GB"/>
        </w:rPr>
        <w:t xml:space="preserve">Sector and sub-sectors </w:t>
      </w:r>
    </w:p>
    <w:p w:rsidR="00A23C41" w:rsidRDefault="00A23C41" w:rsidP="00A23C41">
      <w:pPr>
        <w:pStyle w:val="Default"/>
        <w:spacing w:before="0" w:after="0"/>
        <w:rPr>
          <w:rFonts w:ascii="Arial" w:hAnsi="Arial" w:cs="Arial"/>
          <w:lang w:val="en-GB"/>
        </w:rPr>
      </w:pPr>
      <w:r w:rsidRPr="00C61A75">
        <w:rPr>
          <w:rFonts w:ascii="Arial" w:hAnsi="Arial" w:cs="Arial"/>
          <w:sz w:val="22"/>
          <w:szCs w:val="22"/>
          <w:lang w:val="en-GB"/>
        </w:rPr>
        <w:t xml:space="preserve">The sectors have been defined on the basis of the analysis of main relevant policy and programming documents and correspond to the main areas of EC intervention as foreseen under the EU/PA ENP Action Plans 2005 and 2013. The definition of the </w:t>
      </w:r>
      <w:r w:rsidRPr="00C61A75">
        <w:rPr>
          <w:rFonts w:ascii="Arial" w:hAnsi="Arial" w:cs="Arial"/>
          <w:b/>
          <w:bCs/>
          <w:sz w:val="22"/>
          <w:szCs w:val="22"/>
          <w:lang w:val="en-GB"/>
        </w:rPr>
        <w:t xml:space="preserve">sectors </w:t>
      </w:r>
      <w:r w:rsidRPr="00C61A75">
        <w:rPr>
          <w:rFonts w:ascii="Arial" w:hAnsi="Arial" w:cs="Arial"/>
          <w:sz w:val="22"/>
          <w:szCs w:val="22"/>
          <w:lang w:val="en-GB"/>
        </w:rPr>
        <w:t xml:space="preserve">and </w:t>
      </w:r>
      <w:r w:rsidRPr="00C61A75">
        <w:rPr>
          <w:rFonts w:ascii="Arial" w:hAnsi="Arial" w:cs="Arial"/>
          <w:b/>
          <w:bCs/>
          <w:sz w:val="22"/>
          <w:szCs w:val="22"/>
          <w:lang w:val="en-GB"/>
        </w:rPr>
        <w:t xml:space="preserve">sub-sectors </w:t>
      </w:r>
      <w:r w:rsidRPr="00C61A75">
        <w:rPr>
          <w:rFonts w:ascii="Arial" w:hAnsi="Arial" w:cs="Arial"/>
          <w:sz w:val="22"/>
          <w:szCs w:val="22"/>
          <w:lang w:val="en-GB"/>
        </w:rPr>
        <w:t>has also been defined following a first analysis of the content of the inventory</w:t>
      </w:r>
      <w:r w:rsidRPr="00C61A75">
        <w:rPr>
          <w:rStyle w:val="Rimandonotaapidipagina"/>
          <w:rFonts w:ascii="Arial" w:hAnsi="Arial" w:cs="Arial"/>
          <w:sz w:val="22"/>
          <w:szCs w:val="22"/>
        </w:rPr>
        <w:footnoteReference w:id="65"/>
      </w:r>
      <w:r w:rsidRPr="00C61A75">
        <w:rPr>
          <w:rFonts w:ascii="Arial" w:hAnsi="Arial" w:cs="Arial"/>
          <w:sz w:val="22"/>
          <w:szCs w:val="22"/>
          <w:lang w:val="en-GB"/>
        </w:rPr>
        <w:t xml:space="preserve">. Overall, </w:t>
      </w:r>
      <w:r>
        <w:rPr>
          <w:rFonts w:ascii="Arial" w:hAnsi="Arial" w:cs="Arial"/>
          <w:b/>
          <w:bCs/>
          <w:sz w:val="22"/>
          <w:szCs w:val="22"/>
          <w:lang w:val="en-GB"/>
        </w:rPr>
        <w:t>7</w:t>
      </w:r>
      <w:r w:rsidRPr="00C61A75">
        <w:rPr>
          <w:rFonts w:ascii="Arial" w:hAnsi="Arial" w:cs="Arial"/>
          <w:b/>
          <w:bCs/>
          <w:sz w:val="22"/>
          <w:szCs w:val="22"/>
          <w:lang w:val="en-GB"/>
        </w:rPr>
        <w:t xml:space="preserve"> sectors </w:t>
      </w:r>
      <w:r w:rsidRPr="00C61A75">
        <w:rPr>
          <w:rFonts w:ascii="Arial" w:hAnsi="Arial" w:cs="Arial"/>
          <w:sz w:val="22"/>
          <w:szCs w:val="22"/>
          <w:lang w:val="en-GB"/>
        </w:rPr>
        <w:t xml:space="preserve">have been identified (see Table 2) with </w:t>
      </w:r>
      <w:r w:rsidRPr="00C61A75">
        <w:rPr>
          <w:rFonts w:ascii="Arial" w:hAnsi="Arial" w:cs="Arial"/>
          <w:b/>
          <w:bCs/>
          <w:sz w:val="22"/>
          <w:szCs w:val="22"/>
          <w:lang w:val="en-GB"/>
        </w:rPr>
        <w:t>2</w:t>
      </w:r>
      <w:r>
        <w:rPr>
          <w:rFonts w:ascii="Arial" w:hAnsi="Arial" w:cs="Arial"/>
          <w:b/>
          <w:bCs/>
          <w:sz w:val="22"/>
          <w:szCs w:val="22"/>
          <w:lang w:val="en-GB"/>
        </w:rPr>
        <w:t>2</w:t>
      </w:r>
      <w:r w:rsidRPr="00C61A75">
        <w:rPr>
          <w:rFonts w:ascii="Arial" w:hAnsi="Arial" w:cs="Arial"/>
          <w:b/>
          <w:bCs/>
          <w:sz w:val="22"/>
          <w:szCs w:val="22"/>
          <w:lang w:val="en-GB"/>
        </w:rPr>
        <w:t xml:space="preserve"> sub-sectors</w:t>
      </w:r>
      <w:r w:rsidRPr="00EF09A2">
        <w:rPr>
          <w:rFonts w:ascii="Arial" w:hAnsi="Arial" w:cs="Arial"/>
          <w:lang w:val="en-GB"/>
        </w:rPr>
        <w:t xml:space="preserve">. </w:t>
      </w:r>
    </w:p>
    <w:p w:rsidR="00A23C41" w:rsidRPr="004D6993" w:rsidRDefault="00A23C41" w:rsidP="00A23C41">
      <w:pPr>
        <w:pStyle w:val="Default"/>
        <w:spacing w:before="0" w:after="0"/>
        <w:jc w:val="center"/>
        <w:rPr>
          <w:rFonts w:ascii="Arial" w:hAnsi="Arial" w:cs="Arial"/>
          <w:color w:val="1F497D" w:themeColor="text2"/>
          <w:sz w:val="18"/>
          <w:szCs w:val="18"/>
          <w:lang w:val="en-GB"/>
        </w:rPr>
      </w:pPr>
    </w:p>
    <w:p w:rsidR="00A23C41" w:rsidRPr="004D6993" w:rsidRDefault="00A23C41" w:rsidP="00D714DB">
      <w:pPr>
        <w:pStyle w:val="Didascalia"/>
        <w:framePr w:wrap="around"/>
        <w:rPr>
          <w:smallCaps/>
          <w:lang w:val="en-GB"/>
        </w:rPr>
      </w:pPr>
      <w:bookmarkStart w:id="70" w:name="_Ref353876468"/>
      <w:bookmarkStart w:id="71" w:name="_Toc358819942"/>
      <w:r w:rsidRPr="004D6993">
        <w:rPr>
          <w:lang w:val="en-GB"/>
        </w:rPr>
        <w:t>Table</w:t>
      </w:r>
      <w:bookmarkEnd w:id="70"/>
      <w:r w:rsidRPr="004D6993">
        <w:rPr>
          <w:lang w:val="en-GB"/>
        </w:rPr>
        <w:t xml:space="preserve"> 2: Classification by sectors and sub-sectors – EU/Palestine contracts</w:t>
      </w:r>
      <w:bookmarkEnd w:id="71"/>
    </w:p>
    <w:tbl>
      <w:tblPr>
        <w:tblW w:w="5000" w:type="pct"/>
        <w:tblBorders>
          <w:top w:val="single" w:sz="12" w:space="0" w:color="1F497D" w:themeColor="text2"/>
          <w:left w:val="single" w:sz="12" w:space="0" w:color="1F497D" w:themeColor="text2"/>
          <w:bottom w:val="single" w:sz="12" w:space="0" w:color="1F497D" w:themeColor="text2"/>
          <w:right w:val="single" w:sz="12" w:space="0" w:color="1F497D" w:themeColor="text2"/>
          <w:insideH w:val="single" w:sz="6" w:space="0" w:color="1F497D" w:themeColor="text2"/>
          <w:insideV w:val="single" w:sz="6" w:space="0" w:color="1F497D" w:themeColor="text2"/>
        </w:tblBorders>
        <w:tblLayout w:type="fixed"/>
        <w:tblCellMar>
          <w:left w:w="70" w:type="dxa"/>
          <w:right w:w="70" w:type="dxa"/>
        </w:tblCellMar>
        <w:tblLook w:val="04A0"/>
      </w:tblPr>
      <w:tblGrid>
        <w:gridCol w:w="436"/>
        <w:gridCol w:w="2752"/>
        <w:gridCol w:w="6590"/>
      </w:tblGrid>
      <w:tr w:rsidR="00A23C41" w:rsidRPr="00E746CA" w:rsidTr="00A23C41">
        <w:trPr>
          <w:trHeight w:val="255"/>
        </w:trPr>
        <w:tc>
          <w:tcPr>
            <w:tcW w:w="223" w:type="pct"/>
            <w:tcBorders>
              <w:top w:val="single" w:sz="12" w:space="0" w:color="1F497D" w:themeColor="text2"/>
              <w:left w:val="single" w:sz="12" w:space="0" w:color="1F497D" w:themeColor="text2"/>
              <w:bottom w:val="single" w:sz="2" w:space="0" w:color="1F497D" w:themeColor="text2"/>
              <w:right w:val="nil"/>
            </w:tcBorders>
            <w:shd w:val="clear" w:color="auto" w:fill="1F497D" w:themeFill="text2"/>
            <w:vAlign w:val="center"/>
          </w:tcPr>
          <w:p w:rsidR="00A23C41" w:rsidRPr="00E746CA" w:rsidRDefault="00A23C41" w:rsidP="00A23C41">
            <w:pPr>
              <w:spacing w:before="0" w:after="0"/>
              <w:jc w:val="left"/>
              <w:rPr>
                <w:rFonts w:ascii="Arial" w:hAnsi="Arial" w:cs="Arial"/>
                <w:b/>
                <w:color w:val="FFFFFF" w:themeColor="background1"/>
                <w:sz w:val="18"/>
                <w:szCs w:val="18"/>
                <w:lang w:val="en-GB"/>
              </w:rPr>
            </w:pPr>
            <w:r>
              <w:rPr>
                <w:rFonts w:ascii="Arial" w:hAnsi="Arial" w:cs="Arial"/>
                <w:b/>
                <w:color w:val="FFFFFF" w:themeColor="background1"/>
                <w:sz w:val="18"/>
                <w:szCs w:val="18"/>
                <w:lang w:val="en-GB"/>
              </w:rPr>
              <w:t>1</w:t>
            </w:r>
          </w:p>
        </w:tc>
        <w:tc>
          <w:tcPr>
            <w:tcW w:w="4777" w:type="pct"/>
            <w:gridSpan w:val="2"/>
            <w:tcBorders>
              <w:top w:val="single" w:sz="12" w:space="0" w:color="1F497D" w:themeColor="text2"/>
              <w:left w:val="nil"/>
              <w:bottom w:val="single" w:sz="2" w:space="0" w:color="1F497D" w:themeColor="text2"/>
            </w:tcBorders>
            <w:shd w:val="clear" w:color="auto" w:fill="1F497D" w:themeFill="text2"/>
            <w:noWrap/>
            <w:vAlign w:val="center"/>
            <w:hideMark/>
          </w:tcPr>
          <w:p w:rsidR="00A23C41" w:rsidRPr="00E746CA" w:rsidRDefault="00A23C41" w:rsidP="00A23C41">
            <w:pPr>
              <w:spacing w:before="0" w:after="0"/>
              <w:jc w:val="left"/>
              <w:rPr>
                <w:rFonts w:ascii="Arial" w:hAnsi="Arial" w:cs="Arial"/>
                <w:b/>
                <w:color w:val="FFFFFF" w:themeColor="background1"/>
                <w:sz w:val="18"/>
                <w:szCs w:val="18"/>
                <w:lang w:val="en-GB"/>
              </w:rPr>
            </w:pPr>
            <w:r w:rsidRPr="00E746CA">
              <w:rPr>
                <w:rFonts w:ascii="Arial" w:hAnsi="Arial" w:cs="Arial"/>
                <w:b/>
                <w:color w:val="FFFFFF" w:themeColor="background1"/>
                <w:sz w:val="18"/>
                <w:szCs w:val="18"/>
                <w:lang w:val="en-GB"/>
              </w:rPr>
              <w:t>Government and Political dialogue (GOV)</w:t>
            </w:r>
          </w:p>
        </w:tc>
      </w:tr>
      <w:tr w:rsidR="00A23C41" w:rsidRPr="00E746CA" w:rsidTr="00A23C41">
        <w:trPr>
          <w:trHeight w:val="255"/>
        </w:trPr>
        <w:tc>
          <w:tcPr>
            <w:tcW w:w="223" w:type="pct"/>
            <w:tcBorders>
              <w:top w:val="single" w:sz="2" w:space="0" w:color="1F497D" w:themeColor="text2"/>
              <w:left w:val="single" w:sz="12" w:space="0" w:color="1F497D" w:themeColor="text2"/>
              <w:bottom w:val="single" w:sz="2" w:space="0" w:color="1F497D" w:themeColor="text2"/>
              <w:right w:val="nil"/>
            </w:tcBorders>
            <w:vAlign w:val="center"/>
          </w:tcPr>
          <w:p w:rsidR="00A23C41" w:rsidRPr="00E746CA" w:rsidRDefault="00A23C41" w:rsidP="00A23C41">
            <w:pPr>
              <w:spacing w:before="0" w:after="0"/>
              <w:jc w:val="left"/>
              <w:rPr>
                <w:rFonts w:ascii="Arial" w:hAnsi="Arial" w:cs="Arial"/>
                <w:sz w:val="18"/>
                <w:szCs w:val="18"/>
                <w:lang w:val="en-GB"/>
              </w:rPr>
            </w:pPr>
          </w:p>
        </w:tc>
        <w:tc>
          <w:tcPr>
            <w:tcW w:w="1407" w:type="pct"/>
            <w:tcBorders>
              <w:top w:val="single" w:sz="2" w:space="0" w:color="1F497D" w:themeColor="text2"/>
              <w:left w:val="nil"/>
              <w:bottom w:val="single" w:sz="2" w:space="0" w:color="1F497D" w:themeColor="text2"/>
            </w:tcBorders>
            <w:shd w:val="clear" w:color="auto" w:fill="auto"/>
            <w:noWrap/>
            <w:vAlign w:val="center"/>
            <w:hideMark/>
          </w:tcPr>
          <w:p w:rsidR="00A23C41" w:rsidRPr="00E746CA" w:rsidRDefault="00A23C41" w:rsidP="00A23C41">
            <w:pPr>
              <w:spacing w:before="0" w:after="0"/>
              <w:jc w:val="left"/>
              <w:rPr>
                <w:rFonts w:ascii="Arial" w:hAnsi="Arial" w:cs="Arial"/>
                <w:sz w:val="18"/>
                <w:szCs w:val="18"/>
                <w:lang w:val="en-GB"/>
              </w:rPr>
            </w:pPr>
            <w:r w:rsidRPr="00E746CA">
              <w:rPr>
                <w:rFonts w:ascii="Arial" w:hAnsi="Arial" w:cs="Arial"/>
                <w:sz w:val="18"/>
                <w:szCs w:val="18"/>
                <w:lang w:val="en-GB"/>
              </w:rPr>
              <w:t>Civilian peace-building, conflict prevention and resolution</w:t>
            </w:r>
          </w:p>
        </w:tc>
        <w:tc>
          <w:tcPr>
            <w:tcW w:w="3370" w:type="pct"/>
            <w:tcBorders>
              <w:top w:val="single" w:sz="2" w:space="0" w:color="1F497D" w:themeColor="text2"/>
              <w:left w:val="nil"/>
              <w:bottom w:val="single" w:sz="2" w:space="0" w:color="1F497D" w:themeColor="text2"/>
            </w:tcBorders>
            <w:vAlign w:val="center"/>
          </w:tcPr>
          <w:p w:rsidR="00A23C41" w:rsidRPr="00E746CA" w:rsidRDefault="00A23C41" w:rsidP="00A23C41">
            <w:pPr>
              <w:pStyle w:val="Default"/>
              <w:spacing w:before="0" w:after="0"/>
              <w:jc w:val="left"/>
              <w:rPr>
                <w:rFonts w:ascii="Arial" w:hAnsi="Arial" w:cs="Arial"/>
                <w:sz w:val="18"/>
                <w:szCs w:val="18"/>
                <w:lang w:val="en-GB"/>
              </w:rPr>
            </w:pPr>
            <w:r w:rsidRPr="00E746CA">
              <w:rPr>
                <w:rFonts w:ascii="Arial" w:hAnsi="Arial" w:cs="Arial"/>
                <w:sz w:val="18"/>
                <w:szCs w:val="18"/>
                <w:lang w:val="en-GB"/>
              </w:rPr>
              <w:t>Support for civilian activities related to peace building, conflict prevention and resolution, including capacity building, monitoring, dialogue and information exchange</w:t>
            </w:r>
          </w:p>
        </w:tc>
      </w:tr>
      <w:tr w:rsidR="00A23C41" w:rsidRPr="00E746CA" w:rsidTr="00A23C41">
        <w:trPr>
          <w:trHeight w:val="255"/>
        </w:trPr>
        <w:tc>
          <w:tcPr>
            <w:tcW w:w="223" w:type="pct"/>
            <w:tcBorders>
              <w:top w:val="single" w:sz="2" w:space="0" w:color="1F497D" w:themeColor="text2"/>
              <w:left w:val="single" w:sz="12" w:space="0" w:color="1F497D" w:themeColor="text2"/>
              <w:bottom w:val="single" w:sz="2" w:space="0" w:color="1F497D" w:themeColor="text2"/>
              <w:right w:val="nil"/>
            </w:tcBorders>
            <w:vAlign w:val="center"/>
          </w:tcPr>
          <w:p w:rsidR="00A23C41" w:rsidRPr="00E746CA" w:rsidRDefault="00A23C41" w:rsidP="00A23C41">
            <w:pPr>
              <w:spacing w:before="0" w:after="0"/>
              <w:jc w:val="left"/>
              <w:rPr>
                <w:rFonts w:ascii="Arial" w:hAnsi="Arial" w:cs="Arial"/>
                <w:sz w:val="18"/>
                <w:szCs w:val="18"/>
                <w:lang w:val="en-GB"/>
              </w:rPr>
            </w:pPr>
          </w:p>
        </w:tc>
        <w:tc>
          <w:tcPr>
            <w:tcW w:w="1407" w:type="pct"/>
            <w:tcBorders>
              <w:top w:val="single" w:sz="2" w:space="0" w:color="1F497D" w:themeColor="text2"/>
              <w:left w:val="nil"/>
              <w:bottom w:val="single" w:sz="2" w:space="0" w:color="1F497D" w:themeColor="text2"/>
            </w:tcBorders>
            <w:shd w:val="clear" w:color="auto" w:fill="auto"/>
            <w:noWrap/>
            <w:vAlign w:val="center"/>
            <w:hideMark/>
          </w:tcPr>
          <w:p w:rsidR="00A23C41" w:rsidRPr="00E746CA" w:rsidRDefault="00A23C41" w:rsidP="00A23C41">
            <w:pPr>
              <w:spacing w:before="0" w:after="0"/>
              <w:jc w:val="left"/>
              <w:rPr>
                <w:rFonts w:ascii="Arial" w:hAnsi="Arial" w:cs="Arial"/>
                <w:sz w:val="18"/>
                <w:szCs w:val="18"/>
                <w:lang w:val="en-GB"/>
              </w:rPr>
            </w:pPr>
            <w:r w:rsidRPr="00E746CA">
              <w:rPr>
                <w:rFonts w:ascii="Arial" w:hAnsi="Arial" w:cs="Arial"/>
                <w:sz w:val="18"/>
                <w:szCs w:val="18"/>
                <w:lang w:val="en-GB"/>
              </w:rPr>
              <w:t>Democratic participation and civil society</w:t>
            </w:r>
          </w:p>
        </w:tc>
        <w:tc>
          <w:tcPr>
            <w:tcW w:w="3370" w:type="pct"/>
            <w:tcBorders>
              <w:top w:val="single" w:sz="2" w:space="0" w:color="1F497D" w:themeColor="text2"/>
              <w:left w:val="nil"/>
              <w:bottom w:val="single" w:sz="2" w:space="0" w:color="1F497D" w:themeColor="text2"/>
            </w:tcBorders>
            <w:vAlign w:val="center"/>
          </w:tcPr>
          <w:p w:rsidR="00A23C41" w:rsidRPr="00E746CA" w:rsidRDefault="00A23C41" w:rsidP="00A23C41">
            <w:pPr>
              <w:spacing w:before="0" w:after="0"/>
              <w:jc w:val="left"/>
              <w:rPr>
                <w:rFonts w:ascii="Arial" w:hAnsi="Arial" w:cs="Arial"/>
                <w:sz w:val="18"/>
                <w:szCs w:val="18"/>
                <w:lang w:val="en-GB"/>
              </w:rPr>
            </w:pPr>
            <w:r w:rsidRPr="00E746CA">
              <w:rPr>
                <w:rFonts w:ascii="Arial" w:hAnsi="Arial" w:cs="Arial"/>
                <w:sz w:val="18"/>
                <w:szCs w:val="18"/>
                <w:lang w:val="en-GB"/>
              </w:rPr>
              <w:t>Community participation and development; co-operatives; grassroots organisations; development of other participatory planning and decision making procedures and institutions</w:t>
            </w:r>
          </w:p>
        </w:tc>
      </w:tr>
      <w:tr w:rsidR="00A23C41" w:rsidRPr="00E746CA" w:rsidTr="00A23C41">
        <w:trPr>
          <w:trHeight w:val="255"/>
        </w:trPr>
        <w:tc>
          <w:tcPr>
            <w:tcW w:w="223" w:type="pct"/>
            <w:tcBorders>
              <w:top w:val="single" w:sz="2" w:space="0" w:color="1F497D" w:themeColor="text2"/>
              <w:left w:val="single" w:sz="12" w:space="0" w:color="1F497D" w:themeColor="text2"/>
              <w:bottom w:val="single" w:sz="2" w:space="0" w:color="1F497D" w:themeColor="text2"/>
              <w:right w:val="nil"/>
            </w:tcBorders>
            <w:vAlign w:val="center"/>
          </w:tcPr>
          <w:p w:rsidR="00A23C41" w:rsidRPr="00E746CA" w:rsidRDefault="00A23C41" w:rsidP="00A23C41">
            <w:pPr>
              <w:spacing w:before="0" w:after="0"/>
              <w:jc w:val="left"/>
              <w:rPr>
                <w:rFonts w:ascii="Arial" w:hAnsi="Arial" w:cs="Arial"/>
                <w:sz w:val="18"/>
                <w:szCs w:val="18"/>
                <w:lang w:val="en-GB"/>
              </w:rPr>
            </w:pPr>
          </w:p>
        </w:tc>
        <w:tc>
          <w:tcPr>
            <w:tcW w:w="1407" w:type="pct"/>
            <w:tcBorders>
              <w:top w:val="single" w:sz="2" w:space="0" w:color="1F497D" w:themeColor="text2"/>
              <w:left w:val="nil"/>
              <w:bottom w:val="single" w:sz="2" w:space="0" w:color="1F497D" w:themeColor="text2"/>
            </w:tcBorders>
            <w:shd w:val="clear" w:color="auto" w:fill="auto"/>
            <w:noWrap/>
            <w:vAlign w:val="center"/>
            <w:hideMark/>
          </w:tcPr>
          <w:p w:rsidR="00A23C41" w:rsidRPr="00E746CA" w:rsidRDefault="00A23C41" w:rsidP="00A23C41">
            <w:pPr>
              <w:spacing w:before="0" w:after="0"/>
              <w:jc w:val="left"/>
              <w:rPr>
                <w:rFonts w:ascii="Arial" w:hAnsi="Arial" w:cs="Arial"/>
                <w:sz w:val="18"/>
                <w:szCs w:val="18"/>
                <w:lang w:val="en-GB"/>
              </w:rPr>
            </w:pPr>
            <w:r w:rsidRPr="00E746CA">
              <w:rPr>
                <w:rFonts w:ascii="Arial" w:hAnsi="Arial" w:cs="Arial"/>
                <w:sz w:val="18"/>
                <w:szCs w:val="18"/>
                <w:lang w:val="en-GB"/>
              </w:rPr>
              <w:t>Human Rights</w:t>
            </w:r>
          </w:p>
        </w:tc>
        <w:tc>
          <w:tcPr>
            <w:tcW w:w="3370" w:type="pct"/>
            <w:tcBorders>
              <w:top w:val="single" w:sz="2" w:space="0" w:color="1F497D" w:themeColor="text2"/>
              <w:left w:val="nil"/>
              <w:bottom w:val="single" w:sz="2" w:space="0" w:color="1F497D" w:themeColor="text2"/>
            </w:tcBorders>
            <w:vAlign w:val="center"/>
          </w:tcPr>
          <w:p w:rsidR="00A23C41" w:rsidRPr="00E746CA" w:rsidRDefault="00A23C41" w:rsidP="00A23C41">
            <w:pPr>
              <w:spacing w:before="0" w:after="0"/>
              <w:jc w:val="left"/>
              <w:rPr>
                <w:rFonts w:ascii="Arial" w:hAnsi="Arial" w:cs="Arial"/>
                <w:sz w:val="18"/>
                <w:szCs w:val="18"/>
                <w:lang w:val="en-GB"/>
              </w:rPr>
            </w:pPr>
            <w:r w:rsidRPr="00E746CA">
              <w:rPr>
                <w:rFonts w:ascii="Arial" w:hAnsi="Arial" w:cs="Arial"/>
                <w:sz w:val="18"/>
                <w:szCs w:val="18"/>
                <w:lang w:val="en-GB"/>
              </w:rPr>
              <w:t>Monitoring of human rights performance; support for national and regional human rights bodies; protection of ethnic, religious and cultural minorities</w:t>
            </w:r>
          </w:p>
        </w:tc>
      </w:tr>
      <w:tr w:rsidR="00A23C41" w:rsidRPr="00E746CA" w:rsidTr="00A23C41">
        <w:trPr>
          <w:trHeight w:val="255"/>
        </w:trPr>
        <w:tc>
          <w:tcPr>
            <w:tcW w:w="223" w:type="pct"/>
            <w:tcBorders>
              <w:top w:val="single" w:sz="2" w:space="0" w:color="1F497D" w:themeColor="text2"/>
              <w:left w:val="single" w:sz="12" w:space="0" w:color="1F497D" w:themeColor="text2"/>
              <w:bottom w:val="single" w:sz="2" w:space="0" w:color="1F497D" w:themeColor="text2"/>
              <w:right w:val="nil"/>
            </w:tcBorders>
            <w:vAlign w:val="center"/>
          </w:tcPr>
          <w:p w:rsidR="00A23C41" w:rsidRPr="00E746CA" w:rsidRDefault="00A23C41" w:rsidP="00A23C41">
            <w:pPr>
              <w:spacing w:before="0" w:after="0"/>
              <w:jc w:val="left"/>
              <w:rPr>
                <w:rFonts w:ascii="Arial" w:hAnsi="Arial" w:cs="Arial"/>
                <w:sz w:val="18"/>
                <w:szCs w:val="18"/>
                <w:lang w:val="en-GB"/>
              </w:rPr>
            </w:pPr>
          </w:p>
        </w:tc>
        <w:tc>
          <w:tcPr>
            <w:tcW w:w="1407" w:type="pct"/>
            <w:tcBorders>
              <w:top w:val="single" w:sz="2" w:space="0" w:color="1F497D" w:themeColor="text2"/>
              <w:left w:val="nil"/>
              <w:bottom w:val="single" w:sz="2" w:space="0" w:color="1F497D" w:themeColor="text2"/>
            </w:tcBorders>
            <w:shd w:val="clear" w:color="auto" w:fill="auto"/>
            <w:noWrap/>
            <w:vAlign w:val="center"/>
            <w:hideMark/>
          </w:tcPr>
          <w:p w:rsidR="00A23C41" w:rsidRPr="00E746CA" w:rsidRDefault="00A23C41" w:rsidP="00A23C41">
            <w:pPr>
              <w:spacing w:before="0" w:after="0"/>
              <w:jc w:val="left"/>
              <w:rPr>
                <w:rFonts w:ascii="Arial" w:hAnsi="Arial" w:cs="Arial"/>
                <w:sz w:val="18"/>
                <w:szCs w:val="18"/>
                <w:lang w:val="en-GB"/>
              </w:rPr>
            </w:pPr>
            <w:r w:rsidRPr="00E746CA">
              <w:rPr>
                <w:rFonts w:ascii="Arial" w:hAnsi="Arial" w:cs="Arial"/>
                <w:sz w:val="18"/>
                <w:szCs w:val="18"/>
                <w:lang w:val="en-GB"/>
              </w:rPr>
              <w:t>Justice</w:t>
            </w:r>
          </w:p>
        </w:tc>
        <w:tc>
          <w:tcPr>
            <w:tcW w:w="3370" w:type="pct"/>
            <w:tcBorders>
              <w:top w:val="single" w:sz="2" w:space="0" w:color="1F497D" w:themeColor="text2"/>
              <w:left w:val="nil"/>
              <w:bottom w:val="single" w:sz="2" w:space="0" w:color="1F497D" w:themeColor="text2"/>
            </w:tcBorders>
            <w:vAlign w:val="center"/>
          </w:tcPr>
          <w:p w:rsidR="00A23C41" w:rsidRPr="00E746CA" w:rsidRDefault="00A23C41" w:rsidP="00A23C41">
            <w:pPr>
              <w:spacing w:before="0" w:after="0"/>
              <w:jc w:val="left"/>
              <w:rPr>
                <w:rFonts w:ascii="Arial" w:hAnsi="Arial" w:cs="Arial"/>
                <w:sz w:val="18"/>
                <w:szCs w:val="18"/>
                <w:lang w:val="en-GB"/>
              </w:rPr>
            </w:pPr>
            <w:r w:rsidRPr="00E746CA">
              <w:rPr>
                <w:rFonts w:ascii="Arial" w:hAnsi="Arial" w:cs="Arial"/>
                <w:sz w:val="18"/>
                <w:szCs w:val="18"/>
                <w:lang w:val="en-GB"/>
              </w:rPr>
              <w:t xml:space="preserve">Constitutional development, legal drafting; institutional strengthening of legal and </w:t>
            </w:r>
            <w:r w:rsidRPr="00E746CA">
              <w:rPr>
                <w:rFonts w:ascii="Arial" w:hAnsi="Arial" w:cs="Arial"/>
                <w:sz w:val="18"/>
                <w:szCs w:val="18"/>
                <w:lang w:val="en-GB"/>
              </w:rPr>
              <w:lastRenderedPageBreak/>
              <w:t>judicial systems; legal training and education; legal advice and services; crime prevention.</w:t>
            </w:r>
          </w:p>
        </w:tc>
      </w:tr>
      <w:tr w:rsidR="00A23C41" w:rsidRPr="00E746CA" w:rsidTr="00A23C41">
        <w:trPr>
          <w:trHeight w:val="255"/>
        </w:trPr>
        <w:tc>
          <w:tcPr>
            <w:tcW w:w="223" w:type="pct"/>
            <w:tcBorders>
              <w:top w:val="single" w:sz="2" w:space="0" w:color="1F497D" w:themeColor="text2"/>
              <w:left w:val="single" w:sz="12" w:space="0" w:color="1F497D" w:themeColor="text2"/>
              <w:bottom w:val="single" w:sz="2" w:space="0" w:color="1F497D" w:themeColor="text2"/>
              <w:right w:val="nil"/>
            </w:tcBorders>
            <w:vAlign w:val="center"/>
          </w:tcPr>
          <w:p w:rsidR="00A23C41" w:rsidRPr="00E746CA" w:rsidRDefault="00A23C41" w:rsidP="00A23C41">
            <w:pPr>
              <w:spacing w:before="0" w:after="0"/>
              <w:jc w:val="left"/>
              <w:rPr>
                <w:rFonts w:ascii="Arial" w:hAnsi="Arial" w:cs="Arial"/>
                <w:sz w:val="18"/>
                <w:szCs w:val="18"/>
                <w:lang w:val="en-GB"/>
              </w:rPr>
            </w:pPr>
          </w:p>
        </w:tc>
        <w:tc>
          <w:tcPr>
            <w:tcW w:w="1407" w:type="pct"/>
            <w:tcBorders>
              <w:top w:val="single" w:sz="2" w:space="0" w:color="1F497D" w:themeColor="text2"/>
              <w:left w:val="nil"/>
              <w:bottom w:val="single" w:sz="2" w:space="0" w:color="1F497D" w:themeColor="text2"/>
            </w:tcBorders>
            <w:shd w:val="clear" w:color="auto" w:fill="auto"/>
            <w:noWrap/>
            <w:vAlign w:val="center"/>
            <w:hideMark/>
          </w:tcPr>
          <w:p w:rsidR="00A23C41" w:rsidRPr="00E746CA" w:rsidRDefault="00A23C41" w:rsidP="00A23C41">
            <w:pPr>
              <w:spacing w:before="0" w:after="0"/>
              <w:jc w:val="left"/>
              <w:rPr>
                <w:rFonts w:ascii="Arial" w:hAnsi="Arial" w:cs="Arial"/>
                <w:sz w:val="18"/>
                <w:szCs w:val="18"/>
                <w:lang w:val="en-GB"/>
              </w:rPr>
            </w:pPr>
            <w:r w:rsidRPr="00E746CA">
              <w:rPr>
                <w:rFonts w:ascii="Arial" w:hAnsi="Arial" w:cs="Arial"/>
                <w:sz w:val="18"/>
                <w:szCs w:val="18"/>
                <w:lang w:val="en-GB"/>
              </w:rPr>
              <w:t>Security</w:t>
            </w:r>
          </w:p>
        </w:tc>
        <w:tc>
          <w:tcPr>
            <w:tcW w:w="3370" w:type="pct"/>
            <w:tcBorders>
              <w:top w:val="single" w:sz="2" w:space="0" w:color="1F497D" w:themeColor="text2"/>
              <w:left w:val="nil"/>
              <w:bottom w:val="single" w:sz="2" w:space="0" w:color="1F497D" w:themeColor="text2"/>
            </w:tcBorders>
            <w:vAlign w:val="center"/>
          </w:tcPr>
          <w:p w:rsidR="00A23C41" w:rsidRPr="00E746CA" w:rsidRDefault="00A23C41" w:rsidP="00A23C41">
            <w:pPr>
              <w:spacing w:before="0" w:after="0"/>
              <w:jc w:val="left"/>
              <w:rPr>
                <w:rFonts w:ascii="Arial" w:hAnsi="Arial" w:cs="Arial"/>
                <w:sz w:val="18"/>
                <w:szCs w:val="18"/>
                <w:lang w:val="en-GB"/>
              </w:rPr>
            </w:pPr>
            <w:r w:rsidRPr="00E746CA">
              <w:rPr>
                <w:rFonts w:ascii="Arial" w:hAnsi="Arial" w:cs="Arial"/>
                <w:sz w:val="18"/>
                <w:szCs w:val="18"/>
                <w:lang w:val="en-GB"/>
              </w:rPr>
              <w:t xml:space="preserve">assistance to institutions to enhance its competence and capacity to develop and scrutinise the security system so that it is managed in accordance with democratic norms and principles of accountability, transparency and good governance. It also includes weapons clearance. </w:t>
            </w:r>
          </w:p>
        </w:tc>
      </w:tr>
      <w:tr w:rsidR="00A23C41" w:rsidRPr="00E746CA" w:rsidTr="00A23C41">
        <w:trPr>
          <w:trHeight w:val="255"/>
        </w:trPr>
        <w:tc>
          <w:tcPr>
            <w:tcW w:w="223" w:type="pct"/>
            <w:tcBorders>
              <w:top w:val="single" w:sz="2" w:space="0" w:color="1F497D" w:themeColor="text2"/>
              <w:left w:val="single" w:sz="12" w:space="0" w:color="1F497D" w:themeColor="text2"/>
              <w:bottom w:val="single" w:sz="2" w:space="0" w:color="1F497D" w:themeColor="text2"/>
              <w:right w:val="nil"/>
            </w:tcBorders>
            <w:vAlign w:val="center"/>
          </w:tcPr>
          <w:p w:rsidR="00A23C41" w:rsidRPr="00E746CA" w:rsidRDefault="00A23C41" w:rsidP="00A23C41">
            <w:pPr>
              <w:spacing w:before="0" w:after="0"/>
              <w:jc w:val="left"/>
              <w:rPr>
                <w:rFonts w:ascii="Arial" w:hAnsi="Arial" w:cs="Arial"/>
                <w:sz w:val="18"/>
                <w:szCs w:val="18"/>
                <w:lang w:val="en-GB"/>
              </w:rPr>
            </w:pPr>
          </w:p>
        </w:tc>
        <w:tc>
          <w:tcPr>
            <w:tcW w:w="1407" w:type="pct"/>
            <w:tcBorders>
              <w:top w:val="single" w:sz="2" w:space="0" w:color="1F497D" w:themeColor="text2"/>
              <w:left w:val="nil"/>
              <w:bottom w:val="single" w:sz="2" w:space="0" w:color="1F497D" w:themeColor="text2"/>
            </w:tcBorders>
            <w:shd w:val="clear" w:color="auto" w:fill="auto"/>
            <w:noWrap/>
            <w:vAlign w:val="center"/>
            <w:hideMark/>
          </w:tcPr>
          <w:p w:rsidR="00A23C41" w:rsidRPr="00E746CA" w:rsidRDefault="00A23C41" w:rsidP="00A23C41">
            <w:pPr>
              <w:spacing w:before="0" w:after="0"/>
              <w:jc w:val="left"/>
              <w:rPr>
                <w:rFonts w:ascii="Arial" w:hAnsi="Arial" w:cs="Arial"/>
                <w:sz w:val="18"/>
                <w:szCs w:val="18"/>
                <w:lang w:val="en-GB"/>
              </w:rPr>
            </w:pPr>
            <w:r w:rsidRPr="00CF40E9">
              <w:rPr>
                <w:rFonts w:ascii="Arial" w:hAnsi="Arial" w:cs="Arial"/>
                <w:sz w:val="18"/>
                <w:szCs w:val="18"/>
                <w:lang w:val="en-GB"/>
              </w:rPr>
              <w:t>Public sector policy and administrative management</w:t>
            </w:r>
          </w:p>
        </w:tc>
        <w:tc>
          <w:tcPr>
            <w:tcW w:w="3370" w:type="pct"/>
            <w:tcBorders>
              <w:top w:val="single" w:sz="2" w:space="0" w:color="1F497D" w:themeColor="text2"/>
              <w:left w:val="nil"/>
              <w:bottom w:val="single" w:sz="2" w:space="0" w:color="1F497D" w:themeColor="text2"/>
            </w:tcBorders>
            <w:vAlign w:val="center"/>
          </w:tcPr>
          <w:p w:rsidR="00A23C41" w:rsidRDefault="00A23C41" w:rsidP="00A23C41">
            <w:pPr>
              <w:spacing w:before="0" w:after="0"/>
              <w:jc w:val="left"/>
              <w:rPr>
                <w:rFonts w:ascii="Arial" w:hAnsi="Arial" w:cs="Arial"/>
                <w:sz w:val="18"/>
                <w:szCs w:val="18"/>
                <w:lang w:val="en-GB"/>
              </w:rPr>
            </w:pPr>
            <w:r w:rsidRPr="00E746CA">
              <w:rPr>
                <w:rFonts w:ascii="Arial" w:hAnsi="Arial" w:cs="Arial"/>
                <w:sz w:val="18"/>
                <w:szCs w:val="18"/>
                <w:lang w:val="en-GB"/>
              </w:rPr>
              <w:t>Technical assistance, institutional strengthening and training for the development of internal administrative capacities</w:t>
            </w:r>
          </w:p>
          <w:p w:rsidR="00A23C41" w:rsidRDefault="00A23C41" w:rsidP="00A23C41">
            <w:pPr>
              <w:spacing w:before="0" w:after="0"/>
              <w:jc w:val="left"/>
              <w:rPr>
                <w:rFonts w:ascii="Arial" w:hAnsi="Arial" w:cs="Arial"/>
                <w:sz w:val="18"/>
                <w:szCs w:val="18"/>
                <w:lang w:val="en-GB"/>
              </w:rPr>
            </w:pPr>
          </w:p>
          <w:p w:rsidR="00A23C41" w:rsidRPr="00E746CA" w:rsidRDefault="00A23C41" w:rsidP="00A23C41">
            <w:pPr>
              <w:spacing w:before="0" w:after="0"/>
              <w:jc w:val="left"/>
              <w:rPr>
                <w:rFonts w:ascii="Arial" w:hAnsi="Arial" w:cs="Arial"/>
                <w:sz w:val="18"/>
                <w:szCs w:val="18"/>
                <w:lang w:val="en-GB"/>
              </w:rPr>
            </w:pPr>
            <w:r w:rsidRPr="00E746CA">
              <w:rPr>
                <w:rFonts w:ascii="Arial" w:hAnsi="Arial" w:cs="Arial"/>
                <w:sz w:val="18"/>
                <w:szCs w:val="18"/>
                <w:lang w:val="en-GB"/>
              </w:rPr>
              <w:t>Macro-economic, fiscal and monetary policy and planning, strengthening financial and managerial accountability; public expenditure management, support to Palestinian administration and services</w:t>
            </w:r>
          </w:p>
        </w:tc>
      </w:tr>
      <w:tr w:rsidR="00A23C41" w:rsidRPr="00E746CA" w:rsidTr="00A23C41">
        <w:trPr>
          <w:trHeight w:val="255"/>
        </w:trPr>
        <w:tc>
          <w:tcPr>
            <w:tcW w:w="223" w:type="pct"/>
            <w:tcBorders>
              <w:top w:val="single" w:sz="12" w:space="0" w:color="1F497D" w:themeColor="text2"/>
              <w:bottom w:val="single" w:sz="2" w:space="0" w:color="1F497D" w:themeColor="text2"/>
            </w:tcBorders>
            <w:shd w:val="clear" w:color="auto" w:fill="1F497D" w:themeFill="text2"/>
            <w:vAlign w:val="center"/>
          </w:tcPr>
          <w:p w:rsidR="00A23C41" w:rsidRPr="00E746CA" w:rsidRDefault="00A23C41" w:rsidP="00A23C41">
            <w:pPr>
              <w:spacing w:before="0" w:after="0"/>
              <w:jc w:val="left"/>
              <w:rPr>
                <w:rFonts w:ascii="Arial" w:hAnsi="Arial" w:cs="Arial"/>
                <w:b/>
                <w:color w:val="FFFFFF" w:themeColor="background1"/>
                <w:sz w:val="18"/>
                <w:szCs w:val="18"/>
                <w:lang w:val="en-GB"/>
              </w:rPr>
            </w:pPr>
            <w:r>
              <w:rPr>
                <w:rFonts w:ascii="Arial" w:hAnsi="Arial" w:cs="Arial"/>
                <w:b/>
                <w:color w:val="FFFFFF" w:themeColor="background1"/>
                <w:sz w:val="18"/>
                <w:szCs w:val="18"/>
                <w:lang w:val="en-GB"/>
              </w:rPr>
              <w:t>2</w:t>
            </w:r>
            <w:r w:rsidRPr="00E746CA">
              <w:rPr>
                <w:rFonts w:ascii="Arial" w:hAnsi="Arial" w:cs="Arial"/>
                <w:b/>
                <w:color w:val="FFFFFF" w:themeColor="background1"/>
                <w:sz w:val="18"/>
                <w:szCs w:val="18"/>
                <w:lang w:val="en-GB"/>
              </w:rPr>
              <w:t>.</w:t>
            </w:r>
          </w:p>
        </w:tc>
        <w:tc>
          <w:tcPr>
            <w:tcW w:w="4777" w:type="pct"/>
            <w:gridSpan w:val="2"/>
            <w:tcBorders>
              <w:top w:val="single" w:sz="12" w:space="0" w:color="1F497D" w:themeColor="text2"/>
              <w:bottom w:val="single" w:sz="2" w:space="0" w:color="1F497D" w:themeColor="text2"/>
            </w:tcBorders>
            <w:shd w:val="clear" w:color="auto" w:fill="1F497D" w:themeFill="text2"/>
            <w:noWrap/>
            <w:vAlign w:val="center"/>
            <w:hideMark/>
          </w:tcPr>
          <w:p w:rsidR="00A23C41" w:rsidRPr="00E746CA" w:rsidRDefault="00A23C41" w:rsidP="00A23C41">
            <w:pPr>
              <w:spacing w:before="0" w:after="0"/>
              <w:jc w:val="left"/>
              <w:rPr>
                <w:rFonts w:ascii="Arial" w:hAnsi="Arial" w:cs="Arial"/>
                <w:b/>
                <w:color w:val="FFFFFF" w:themeColor="background1"/>
                <w:sz w:val="18"/>
                <w:szCs w:val="18"/>
                <w:lang w:val="en-GB"/>
              </w:rPr>
            </w:pPr>
            <w:proofErr w:type="spellStart"/>
            <w:r w:rsidRPr="00E746CA">
              <w:rPr>
                <w:rFonts w:ascii="Arial" w:hAnsi="Arial" w:cs="Arial"/>
                <w:b/>
                <w:color w:val="FFFFFF" w:themeColor="background1"/>
                <w:sz w:val="18"/>
                <w:szCs w:val="18"/>
                <w:lang w:val="en-GB"/>
              </w:rPr>
              <w:t>Privare</w:t>
            </w:r>
            <w:proofErr w:type="spellEnd"/>
            <w:r w:rsidRPr="00E746CA">
              <w:rPr>
                <w:rFonts w:ascii="Arial" w:hAnsi="Arial" w:cs="Arial"/>
                <w:b/>
                <w:color w:val="FFFFFF" w:themeColor="background1"/>
                <w:sz w:val="18"/>
                <w:szCs w:val="18"/>
                <w:lang w:val="en-GB"/>
              </w:rPr>
              <w:t xml:space="preserve"> sector and trade (PSD)</w:t>
            </w:r>
          </w:p>
        </w:tc>
      </w:tr>
      <w:tr w:rsidR="00A23C41" w:rsidRPr="00E746CA" w:rsidTr="00A23C41">
        <w:trPr>
          <w:trHeight w:val="255"/>
        </w:trPr>
        <w:tc>
          <w:tcPr>
            <w:tcW w:w="223" w:type="pct"/>
            <w:tcBorders>
              <w:top w:val="single" w:sz="2" w:space="0" w:color="1F497D" w:themeColor="text2"/>
              <w:left w:val="single" w:sz="12" w:space="0" w:color="1F497D" w:themeColor="text2"/>
              <w:bottom w:val="single" w:sz="2" w:space="0" w:color="1F497D" w:themeColor="text2"/>
              <w:right w:val="nil"/>
            </w:tcBorders>
            <w:vAlign w:val="center"/>
          </w:tcPr>
          <w:p w:rsidR="00A23C41" w:rsidRPr="00E746CA" w:rsidRDefault="00A23C41" w:rsidP="00A23C41">
            <w:pPr>
              <w:spacing w:before="0" w:after="0"/>
              <w:jc w:val="left"/>
              <w:rPr>
                <w:rFonts w:ascii="Arial" w:hAnsi="Arial" w:cs="Arial"/>
                <w:sz w:val="18"/>
                <w:szCs w:val="18"/>
                <w:lang w:val="en-GB"/>
              </w:rPr>
            </w:pPr>
          </w:p>
        </w:tc>
        <w:tc>
          <w:tcPr>
            <w:tcW w:w="1407" w:type="pct"/>
            <w:tcBorders>
              <w:top w:val="single" w:sz="2" w:space="0" w:color="1F497D" w:themeColor="text2"/>
              <w:left w:val="nil"/>
              <w:bottom w:val="single" w:sz="2" w:space="0" w:color="1F497D" w:themeColor="text2"/>
            </w:tcBorders>
            <w:shd w:val="clear" w:color="auto" w:fill="auto"/>
            <w:noWrap/>
            <w:vAlign w:val="center"/>
            <w:hideMark/>
          </w:tcPr>
          <w:p w:rsidR="00A23C41" w:rsidRPr="00E746CA" w:rsidRDefault="00A23C41" w:rsidP="00A23C41">
            <w:pPr>
              <w:pStyle w:val="Default"/>
              <w:spacing w:before="0" w:after="0"/>
              <w:jc w:val="left"/>
              <w:rPr>
                <w:rFonts w:ascii="Arial" w:hAnsi="Arial" w:cs="Arial"/>
                <w:sz w:val="18"/>
                <w:szCs w:val="18"/>
                <w:lang w:val="en-GB"/>
              </w:rPr>
            </w:pPr>
            <w:r w:rsidRPr="00E746CA">
              <w:rPr>
                <w:rFonts w:ascii="Arial" w:hAnsi="Arial" w:cs="Arial"/>
                <w:sz w:val="18"/>
                <w:szCs w:val="18"/>
                <w:lang w:val="en-GB"/>
              </w:rPr>
              <w:t xml:space="preserve">SME/private sector development </w:t>
            </w:r>
          </w:p>
        </w:tc>
        <w:tc>
          <w:tcPr>
            <w:tcW w:w="3370" w:type="pct"/>
            <w:tcBorders>
              <w:top w:val="single" w:sz="2" w:space="0" w:color="1F497D" w:themeColor="text2"/>
              <w:left w:val="nil"/>
              <w:bottom w:val="single" w:sz="2" w:space="0" w:color="1F497D" w:themeColor="text2"/>
            </w:tcBorders>
            <w:vAlign w:val="center"/>
          </w:tcPr>
          <w:p w:rsidR="00A23C41" w:rsidRPr="00E746CA" w:rsidRDefault="00A23C41" w:rsidP="00A23C41">
            <w:pPr>
              <w:pStyle w:val="Default"/>
              <w:spacing w:before="0" w:after="0"/>
              <w:jc w:val="left"/>
              <w:rPr>
                <w:rFonts w:ascii="Arial" w:hAnsi="Arial" w:cs="Arial"/>
                <w:sz w:val="18"/>
                <w:szCs w:val="18"/>
                <w:lang w:val="en-GB"/>
              </w:rPr>
            </w:pPr>
            <w:r w:rsidRPr="00E746CA">
              <w:rPr>
                <w:rFonts w:ascii="Arial" w:hAnsi="Arial" w:cs="Arial"/>
                <w:sz w:val="18"/>
                <w:szCs w:val="18"/>
                <w:lang w:val="en-GB"/>
              </w:rPr>
              <w:t xml:space="preserve">Business environment development and private sector restructuring and assistance </w:t>
            </w:r>
          </w:p>
        </w:tc>
      </w:tr>
      <w:tr w:rsidR="00A23C41" w:rsidRPr="00E746CA" w:rsidTr="00A23C41">
        <w:trPr>
          <w:trHeight w:val="255"/>
        </w:trPr>
        <w:tc>
          <w:tcPr>
            <w:tcW w:w="223" w:type="pct"/>
            <w:tcBorders>
              <w:top w:val="single" w:sz="2" w:space="0" w:color="1F497D" w:themeColor="text2"/>
              <w:left w:val="single" w:sz="12" w:space="0" w:color="1F497D" w:themeColor="text2"/>
              <w:bottom w:val="single" w:sz="2" w:space="0" w:color="1F497D" w:themeColor="text2"/>
              <w:right w:val="nil"/>
            </w:tcBorders>
            <w:vAlign w:val="center"/>
          </w:tcPr>
          <w:p w:rsidR="00A23C41" w:rsidRPr="00E746CA" w:rsidRDefault="00A23C41" w:rsidP="00A23C41">
            <w:pPr>
              <w:spacing w:before="0" w:after="0"/>
              <w:jc w:val="left"/>
              <w:rPr>
                <w:rFonts w:ascii="Arial" w:hAnsi="Arial" w:cs="Arial"/>
                <w:sz w:val="18"/>
                <w:szCs w:val="18"/>
                <w:lang w:val="en-GB"/>
              </w:rPr>
            </w:pPr>
          </w:p>
        </w:tc>
        <w:tc>
          <w:tcPr>
            <w:tcW w:w="1407" w:type="pct"/>
            <w:tcBorders>
              <w:top w:val="single" w:sz="2" w:space="0" w:color="1F497D" w:themeColor="text2"/>
              <w:left w:val="nil"/>
              <w:bottom w:val="single" w:sz="2" w:space="0" w:color="1F497D" w:themeColor="text2"/>
            </w:tcBorders>
            <w:shd w:val="clear" w:color="auto" w:fill="auto"/>
            <w:noWrap/>
            <w:vAlign w:val="center"/>
            <w:hideMark/>
          </w:tcPr>
          <w:p w:rsidR="00A23C41" w:rsidRPr="00E746CA" w:rsidRDefault="00A23C41" w:rsidP="00A23C41">
            <w:pPr>
              <w:spacing w:before="0" w:after="0"/>
              <w:jc w:val="left"/>
              <w:rPr>
                <w:rFonts w:ascii="Arial" w:hAnsi="Arial" w:cs="Arial"/>
                <w:sz w:val="18"/>
                <w:szCs w:val="18"/>
                <w:lang w:val="en-GB"/>
              </w:rPr>
            </w:pPr>
            <w:r w:rsidRPr="00E746CA">
              <w:rPr>
                <w:rFonts w:ascii="Arial" w:hAnsi="Arial" w:cs="Arial"/>
                <w:sz w:val="18"/>
                <w:szCs w:val="18"/>
                <w:lang w:val="en-GB"/>
              </w:rPr>
              <w:t>Trade</w:t>
            </w:r>
          </w:p>
        </w:tc>
        <w:tc>
          <w:tcPr>
            <w:tcW w:w="3370" w:type="pct"/>
            <w:tcBorders>
              <w:top w:val="single" w:sz="2" w:space="0" w:color="1F497D" w:themeColor="text2"/>
              <w:left w:val="nil"/>
              <w:bottom w:val="single" w:sz="2" w:space="0" w:color="1F497D" w:themeColor="text2"/>
            </w:tcBorders>
            <w:vAlign w:val="center"/>
          </w:tcPr>
          <w:p w:rsidR="00A23C41" w:rsidRPr="00E746CA" w:rsidRDefault="00A23C41" w:rsidP="00A23C41">
            <w:pPr>
              <w:pStyle w:val="Default"/>
              <w:spacing w:before="0" w:after="0"/>
              <w:jc w:val="left"/>
              <w:rPr>
                <w:rFonts w:ascii="Arial" w:hAnsi="Arial" w:cs="Arial"/>
                <w:sz w:val="18"/>
                <w:szCs w:val="18"/>
                <w:lang w:val="en-GB"/>
              </w:rPr>
            </w:pPr>
            <w:r w:rsidRPr="00E746CA">
              <w:rPr>
                <w:rFonts w:ascii="Arial" w:hAnsi="Arial" w:cs="Arial"/>
                <w:sz w:val="18"/>
                <w:szCs w:val="18"/>
                <w:lang w:val="en-GB"/>
              </w:rPr>
              <w:t xml:space="preserve">Trade policy and planning, trade-related legislation and regulatory reforms; simplification and harmonisation of international import and export procedures; support to customs departments. </w:t>
            </w:r>
          </w:p>
        </w:tc>
      </w:tr>
      <w:tr w:rsidR="00A23C41" w:rsidRPr="00E746CA" w:rsidTr="00A23C41">
        <w:trPr>
          <w:trHeight w:val="255"/>
        </w:trPr>
        <w:tc>
          <w:tcPr>
            <w:tcW w:w="223" w:type="pct"/>
            <w:tcBorders>
              <w:top w:val="single" w:sz="2" w:space="0" w:color="1F497D" w:themeColor="text2"/>
              <w:left w:val="single" w:sz="12" w:space="0" w:color="1F497D" w:themeColor="text2"/>
              <w:bottom w:val="single" w:sz="2" w:space="0" w:color="1F497D" w:themeColor="text2"/>
              <w:right w:val="nil"/>
            </w:tcBorders>
            <w:vAlign w:val="center"/>
          </w:tcPr>
          <w:p w:rsidR="00A23C41" w:rsidRPr="00CF40E9" w:rsidRDefault="00A23C41" w:rsidP="00A23C41">
            <w:pPr>
              <w:spacing w:before="0" w:after="0"/>
              <w:jc w:val="left"/>
              <w:rPr>
                <w:rFonts w:ascii="Arial" w:hAnsi="Arial" w:cs="Arial"/>
                <w:sz w:val="18"/>
                <w:szCs w:val="18"/>
              </w:rPr>
            </w:pPr>
          </w:p>
        </w:tc>
        <w:tc>
          <w:tcPr>
            <w:tcW w:w="1407" w:type="pct"/>
            <w:tcBorders>
              <w:top w:val="single" w:sz="2" w:space="0" w:color="1F497D" w:themeColor="text2"/>
              <w:left w:val="nil"/>
              <w:bottom w:val="single" w:sz="2" w:space="0" w:color="1F497D" w:themeColor="text2"/>
            </w:tcBorders>
            <w:shd w:val="clear" w:color="auto" w:fill="auto"/>
            <w:noWrap/>
            <w:vAlign w:val="center"/>
            <w:hideMark/>
          </w:tcPr>
          <w:p w:rsidR="00A23C41" w:rsidRPr="00E746CA" w:rsidRDefault="00A23C41" w:rsidP="00A23C41">
            <w:pPr>
              <w:spacing w:before="0" w:after="0"/>
              <w:jc w:val="left"/>
              <w:rPr>
                <w:rFonts w:ascii="Arial" w:hAnsi="Arial" w:cs="Arial"/>
                <w:sz w:val="18"/>
                <w:szCs w:val="18"/>
                <w:lang w:val="en-GB"/>
              </w:rPr>
            </w:pPr>
            <w:r>
              <w:rPr>
                <w:rFonts w:ascii="Arial" w:hAnsi="Arial" w:cs="Arial"/>
                <w:sz w:val="18"/>
                <w:szCs w:val="18"/>
              </w:rPr>
              <w:t>Employment</w:t>
            </w:r>
          </w:p>
        </w:tc>
        <w:tc>
          <w:tcPr>
            <w:tcW w:w="3370" w:type="pct"/>
            <w:tcBorders>
              <w:top w:val="single" w:sz="2" w:space="0" w:color="1F497D" w:themeColor="text2"/>
              <w:left w:val="nil"/>
              <w:bottom w:val="single" w:sz="2" w:space="0" w:color="1F497D" w:themeColor="text2"/>
            </w:tcBorders>
            <w:vAlign w:val="center"/>
          </w:tcPr>
          <w:p w:rsidR="00A23C41" w:rsidRPr="00E746CA" w:rsidRDefault="00A23C41" w:rsidP="00A23C41">
            <w:pPr>
              <w:pStyle w:val="Default"/>
              <w:spacing w:before="0" w:after="0"/>
              <w:jc w:val="left"/>
              <w:rPr>
                <w:rFonts w:ascii="Arial" w:hAnsi="Arial" w:cs="Arial"/>
                <w:sz w:val="18"/>
                <w:szCs w:val="18"/>
                <w:lang w:val="en-GB"/>
              </w:rPr>
            </w:pPr>
            <w:r w:rsidRPr="00E746CA">
              <w:rPr>
                <w:rFonts w:ascii="Arial" w:hAnsi="Arial" w:cs="Arial"/>
                <w:sz w:val="18"/>
                <w:szCs w:val="18"/>
                <w:lang w:val="en-GB"/>
              </w:rPr>
              <w:t>Job creation policies and instruments</w:t>
            </w:r>
          </w:p>
        </w:tc>
      </w:tr>
      <w:tr w:rsidR="00A23C41" w:rsidRPr="00E746CA" w:rsidTr="00A23C41">
        <w:trPr>
          <w:trHeight w:val="255"/>
        </w:trPr>
        <w:tc>
          <w:tcPr>
            <w:tcW w:w="223" w:type="pct"/>
            <w:tcBorders>
              <w:top w:val="single" w:sz="2" w:space="0" w:color="1F497D" w:themeColor="text2"/>
              <w:left w:val="single" w:sz="12" w:space="0" w:color="1F497D" w:themeColor="text2"/>
              <w:bottom w:val="single" w:sz="2" w:space="0" w:color="1F497D" w:themeColor="text2"/>
              <w:right w:val="nil"/>
            </w:tcBorders>
            <w:shd w:val="clear" w:color="auto" w:fill="1F497D" w:themeFill="text2"/>
            <w:vAlign w:val="center"/>
          </w:tcPr>
          <w:p w:rsidR="00A23C41" w:rsidRPr="00CF40E9" w:rsidRDefault="00A23C41" w:rsidP="00A23C41">
            <w:pPr>
              <w:spacing w:before="0" w:after="0"/>
              <w:jc w:val="left"/>
              <w:rPr>
                <w:rFonts w:ascii="Arial" w:hAnsi="Arial" w:cs="Arial"/>
                <w:b/>
                <w:color w:val="FFFFFF" w:themeColor="background1"/>
                <w:sz w:val="18"/>
                <w:szCs w:val="18"/>
                <w:lang w:val="en-GB"/>
              </w:rPr>
            </w:pPr>
            <w:r>
              <w:rPr>
                <w:rFonts w:ascii="Arial" w:hAnsi="Arial" w:cs="Arial"/>
                <w:b/>
                <w:color w:val="FFFFFF" w:themeColor="background1"/>
                <w:sz w:val="18"/>
                <w:szCs w:val="18"/>
                <w:lang w:val="en-GB"/>
              </w:rPr>
              <w:t>3</w:t>
            </w:r>
            <w:r w:rsidRPr="00CF40E9">
              <w:rPr>
                <w:rFonts w:ascii="Arial" w:hAnsi="Arial" w:cs="Arial"/>
                <w:b/>
                <w:color w:val="FFFFFF" w:themeColor="background1"/>
                <w:sz w:val="18"/>
                <w:szCs w:val="18"/>
                <w:lang w:val="en-GB"/>
              </w:rPr>
              <w:t xml:space="preserve"> </w:t>
            </w:r>
          </w:p>
        </w:tc>
        <w:tc>
          <w:tcPr>
            <w:tcW w:w="4777" w:type="pct"/>
            <w:gridSpan w:val="2"/>
            <w:tcBorders>
              <w:top w:val="single" w:sz="2" w:space="0" w:color="1F497D" w:themeColor="text2"/>
              <w:left w:val="nil"/>
              <w:bottom w:val="single" w:sz="2" w:space="0" w:color="1F497D" w:themeColor="text2"/>
            </w:tcBorders>
            <w:shd w:val="clear" w:color="auto" w:fill="1F497D" w:themeFill="text2"/>
            <w:noWrap/>
            <w:vAlign w:val="center"/>
            <w:hideMark/>
          </w:tcPr>
          <w:p w:rsidR="00A23C41" w:rsidRPr="00CF40E9" w:rsidRDefault="00A23C41" w:rsidP="00A23C41">
            <w:pPr>
              <w:spacing w:before="0" w:after="0"/>
              <w:jc w:val="left"/>
              <w:rPr>
                <w:rFonts w:ascii="Arial" w:hAnsi="Arial" w:cs="Arial"/>
                <w:b/>
                <w:color w:val="FFFFFF" w:themeColor="background1"/>
                <w:sz w:val="18"/>
                <w:szCs w:val="18"/>
                <w:lang w:val="en-GB"/>
              </w:rPr>
            </w:pPr>
            <w:r w:rsidRPr="00CF40E9">
              <w:rPr>
                <w:rFonts w:ascii="Arial" w:hAnsi="Arial" w:cs="Arial"/>
                <w:b/>
                <w:color w:val="FFFFFF" w:themeColor="background1"/>
                <w:sz w:val="18"/>
                <w:szCs w:val="18"/>
                <w:lang w:val="en-GB"/>
              </w:rPr>
              <w:t>Water and Sanitation</w:t>
            </w:r>
            <w:r>
              <w:rPr>
                <w:rFonts w:ascii="Arial" w:hAnsi="Arial" w:cs="Arial"/>
                <w:b/>
                <w:color w:val="FFFFFF" w:themeColor="background1"/>
                <w:sz w:val="18"/>
                <w:szCs w:val="18"/>
                <w:lang w:val="en-GB"/>
              </w:rPr>
              <w:t xml:space="preserve"> (WATSAN)</w:t>
            </w:r>
          </w:p>
        </w:tc>
      </w:tr>
      <w:tr w:rsidR="00A23C41" w:rsidRPr="00E746CA" w:rsidTr="00A23C41">
        <w:trPr>
          <w:trHeight w:val="255"/>
        </w:trPr>
        <w:tc>
          <w:tcPr>
            <w:tcW w:w="223" w:type="pct"/>
            <w:tcBorders>
              <w:top w:val="single" w:sz="2" w:space="0" w:color="1F497D" w:themeColor="text2"/>
              <w:left w:val="single" w:sz="12" w:space="0" w:color="1F497D" w:themeColor="text2"/>
              <w:bottom w:val="single" w:sz="2" w:space="0" w:color="1F497D" w:themeColor="text2"/>
              <w:right w:val="nil"/>
            </w:tcBorders>
            <w:shd w:val="clear" w:color="auto" w:fill="FFFFFF" w:themeFill="background1"/>
            <w:vAlign w:val="center"/>
          </w:tcPr>
          <w:p w:rsidR="00A23C41" w:rsidRPr="00E746CA" w:rsidRDefault="00A23C41" w:rsidP="00A23C41">
            <w:pPr>
              <w:spacing w:before="0" w:after="0"/>
              <w:jc w:val="left"/>
              <w:rPr>
                <w:rFonts w:ascii="Arial" w:hAnsi="Arial" w:cs="Arial"/>
                <w:sz w:val="18"/>
                <w:szCs w:val="18"/>
                <w:lang w:val="en-GB"/>
              </w:rPr>
            </w:pPr>
          </w:p>
        </w:tc>
        <w:tc>
          <w:tcPr>
            <w:tcW w:w="1407" w:type="pct"/>
            <w:tcBorders>
              <w:top w:val="single" w:sz="2" w:space="0" w:color="1F497D" w:themeColor="text2"/>
              <w:left w:val="nil"/>
              <w:bottom w:val="single" w:sz="2" w:space="0" w:color="1F497D" w:themeColor="text2"/>
            </w:tcBorders>
            <w:shd w:val="clear" w:color="auto" w:fill="FFFFFF" w:themeFill="background1"/>
            <w:noWrap/>
            <w:vAlign w:val="center"/>
            <w:hideMark/>
          </w:tcPr>
          <w:p w:rsidR="00A23C41" w:rsidRPr="00E746CA" w:rsidRDefault="00A23C41" w:rsidP="00A23C41">
            <w:pPr>
              <w:spacing w:before="0" w:after="0"/>
              <w:jc w:val="left"/>
              <w:rPr>
                <w:rFonts w:ascii="Arial" w:hAnsi="Arial" w:cs="Arial"/>
                <w:sz w:val="18"/>
                <w:szCs w:val="18"/>
                <w:lang w:val="en-GB"/>
              </w:rPr>
            </w:pPr>
            <w:r w:rsidRPr="00E746CA">
              <w:rPr>
                <w:rFonts w:ascii="Arial" w:hAnsi="Arial" w:cs="Arial"/>
                <w:sz w:val="18"/>
                <w:szCs w:val="18"/>
                <w:lang w:val="en-GB"/>
              </w:rPr>
              <w:t>Waste management</w:t>
            </w:r>
          </w:p>
        </w:tc>
        <w:tc>
          <w:tcPr>
            <w:tcW w:w="3370" w:type="pct"/>
            <w:tcBorders>
              <w:top w:val="single" w:sz="2" w:space="0" w:color="1F497D" w:themeColor="text2"/>
              <w:left w:val="nil"/>
              <w:bottom w:val="single" w:sz="2" w:space="0" w:color="1F497D" w:themeColor="text2"/>
            </w:tcBorders>
            <w:shd w:val="clear" w:color="auto" w:fill="FFFFFF" w:themeFill="background1"/>
            <w:vAlign w:val="center"/>
          </w:tcPr>
          <w:p w:rsidR="00A23C41" w:rsidRPr="00E746CA" w:rsidRDefault="00A23C41" w:rsidP="00A23C41">
            <w:pPr>
              <w:spacing w:before="0" w:after="0"/>
              <w:jc w:val="left"/>
              <w:rPr>
                <w:rFonts w:ascii="Arial" w:hAnsi="Arial" w:cs="Arial"/>
                <w:sz w:val="18"/>
                <w:szCs w:val="18"/>
                <w:lang w:val="en-GB"/>
              </w:rPr>
            </w:pPr>
            <w:r w:rsidRPr="00E746CA">
              <w:rPr>
                <w:rFonts w:ascii="Arial" w:hAnsi="Arial" w:cs="Arial"/>
                <w:sz w:val="18"/>
                <w:szCs w:val="18"/>
                <w:lang w:val="en-GB"/>
              </w:rPr>
              <w:t>Municipal and industrial solid waste management, including hazardous and toxic waste; collection, disposal and treatment; landfill areas; composting and reuse.</w:t>
            </w:r>
          </w:p>
        </w:tc>
      </w:tr>
      <w:tr w:rsidR="00A23C41" w:rsidRPr="00E746CA" w:rsidTr="00A23C41">
        <w:trPr>
          <w:trHeight w:val="255"/>
        </w:trPr>
        <w:tc>
          <w:tcPr>
            <w:tcW w:w="223" w:type="pct"/>
            <w:tcBorders>
              <w:top w:val="single" w:sz="2" w:space="0" w:color="1F497D" w:themeColor="text2"/>
              <w:left w:val="single" w:sz="12" w:space="0" w:color="1F497D" w:themeColor="text2"/>
              <w:bottom w:val="single" w:sz="2" w:space="0" w:color="1F497D" w:themeColor="text2"/>
              <w:right w:val="nil"/>
            </w:tcBorders>
            <w:shd w:val="clear" w:color="auto" w:fill="FFFFFF" w:themeFill="background1"/>
            <w:vAlign w:val="center"/>
          </w:tcPr>
          <w:p w:rsidR="00A23C41" w:rsidRPr="00E746CA" w:rsidRDefault="00A23C41" w:rsidP="00A23C41">
            <w:pPr>
              <w:spacing w:before="0" w:after="0"/>
              <w:jc w:val="left"/>
              <w:rPr>
                <w:rFonts w:ascii="Arial" w:hAnsi="Arial" w:cs="Arial"/>
                <w:sz w:val="18"/>
                <w:szCs w:val="18"/>
                <w:lang w:val="en-GB"/>
              </w:rPr>
            </w:pPr>
          </w:p>
        </w:tc>
        <w:tc>
          <w:tcPr>
            <w:tcW w:w="1407" w:type="pct"/>
            <w:tcBorders>
              <w:top w:val="single" w:sz="2" w:space="0" w:color="1F497D" w:themeColor="text2"/>
              <w:left w:val="nil"/>
              <w:bottom w:val="single" w:sz="2" w:space="0" w:color="1F497D" w:themeColor="text2"/>
            </w:tcBorders>
            <w:shd w:val="clear" w:color="auto" w:fill="FFFFFF" w:themeFill="background1"/>
            <w:noWrap/>
            <w:vAlign w:val="center"/>
            <w:hideMark/>
          </w:tcPr>
          <w:p w:rsidR="00A23C41" w:rsidRPr="00E746CA" w:rsidRDefault="00A23C41" w:rsidP="00A23C41">
            <w:pPr>
              <w:spacing w:before="0" w:after="0"/>
              <w:jc w:val="left"/>
              <w:rPr>
                <w:rFonts w:ascii="Arial" w:hAnsi="Arial" w:cs="Arial"/>
                <w:sz w:val="18"/>
                <w:szCs w:val="18"/>
                <w:lang w:val="en-GB"/>
              </w:rPr>
            </w:pPr>
            <w:r w:rsidRPr="00E746CA">
              <w:rPr>
                <w:rFonts w:ascii="Arial" w:hAnsi="Arial" w:cs="Arial"/>
                <w:sz w:val="18"/>
                <w:szCs w:val="18"/>
                <w:lang w:val="en-GB"/>
              </w:rPr>
              <w:t>Water supply and sanitation</w:t>
            </w:r>
          </w:p>
        </w:tc>
        <w:tc>
          <w:tcPr>
            <w:tcW w:w="3370" w:type="pct"/>
            <w:tcBorders>
              <w:top w:val="single" w:sz="2" w:space="0" w:color="1F497D" w:themeColor="text2"/>
              <w:left w:val="nil"/>
              <w:bottom w:val="single" w:sz="2" w:space="0" w:color="1F497D" w:themeColor="text2"/>
            </w:tcBorders>
            <w:shd w:val="clear" w:color="auto" w:fill="FFFFFF" w:themeFill="background1"/>
            <w:vAlign w:val="center"/>
          </w:tcPr>
          <w:p w:rsidR="00A23C41" w:rsidRPr="00E746CA" w:rsidRDefault="00A23C41" w:rsidP="00A23C41">
            <w:pPr>
              <w:pStyle w:val="Default"/>
              <w:spacing w:before="0" w:after="0"/>
              <w:jc w:val="left"/>
              <w:rPr>
                <w:rFonts w:ascii="Arial" w:hAnsi="Arial" w:cs="Arial"/>
                <w:sz w:val="18"/>
                <w:szCs w:val="18"/>
                <w:lang w:val="en-GB"/>
              </w:rPr>
            </w:pPr>
            <w:r w:rsidRPr="00E746CA">
              <w:rPr>
                <w:rFonts w:ascii="Arial" w:hAnsi="Arial" w:cs="Arial"/>
                <w:sz w:val="18"/>
                <w:szCs w:val="18"/>
                <w:lang w:val="en-GB"/>
              </w:rPr>
              <w:t xml:space="preserve">Water sector policy, planning and programmes; inland surface waters conservation and rehabilitation; activities including protection of maritime water and de-pollution, improvement of waste water governance and management </w:t>
            </w:r>
          </w:p>
        </w:tc>
      </w:tr>
      <w:tr w:rsidR="00A23C41" w:rsidRPr="00E746CA" w:rsidTr="00A23C41">
        <w:trPr>
          <w:trHeight w:val="255"/>
        </w:trPr>
        <w:tc>
          <w:tcPr>
            <w:tcW w:w="223" w:type="pct"/>
            <w:tcBorders>
              <w:top w:val="single" w:sz="2" w:space="0" w:color="1F497D" w:themeColor="text2"/>
              <w:left w:val="single" w:sz="12" w:space="0" w:color="1F497D" w:themeColor="text2"/>
              <w:bottom w:val="single" w:sz="2" w:space="0" w:color="1F497D" w:themeColor="text2"/>
              <w:right w:val="nil"/>
            </w:tcBorders>
            <w:shd w:val="clear" w:color="auto" w:fill="1F497D" w:themeFill="text2"/>
            <w:vAlign w:val="center"/>
          </w:tcPr>
          <w:p w:rsidR="00A23C41" w:rsidRPr="00E746CA" w:rsidRDefault="00A23C41" w:rsidP="00A23C41">
            <w:pPr>
              <w:spacing w:before="0" w:after="0"/>
              <w:jc w:val="left"/>
              <w:rPr>
                <w:rFonts w:ascii="Arial" w:hAnsi="Arial" w:cs="Arial"/>
                <w:b/>
                <w:color w:val="FFFFFF" w:themeColor="background1"/>
                <w:sz w:val="18"/>
                <w:szCs w:val="18"/>
                <w:lang w:val="en-GB"/>
              </w:rPr>
            </w:pPr>
            <w:r w:rsidRPr="00E746CA">
              <w:rPr>
                <w:rFonts w:ascii="Arial" w:hAnsi="Arial" w:cs="Arial"/>
                <w:b/>
                <w:color w:val="FFFFFF" w:themeColor="background1"/>
                <w:sz w:val="18"/>
                <w:szCs w:val="18"/>
                <w:lang w:val="en-GB"/>
              </w:rPr>
              <w:t>4</w:t>
            </w:r>
          </w:p>
        </w:tc>
        <w:tc>
          <w:tcPr>
            <w:tcW w:w="1407" w:type="pct"/>
            <w:tcBorders>
              <w:top w:val="single" w:sz="2" w:space="0" w:color="1F497D" w:themeColor="text2"/>
              <w:left w:val="nil"/>
              <w:bottom w:val="single" w:sz="2" w:space="0" w:color="1F497D" w:themeColor="text2"/>
            </w:tcBorders>
            <w:shd w:val="clear" w:color="auto" w:fill="1F497D" w:themeFill="text2"/>
            <w:noWrap/>
            <w:vAlign w:val="center"/>
            <w:hideMark/>
          </w:tcPr>
          <w:p w:rsidR="00A23C41" w:rsidRPr="00E746CA" w:rsidRDefault="00A23C41" w:rsidP="00A23C41">
            <w:pPr>
              <w:spacing w:before="0" w:after="0"/>
              <w:jc w:val="left"/>
              <w:rPr>
                <w:rFonts w:ascii="Arial" w:hAnsi="Arial" w:cs="Arial"/>
                <w:b/>
                <w:color w:val="FFFFFF" w:themeColor="background1"/>
                <w:sz w:val="18"/>
                <w:szCs w:val="18"/>
                <w:lang w:val="en-GB"/>
              </w:rPr>
            </w:pPr>
            <w:r w:rsidRPr="00E746CA">
              <w:rPr>
                <w:rFonts w:ascii="Arial" w:hAnsi="Arial" w:cs="Arial"/>
                <w:b/>
                <w:color w:val="FFFFFF" w:themeColor="background1"/>
                <w:sz w:val="18"/>
                <w:szCs w:val="18"/>
                <w:lang w:val="en-GB"/>
              </w:rPr>
              <w:t>Infrastructure (INFR)</w:t>
            </w:r>
          </w:p>
        </w:tc>
        <w:tc>
          <w:tcPr>
            <w:tcW w:w="3370" w:type="pct"/>
            <w:tcBorders>
              <w:top w:val="single" w:sz="2" w:space="0" w:color="1F497D" w:themeColor="text2"/>
              <w:left w:val="nil"/>
              <w:bottom w:val="single" w:sz="2" w:space="0" w:color="1F497D" w:themeColor="text2"/>
            </w:tcBorders>
            <w:shd w:val="clear" w:color="auto" w:fill="1F497D" w:themeFill="text2"/>
            <w:vAlign w:val="center"/>
          </w:tcPr>
          <w:p w:rsidR="00A23C41" w:rsidRPr="00E746CA" w:rsidRDefault="00A23C41" w:rsidP="00A23C41">
            <w:pPr>
              <w:spacing w:before="0" w:after="0"/>
              <w:jc w:val="left"/>
              <w:rPr>
                <w:rFonts w:ascii="Arial" w:hAnsi="Arial" w:cs="Arial"/>
                <w:b/>
                <w:color w:val="FFFFFF" w:themeColor="background1"/>
                <w:sz w:val="18"/>
                <w:szCs w:val="18"/>
                <w:lang w:val="en-GB"/>
              </w:rPr>
            </w:pPr>
          </w:p>
        </w:tc>
      </w:tr>
      <w:tr w:rsidR="00A23C41" w:rsidRPr="00E746CA" w:rsidTr="00A23C41">
        <w:trPr>
          <w:trHeight w:val="255"/>
        </w:trPr>
        <w:tc>
          <w:tcPr>
            <w:tcW w:w="223" w:type="pct"/>
            <w:tcBorders>
              <w:top w:val="single" w:sz="2" w:space="0" w:color="1F497D" w:themeColor="text2"/>
              <w:left w:val="single" w:sz="12" w:space="0" w:color="1F497D" w:themeColor="text2"/>
              <w:bottom w:val="single" w:sz="2" w:space="0" w:color="1F497D" w:themeColor="text2"/>
              <w:right w:val="nil"/>
            </w:tcBorders>
            <w:shd w:val="clear" w:color="auto" w:fill="FFFFFF" w:themeFill="background1"/>
            <w:vAlign w:val="center"/>
          </w:tcPr>
          <w:p w:rsidR="00A23C41" w:rsidRPr="00E746CA" w:rsidRDefault="00A23C41" w:rsidP="00A23C41">
            <w:pPr>
              <w:spacing w:before="0" w:after="0"/>
              <w:jc w:val="left"/>
              <w:rPr>
                <w:rFonts w:ascii="Arial" w:hAnsi="Arial" w:cs="Arial"/>
                <w:sz w:val="18"/>
                <w:szCs w:val="18"/>
                <w:lang w:val="en-GB"/>
              </w:rPr>
            </w:pPr>
          </w:p>
        </w:tc>
        <w:tc>
          <w:tcPr>
            <w:tcW w:w="1407" w:type="pct"/>
            <w:tcBorders>
              <w:top w:val="single" w:sz="2" w:space="0" w:color="1F497D" w:themeColor="text2"/>
              <w:left w:val="nil"/>
              <w:bottom w:val="single" w:sz="2" w:space="0" w:color="1F497D" w:themeColor="text2"/>
            </w:tcBorders>
            <w:shd w:val="clear" w:color="auto" w:fill="FFFFFF" w:themeFill="background1"/>
            <w:noWrap/>
            <w:vAlign w:val="center"/>
            <w:hideMark/>
          </w:tcPr>
          <w:p w:rsidR="00A23C41" w:rsidRPr="00E746CA" w:rsidRDefault="00A23C41" w:rsidP="00A23C41">
            <w:pPr>
              <w:spacing w:before="0" w:after="0"/>
              <w:jc w:val="left"/>
              <w:rPr>
                <w:rFonts w:ascii="Arial" w:hAnsi="Arial" w:cs="Arial"/>
                <w:sz w:val="18"/>
                <w:szCs w:val="18"/>
                <w:lang w:val="en-GB"/>
              </w:rPr>
            </w:pPr>
            <w:r w:rsidRPr="00E746CA">
              <w:rPr>
                <w:rFonts w:ascii="Arial" w:hAnsi="Arial" w:cs="Arial"/>
                <w:sz w:val="18"/>
                <w:szCs w:val="18"/>
                <w:lang w:val="en-GB"/>
              </w:rPr>
              <w:t>Energy</w:t>
            </w:r>
          </w:p>
        </w:tc>
        <w:tc>
          <w:tcPr>
            <w:tcW w:w="3370" w:type="pct"/>
            <w:tcBorders>
              <w:top w:val="single" w:sz="2" w:space="0" w:color="1F497D" w:themeColor="text2"/>
              <w:left w:val="nil"/>
              <w:bottom w:val="single" w:sz="2" w:space="0" w:color="1F497D" w:themeColor="text2"/>
            </w:tcBorders>
            <w:shd w:val="clear" w:color="auto" w:fill="FFFFFF" w:themeFill="background1"/>
            <w:vAlign w:val="center"/>
          </w:tcPr>
          <w:p w:rsidR="00A23C41" w:rsidRPr="00E746CA" w:rsidRDefault="00A23C41" w:rsidP="00A23C41">
            <w:pPr>
              <w:pStyle w:val="Default"/>
              <w:spacing w:before="0" w:after="0"/>
              <w:jc w:val="left"/>
              <w:rPr>
                <w:rFonts w:ascii="Arial" w:hAnsi="Arial" w:cs="Arial"/>
                <w:sz w:val="18"/>
                <w:szCs w:val="18"/>
                <w:lang w:val="en-GB"/>
              </w:rPr>
            </w:pPr>
            <w:r w:rsidRPr="00E746CA">
              <w:rPr>
                <w:rFonts w:ascii="Arial" w:hAnsi="Arial" w:cs="Arial"/>
                <w:sz w:val="18"/>
                <w:szCs w:val="18"/>
                <w:lang w:val="en-GB"/>
              </w:rPr>
              <w:t xml:space="preserve">Support to energy market integration and sustainable energy, capacity building and technical assistance, rehabilitation of outdated infrastructures </w:t>
            </w:r>
          </w:p>
        </w:tc>
      </w:tr>
      <w:tr w:rsidR="00A23C41" w:rsidRPr="00E746CA" w:rsidTr="00A23C41">
        <w:trPr>
          <w:trHeight w:val="255"/>
        </w:trPr>
        <w:tc>
          <w:tcPr>
            <w:tcW w:w="223" w:type="pct"/>
            <w:tcBorders>
              <w:top w:val="single" w:sz="2" w:space="0" w:color="1F497D" w:themeColor="text2"/>
              <w:left w:val="single" w:sz="12" w:space="0" w:color="1F497D" w:themeColor="text2"/>
              <w:bottom w:val="single" w:sz="2" w:space="0" w:color="1F497D" w:themeColor="text2"/>
              <w:right w:val="nil"/>
            </w:tcBorders>
            <w:shd w:val="clear" w:color="auto" w:fill="FFFFFF" w:themeFill="background1"/>
            <w:vAlign w:val="center"/>
          </w:tcPr>
          <w:p w:rsidR="00A23C41" w:rsidRPr="00E746CA" w:rsidRDefault="00A23C41" w:rsidP="00A23C41">
            <w:pPr>
              <w:spacing w:before="0" w:after="0"/>
              <w:jc w:val="left"/>
              <w:rPr>
                <w:rFonts w:ascii="Arial" w:hAnsi="Arial" w:cs="Arial"/>
                <w:sz w:val="18"/>
                <w:szCs w:val="18"/>
                <w:lang w:val="en-GB"/>
              </w:rPr>
            </w:pPr>
          </w:p>
        </w:tc>
        <w:tc>
          <w:tcPr>
            <w:tcW w:w="1407" w:type="pct"/>
            <w:tcBorders>
              <w:top w:val="single" w:sz="2" w:space="0" w:color="1F497D" w:themeColor="text2"/>
              <w:left w:val="nil"/>
              <w:bottom w:val="single" w:sz="2" w:space="0" w:color="1F497D" w:themeColor="text2"/>
            </w:tcBorders>
            <w:shd w:val="clear" w:color="auto" w:fill="FFFFFF" w:themeFill="background1"/>
            <w:noWrap/>
            <w:vAlign w:val="center"/>
            <w:hideMark/>
          </w:tcPr>
          <w:p w:rsidR="00A23C41" w:rsidRPr="00E746CA" w:rsidRDefault="00A23C41" w:rsidP="00A23C41">
            <w:pPr>
              <w:spacing w:before="0" w:after="0"/>
              <w:jc w:val="left"/>
              <w:rPr>
                <w:rFonts w:ascii="Arial" w:hAnsi="Arial" w:cs="Arial"/>
                <w:sz w:val="18"/>
                <w:szCs w:val="18"/>
                <w:lang w:val="en-GB"/>
              </w:rPr>
            </w:pPr>
            <w:r w:rsidRPr="00E746CA">
              <w:rPr>
                <w:rFonts w:ascii="Arial" w:hAnsi="Arial" w:cs="Arial"/>
                <w:sz w:val="18"/>
                <w:szCs w:val="18"/>
                <w:lang w:val="en-GB"/>
              </w:rPr>
              <w:t>Transport</w:t>
            </w:r>
          </w:p>
        </w:tc>
        <w:tc>
          <w:tcPr>
            <w:tcW w:w="3370" w:type="pct"/>
            <w:tcBorders>
              <w:top w:val="single" w:sz="2" w:space="0" w:color="1F497D" w:themeColor="text2"/>
              <w:left w:val="nil"/>
              <w:bottom w:val="single" w:sz="2" w:space="0" w:color="1F497D" w:themeColor="text2"/>
            </w:tcBorders>
            <w:shd w:val="clear" w:color="auto" w:fill="FFFFFF" w:themeFill="background1"/>
            <w:vAlign w:val="center"/>
          </w:tcPr>
          <w:p w:rsidR="00A23C41" w:rsidRPr="00E746CA" w:rsidRDefault="00A23C41" w:rsidP="00A23C41">
            <w:pPr>
              <w:pStyle w:val="Default"/>
              <w:spacing w:before="0" w:after="0"/>
              <w:jc w:val="left"/>
              <w:rPr>
                <w:rFonts w:ascii="Arial" w:hAnsi="Arial" w:cs="Arial"/>
                <w:sz w:val="18"/>
                <w:szCs w:val="18"/>
                <w:lang w:val="en-GB"/>
              </w:rPr>
            </w:pPr>
            <w:r w:rsidRPr="00E746CA">
              <w:rPr>
                <w:rFonts w:ascii="Arial" w:hAnsi="Arial" w:cs="Arial"/>
                <w:sz w:val="18"/>
                <w:szCs w:val="18"/>
                <w:lang w:val="en-GB"/>
              </w:rPr>
              <w:t>Initiatives aiming at improving regional transport dialogue and networks interoperability, safety and security of infrastructures, and rehabilitation of networks</w:t>
            </w:r>
          </w:p>
        </w:tc>
      </w:tr>
      <w:tr w:rsidR="00A23C41" w:rsidRPr="00E746CA" w:rsidTr="00A23C41">
        <w:trPr>
          <w:trHeight w:val="255"/>
        </w:trPr>
        <w:tc>
          <w:tcPr>
            <w:tcW w:w="223" w:type="pct"/>
            <w:tcBorders>
              <w:top w:val="single" w:sz="2" w:space="0" w:color="1F497D" w:themeColor="text2"/>
              <w:left w:val="single" w:sz="12" w:space="0" w:color="1F497D" w:themeColor="text2"/>
              <w:bottom w:val="single" w:sz="2" w:space="0" w:color="1F497D" w:themeColor="text2"/>
              <w:right w:val="nil"/>
            </w:tcBorders>
            <w:shd w:val="clear" w:color="auto" w:fill="FFFFFF" w:themeFill="background1"/>
            <w:vAlign w:val="center"/>
          </w:tcPr>
          <w:p w:rsidR="00A23C41" w:rsidRPr="00E746CA" w:rsidRDefault="00A23C41" w:rsidP="00A23C41">
            <w:pPr>
              <w:spacing w:before="0" w:after="0"/>
              <w:jc w:val="left"/>
              <w:rPr>
                <w:rFonts w:ascii="Arial" w:hAnsi="Arial" w:cs="Arial"/>
                <w:sz w:val="18"/>
                <w:szCs w:val="18"/>
                <w:lang w:val="en-GB"/>
              </w:rPr>
            </w:pPr>
          </w:p>
        </w:tc>
        <w:tc>
          <w:tcPr>
            <w:tcW w:w="1407" w:type="pct"/>
            <w:tcBorders>
              <w:top w:val="single" w:sz="2" w:space="0" w:color="1F497D" w:themeColor="text2"/>
              <w:left w:val="nil"/>
              <w:bottom w:val="single" w:sz="2" w:space="0" w:color="1F497D" w:themeColor="text2"/>
            </w:tcBorders>
            <w:shd w:val="clear" w:color="auto" w:fill="FFFFFF" w:themeFill="background1"/>
            <w:noWrap/>
            <w:vAlign w:val="center"/>
            <w:hideMark/>
          </w:tcPr>
          <w:p w:rsidR="00A23C41" w:rsidRPr="00E746CA" w:rsidRDefault="00A23C41" w:rsidP="00A23C41">
            <w:pPr>
              <w:spacing w:before="0" w:after="0"/>
              <w:jc w:val="left"/>
              <w:rPr>
                <w:rFonts w:ascii="Arial" w:hAnsi="Arial" w:cs="Arial"/>
                <w:sz w:val="18"/>
                <w:szCs w:val="18"/>
                <w:lang w:val="en-GB"/>
              </w:rPr>
            </w:pPr>
            <w:r w:rsidRPr="00E746CA">
              <w:rPr>
                <w:rFonts w:ascii="Arial" w:hAnsi="Arial" w:cs="Arial"/>
                <w:sz w:val="18"/>
                <w:szCs w:val="18"/>
                <w:lang w:val="en-GB"/>
              </w:rPr>
              <w:t>Urban planning</w:t>
            </w:r>
          </w:p>
        </w:tc>
        <w:tc>
          <w:tcPr>
            <w:tcW w:w="3370" w:type="pct"/>
            <w:tcBorders>
              <w:top w:val="single" w:sz="2" w:space="0" w:color="1F497D" w:themeColor="text2"/>
              <w:left w:val="nil"/>
              <w:bottom w:val="single" w:sz="2" w:space="0" w:color="1F497D" w:themeColor="text2"/>
            </w:tcBorders>
            <w:shd w:val="clear" w:color="auto" w:fill="FFFFFF" w:themeFill="background1"/>
            <w:vAlign w:val="center"/>
          </w:tcPr>
          <w:p w:rsidR="00A23C41" w:rsidRPr="00E746CA" w:rsidRDefault="00A23C41" w:rsidP="00A23C41">
            <w:pPr>
              <w:spacing w:before="0" w:after="0"/>
              <w:jc w:val="left"/>
              <w:rPr>
                <w:rFonts w:ascii="Arial" w:hAnsi="Arial" w:cs="Arial"/>
                <w:sz w:val="18"/>
                <w:szCs w:val="18"/>
                <w:lang w:val="en-GB"/>
              </w:rPr>
            </w:pPr>
            <w:r w:rsidRPr="00E746CA">
              <w:rPr>
                <w:rFonts w:ascii="Arial" w:hAnsi="Arial" w:cs="Arial"/>
                <w:sz w:val="18"/>
                <w:szCs w:val="18"/>
                <w:lang w:val="en-GB"/>
              </w:rPr>
              <w:t>Integrated urban development projects; local development and urban management; urban infrastructure and reconstruction of buildings; urban; urban development and planning; urban renewal and urban housing; land information systems</w:t>
            </w:r>
          </w:p>
        </w:tc>
      </w:tr>
      <w:tr w:rsidR="00A23C41" w:rsidRPr="00E746CA" w:rsidTr="00A23C41">
        <w:trPr>
          <w:trHeight w:val="255"/>
        </w:trPr>
        <w:tc>
          <w:tcPr>
            <w:tcW w:w="223" w:type="pct"/>
            <w:tcBorders>
              <w:top w:val="single" w:sz="2" w:space="0" w:color="1F497D" w:themeColor="text2"/>
              <w:left w:val="single" w:sz="12" w:space="0" w:color="1F497D" w:themeColor="text2"/>
              <w:bottom w:val="single" w:sz="2" w:space="0" w:color="1F497D" w:themeColor="text2"/>
              <w:right w:val="nil"/>
            </w:tcBorders>
            <w:shd w:val="clear" w:color="auto" w:fill="1F497D" w:themeFill="text2"/>
            <w:vAlign w:val="center"/>
          </w:tcPr>
          <w:p w:rsidR="00A23C41" w:rsidRPr="00E746CA" w:rsidRDefault="00A23C41" w:rsidP="00A23C41">
            <w:pPr>
              <w:spacing w:before="0" w:after="0"/>
              <w:jc w:val="left"/>
              <w:rPr>
                <w:rFonts w:ascii="Arial" w:hAnsi="Arial" w:cs="Arial"/>
                <w:b/>
                <w:color w:val="FFFFFF" w:themeColor="background1"/>
                <w:sz w:val="18"/>
                <w:szCs w:val="18"/>
                <w:lang w:val="en-GB"/>
              </w:rPr>
            </w:pPr>
            <w:r>
              <w:rPr>
                <w:rFonts w:ascii="Arial" w:hAnsi="Arial" w:cs="Arial"/>
                <w:b/>
                <w:color w:val="FFFFFF" w:themeColor="background1"/>
                <w:sz w:val="18"/>
                <w:szCs w:val="18"/>
                <w:lang w:val="en-GB"/>
              </w:rPr>
              <w:t>5</w:t>
            </w:r>
          </w:p>
        </w:tc>
        <w:tc>
          <w:tcPr>
            <w:tcW w:w="1407" w:type="pct"/>
            <w:tcBorders>
              <w:top w:val="single" w:sz="2" w:space="0" w:color="1F497D" w:themeColor="text2"/>
              <w:left w:val="nil"/>
              <w:bottom w:val="single" w:sz="2" w:space="0" w:color="1F497D" w:themeColor="text2"/>
            </w:tcBorders>
            <w:shd w:val="clear" w:color="auto" w:fill="1F497D" w:themeFill="text2"/>
            <w:noWrap/>
            <w:vAlign w:val="center"/>
            <w:hideMark/>
          </w:tcPr>
          <w:p w:rsidR="00A23C41" w:rsidRPr="00E746CA" w:rsidRDefault="00A23C41" w:rsidP="00A23C41">
            <w:pPr>
              <w:spacing w:before="0" w:after="0"/>
              <w:jc w:val="left"/>
              <w:rPr>
                <w:rFonts w:ascii="Arial" w:hAnsi="Arial" w:cs="Arial"/>
                <w:b/>
                <w:color w:val="FFFFFF" w:themeColor="background1"/>
                <w:sz w:val="18"/>
                <w:szCs w:val="18"/>
                <w:lang w:val="en-GB"/>
              </w:rPr>
            </w:pPr>
            <w:r w:rsidRPr="00E746CA">
              <w:rPr>
                <w:rFonts w:ascii="Arial" w:hAnsi="Arial" w:cs="Arial"/>
                <w:b/>
                <w:color w:val="FFFFFF" w:themeColor="background1"/>
                <w:sz w:val="18"/>
                <w:szCs w:val="18"/>
                <w:lang w:val="en-GB"/>
              </w:rPr>
              <w:t>Social (SOC)</w:t>
            </w:r>
          </w:p>
        </w:tc>
        <w:tc>
          <w:tcPr>
            <w:tcW w:w="3370" w:type="pct"/>
            <w:tcBorders>
              <w:top w:val="single" w:sz="2" w:space="0" w:color="1F497D" w:themeColor="text2"/>
              <w:left w:val="nil"/>
              <w:bottom w:val="single" w:sz="2" w:space="0" w:color="1F497D" w:themeColor="text2"/>
            </w:tcBorders>
            <w:shd w:val="clear" w:color="auto" w:fill="1F497D" w:themeFill="text2"/>
            <w:vAlign w:val="center"/>
          </w:tcPr>
          <w:p w:rsidR="00A23C41" w:rsidRPr="00E746CA" w:rsidRDefault="00A23C41" w:rsidP="00A23C41">
            <w:pPr>
              <w:spacing w:before="0" w:after="0"/>
              <w:jc w:val="left"/>
              <w:rPr>
                <w:rFonts w:ascii="Arial" w:hAnsi="Arial" w:cs="Arial"/>
                <w:b/>
                <w:color w:val="FFFFFF" w:themeColor="background1"/>
                <w:sz w:val="18"/>
                <w:szCs w:val="18"/>
                <w:lang w:val="en-GB"/>
              </w:rPr>
            </w:pPr>
          </w:p>
        </w:tc>
      </w:tr>
      <w:tr w:rsidR="00A23C41" w:rsidRPr="00E746CA" w:rsidTr="00A23C41">
        <w:trPr>
          <w:trHeight w:val="255"/>
        </w:trPr>
        <w:tc>
          <w:tcPr>
            <w:tcW w:w="223" w:type="pct"/>
            <w:tcBorders>
              <w:top w:val="single" w:sz="2" w:space="0" w:color="1F497D" w:themeColor="text2"/>
              <w:left w:val="single" w:sz="12" w:space="0" w:color="1F497D" w:themeColor="text2"/>
              <w:bottom w:val="single" w:sz="2" w:space="0" w:color="1F497D" w:themeColor="text2"/>
              <w:right w:val="nil"/>
            </w:tcBorders>
            <w:shd w:val="clear" w:color="auto" w:fill="FFFFFF" w:themeFill="background1"/>
            <w:vAlign w:val="center"/>
          </w:tcPr>
          <w:p w:rsidR="00A23C41" w:rsidRPr="00E746CA" w:rsidRDefault="00A23C41" w:rsidP="00A23C41">
            <w:pPr>
              <w:spacing w:before="0" w:after="0"/>
              <w:jc w:val="left"/>
              <w:rPr>
                <w:rFonts w:ascii="Arial" w:hAnsi="Arial" w:cs="Arial"/>
                <w:sz w:val="18"/>
                <w:szCs w:val="18"/>
                <w:lang w:val="en-GB"/>
              </w:rPr>
            </w:pPr>
          </w:p>
        </w:tc>
        <w:tc>
          <w:tcPr>
            <w:tcW w:w="1407" w:type="pct"/>
            <w:tcBorders>
              <w:top w:val="single" w:sz="2" w:space="0" w:color="1F497D" w:themeColor="text2"/>
              <w:left w:val="nil"/>
              <w:bottom w:val="single" w:sz="2" w:space="0" w:color="1F497D" w:themeColor="text2"/>
            </w:tcBorders>
            <w:shd w:val="clear" w:color="auto" w:fill="FFFFFF" w:themeFill="background1"/>
            <w:noWrap/>
            <w:vAlign w:val="center"/>
            <w:hideMark/>
          </w:tcPr>
          <w:p w:rsidR="00A23C41" w:rsidRPr="00E746CA" w:rsidRDefault="00A23C41" w:rsidP="00A23C41">
            <w:pPr>
              <w:spacing w:before="0" w:after="0"/>
              <w:jc w:val="left"/>
              <w:rPr>
                <w:rFonts w:ascii="Arial" w:hAnsi="Arial" w:cs="Arial"/>
                <w:sz w:val="18"/>
                <w:szCs w:val="18"/>
                <w:lang w:val="en-GB"/>
              </w:rPr>
            </w:pPr>
            <w:r w:rsidRPr="00E746CA">
              <w:rPr>
                <w:rFonts w:ascii="Arial" w:hAnsi="Arial" w:cs="Arial"/>
                <w:sz w:val="18"/>
                <w:szCs w:val="18"/>
                <w:lang w:val="en-GB"/>
              </w:rPr>
              <w:t>Education</w:t>
            </w:r>
          </w:p>
        </w:tc>
        <w:tc>
          <w:tcPr>
            <w:tcW w:w="3370" w:type="pct"/>
            <w:tcBorders>
              <w:top w:val="single" w:sz="2" w:space="0" w:color="1F497D" w:themeColor="text2"/>
              <w:left w:val="nil"/>
              <w:bottom w:val="single" w:sz="2" w:space="0" w:color="1F497D" w:themeColor="text2"/>
            </w:tcBorders>
            <w:shd w:val="clear" w:color="auto" w:fill="FFFFFF" w:themeFill="background1"/>
            <w:vAlign w:val="center"/>
          </w:tcPr>
          <w:p w:rsidR="00A23C41" w:rsidRPr="00E746CA" w:rsidRDefault="00A23C41" w:rsidP="00A23C41">
            <w:pPr>
              <w:spacing w:before="0" w:after="0"/>
              <w:jc w:val="left"/>
              <w:rPr>
                <w:rFonts w:ascii="Arial" w:hAnsi="Arial" w:cs="Arial"/>
                <w:sz w:val="18"/>
                <w:szCs w:val="18"/>
                <w:lang w:val="en-GB"/>
              </w:rPr>
            </w:pPr>
            <w:r w:rsidRPr="00E746CA">
              <w:rPr>
                <w:rFonts w:ascii="Arial" w:hAnsi="Arial" w:cs="Arial"/>
                <w:sz w:val="18"/>
                <w:szCs w:val="18"/>
                <w:lang w:val="en-GB"/>
              </w:rPr>
              <w:t>Education policy including support to primary education, higher education, education facilities, vocational training</w:t>
            </w:r>
          </w:p>
        </w:tc>
      </w:tr>
      <w:tr w:rsidR="00A23C41" w:rsidRPr="00E746CA" w:rsidTr="00A23C41">
        <w:trPr>
          <w:trHeight w:val="255"/>
        </w:trPr>
        <w:tc>
          <w:tcPr>
            <w:tcW w:w="223" w:type="pct"/>
            <w:tcBorders>
              <w:top w:val="single" w:sz="2" w:space="0" w:color="1F497D" w:themeColor="text2"/>
              <w:left w:val="single" w:sz="12" w:space="0" w:color="1F497D" w:themeColor="text2"/>
              <w:bottom w:val="single" w:sz="2" w:space="0" w:color="1F497D" w:themeColor="text2"/>
              <w:right w:val="nil"/>
            </w:tcBorders>
            <w:shd w:val="clear" w:color="auto" w:fill="FFFFFF" w:themeFill="background1"/>
            <w:vAlign w:val="center"/>
          </w:tcPr>
          <w:p w:rsidR="00A23C41" w:rsidRPr="00E746CA" w:rsidRDefault="00A23C41" w:rsidP="00A23C41">
            <w:pPr>
              <w:spacing w:before="0" w:after="0"/>
              <w:jc w:val="left"/>
              <w:rPr>
                <w:rFonts w:ascii="Arial" w:hAnsi="Arial" w:cs="Arial"/>
                <w:sz w:val="18"/>
                <w:szCs w:val="18"/>
                <w:lang w:val="en-GB"/>
              </w:rPr>
            </w:pPr>
          </w:p>
        </w:tc>
        <w:tc>
          <w:tcPr>
            <w:tcW w:w="1407" w:type="pct"/>
            <w:tcBorders>
              <w:top w:val="single" w:sz="2" w:space="0" w:color="1F497D" w:themeColor="text2"/>
              <w:left w:val="nil"/>
              <w:bottom w:val="single" w:sz="2" w:space="0" w:color="1F497D" w:themeColor="text2"/>
            </w:tcBorders>
            <w:shd w:val="clear" w:color="auto" w:fill="FFFFFF" w:themeFill="background1"/>
            <w:noWrap/>
            <w:vAlign w:val="center"/>
            <w:hideMark/>
          </w:tcPr>
          <w:p w:rsidR="00A23C41" w:rsidRPr="00E746CA" w:rsidRDefault="00A23C41" w:rsidP="00A23C41">
            <w:pPr>
              <w:spacing w:before="0" w:after="0"/>
              <w:jc w:val="left"/>
              <w:rPr>
                <w:rFonts w:ascii="Arial" w:hAnsi="Arial" w:cs="Arial"/>
                <w:sz w:val="18"/>
                <w:szCs w:val="18"/>
                <w:lang w:val="en-GB"/>
              </w:rPr>
            </w:pPr>
            <w:r w:rsidRPr="00E746CA">
              <w:rPr>
                <w:rFonts w:ascii="Arial" w:hAnsi="Arial" w:cs="Arial"/>
                <w:sz w:val="18"/>
                <w:szCs w:val="18"/>
                <w:lang w:val="en-GB"/>
              </w:rPr>
              <w:t xml:space="preserve">Gender </w:t>
            </w:r>
          </w:p>
        </w:tc>
        <w:tc>
          <w:tcPr>
            <w:tcW w:w="3370" w:type="pct"/>
            <w:tcBorders>
              <w:top w:val="single" w:sz="2" w:space="0" w:color="1F497D" w:themeColor="text2"/>
              <w:left w:val="nil"/>
              <w:bottom w:val="single" w:sz="2" w:space="0" w:color="1F497D" w:themeColor="text2"/>
            </w:tcBorders>
            <w:shd w:val="clear" w:color="auto" w:fill="FFFFFF" w:themeFill="background1"/>
            <w:vAlign w:val="center"/>
          </w:tcPr>
          <w:p w:rsidR="00A23C41" w:rsidRPr="00E746CA" w:rsidRDefault="00A23C41" w:rsidP="00A23C41">
            <w:pPr>
              <w:pStyle w:val="Default"/>
              <w:spacing w:before="0" w:after="0"/>
              <w:jc w:val="left"/>
              <w:rPr>
                <w:rFonts w:ascii="Arial" w:hAnsi="Arial" w:cs="Arial"/>
                <w:sz w:val="18"/>
                <w:szCs w:val="18"/>
                <w:lang w:val="en-GB"/>
              </w:rPr>
            </w:pPr>
            <w:r w:rsidRPr="00E746CA">
              <w:rPr>
                <w:rFonts w:ascii="Arial" w:hAnsi="Arial" w:cs="Arial"/>
                <w:sz w:val="18"/>
                <w:szCs w:val="18"/>
                <w:lang w:val="en-GB"/>
              </w:rPr>
              <w:t xml:space="preserve">Activities aiming at enhancing equality between men and women, support to institutions and organisations working for gender equality and women’s empowerment </w:t>
            </w:r>
          </w:p>
        </w:tc>
      </w:tr>
      <w:tr w:rsidR="00A23C41" w:rsidRPr="00E746CA" w:rsidTr="00A23C41">
        <w:trPr>
          <w:trHeight w:val="255"/>
        </w:trPr>
        <w:tc>
          <w:tcPr>
            <w:tcW w:w="223" w:type="pct"/>
            <w:tcBorders>
              <w:top w:val="single" w:sz="2" w:space="0" w:color="1F497D" w:themeColor="text2"/>
              <w:left w:val="single" w:sz="12" w:space="0" w:color="1F497D" w:themeColor="text2"/>
              <w:bottom w:val="single" w:sz="2" w:space="0" w:color="1F497D" w:themeColor="text2"/>
              <w:right w:val="nil"/>
            </w:tcBorders>
            <w:shd w:val="clear" w:color="auto" w:fill="FFFFFF" w:themeFill="background1"/>
            <w:vAlign w:val="center"/>
          </w:tcPr>
          <w:p w:rsidR="00A23C41" w:rsidRPr="00E746CA" w:rsidRDefault="00A23C41" w:rsidP="00A23C41">
            <w:pPr>
              <w:spacing w:before="0" w:after="0"/>
              <w:jc w:val="left"/>
              <w:rPr>
                <w:rFonts w:ascii="Arial" w:hAnsi="Arial" w:cs="Arial"/>
                <w:sz w:val="18"/>
                <w:szCs w:val="18"/>
                <w:lang w:val="en-GB"/>
              </w:rPr>
            </w:pPr>
          </w:p>
        </w:tc>
        <w:tc>
          <w:tcPr>
            <w:tcW w:w="1407" w:type="pct"/>
            <w:tcBorders>
              <w:top w:val="single" w:sz="2" w:space="0" w:color="1F497D" w:themeColor="text2"/>
              <w:left w:val="nil"/>
              <w:bottom w:val="single" w:sz="2" w:space="0" w:color="1F497D" w:themeColor="text2"/>
            </w:tcBorders>
            <w:shd w:val="clear" w:color="auto" w:fill="FFFFFF" w:themeFill="background1"/>
            <w:noWrap/>
            <w:vAlign w:val="center"/>
            <w:hideMark/>
          </w:tcPr>
          <w:p w:rsidR="00A23C41" w:rsidRPr="00E746CA" w:rsidRDefault="00A23C41" w:rsidP="00A23C41">
            <w:pPr>
              <w:spacing w:before="0" w:after="0"/>
              <w:jc w:val="left"/>
              <w:rPr>
                <w:rFonts w:ascii="Arial" w:hAnsi="Arial" w:cs="Arial"/>
                <w:sz w:val="18"/>
                <w:szCs w:val="18"/>
                <w:lang w:val="en-GB"/>
              </w:rPr>
            </w:pPr>
            <w:r w:rsidRPr="00E746CA">
              <w:rPr>
                <w:rFonts w:ascii="Arial" w:hAnsi="Arial" w:cs="Arial"/>
                <w:sz w:val="18"/>
                <w:szCs w:val="18"/>
                <w:lang w:val="en-GB"/>
              </w:rPr>
              <w:t>Health</w:t>
            </w:r>
          </w:p>
        </w:tc>
        <w:tc>
          <w:tcPr>
            <w:tcW w:w="3370" w:type="pct"/>
            <w:tcBorders>
              <w:top w:val="single" w:sz="2" w:space="0" w:color="1F497D" w:themeColor="text2"/>
              <w:left w:val="nil"/>
              <w:bottom w:val="single" w:sz="2" w:space="0" w:color="1F497D" w:themeColor="text2"/>
            </w:tcBorders>
            <w:shd w:val="clear" w:color="auto" w:fill="FFFFFF" w:themeFill="background1"/>
            <w:vAlign w:val="center"/>
          </w:tcPr>
          <w:p w:rsidR="00A23C41" w:rsidRPr="00E746CA" w:rsidRDefault="00A23C41" w:rsidP="00A23C41">
            <w:pPr>
              <w:spacing w:before="0" w:after="0"/>
              <w:jc w:val="left"/>
              <w:rPr>
                <w:rFonts w:ascii="Arial" w:hAnsi="Arial" w:cs="Arial"/>
                <w:sz w:val="18"/>
                <w:szCs w:val="18"/>
                <w:lang w:val="en-GB"/>
              </w:rPr>
            </w:pPr>
            <w:r w:rsidRPr="00E746CA">
              <w:rPr>
                <w:rFonts w:ascii="Arial" w:hAnsi="Arial" w:cs="Arial"/>
                <w:sz w:val="18"/>
                <w:szCs w:val="18"/>
                <w:lang w:val="en-GB"/>
              </w:rPr>
              <w:t>Health policy, medical services, Basic and primary health care programme, Basic health infrastructure, Reproductive health care</w:t>
            </w:r>
          </w:p>
        </w:tc>
      </w:tr>
      <w:tr w:rsidR="00A23C41" w:rsidRPr="00E746CA" w:rsidTr="00A23C41">
        <w:trPr>
          <w:trHeight w:val="255"/>
        </w:trPr>
        <w:tc>
          <w:tcPr>
            <w:tcW w:w="223" w:type="pct"/>
            <w:tcBorders>
              <w:top w:val="single" w:sz="2" w:space="0" w:color="1F497D" w:themeColor="text2"/>
              <w:left w:val="single" w:sz="12" w:space="0" w:color="1F497D" w:themeColor="text2"/>
              <w:bottom w:val="single" w:sz="2" w:space="0" w:color="1F497D" w:themeColor="text2"/>
              <w:right w:val="nil"/>
            </w:tcBorders>
            <w:shd w:val="clear" w:color="auto" w:fill="FFFFFF" w:themeFill="background1"/>
            <w:vAlign w:val="center"/>
          </w:tcPr>
          <w:p w:rsidR="00A23C41" w:rsidRPr="00E746CA" w:rsidRDefault="00A23C41" w:rsidP="00A23C41">
            <w:pPr>
              <w:spacing w:before="0" w:after="0"/>
              <w:jc w:val="left"/>
              <w:rPr>
                <w:rFonts w:ascii="Arial" w:hAnsi="Arial" w:cs="Arial"/>
                <w:sz w:val="18"/>
                <w:szCs w:val="18"/>
                <w:lang w:val="en-GB"/>
              </w:rPr>
            </w:pPr>
          </w:p>
        </w:tc>
        <w:tc>
          <w:tcPr>
            <w:tcW w:w="1407" w:type="pct"/>
            <w:tcBorders>
              <w:top w:val="single" w:sz="2" w:space="0" w:color="1F497D" w:themeColor="text2"/>
              <w:left w:val="nil"/>
              <w:bottom w:val="single" w:sz="2" w:space="0" w:color="1F497D" w:themeColor="text2"/>
            </w:tcBorders>
            <w:shd w:val="clear" w:color="auto" w:fill="FFFFFF" w:themeFill="background1"/>
            <w:noWrap/>
            <w:vAlign w:val="center"/>
            <w:hideMark/>
          </w:tcPr>
          <w:p w:rsidR="00A23C41" w:rsidRPr="000E4530" w:rsidRDefault="00A23C41" w:rsidP="00A23C41">
            <w:pPr>
              <w:spacing w:before="0" w:after="0"/>
              <w:jc w:val="left"/>
              <w:rPr>
                <w:rFonts w:ascii="Arial" w:hAnsi="Arial" w:cs="Arial"/>
                <w:sz w:val="18"/>
                <w:szCs w:val="18"/>
                <w:lang w:val="en-GB"/>
              </w:rPr>
            </w:pPr>
            <w:r w:rsidRPr="000E4530">
              <w:rPr>
                <w:rFonts w:ascii="Arial" w:hAnsi="Arial" w:cs="Arial"/>
                <w:sz w:val="18"/>
                <w:szCs w:val="18"/>
                <w:lang w:val="en-GB"/>
              </w:rPr>
              <w:t>Welfare services</w:t>
            </w:r>
          </w:p>
        </w:tc>
        <w:tc>
          <w:tcPr>
            <w:tcW w:w="3370" w:type="pct"/>
            <w:tcBorders>
              <w:top w:val="single" w:sz="2" w:space="0" w:color="1F497D" w:themeColor="text2"/>
              <w:left w:val="nil"/>
              <w:bottom w:val="single" w:sz="2" w:space="0" w:color="1F497D" w:themeColor="text2"/>
            </w:tcBorders>
            <w:shd w:val="clear" w:color="auto" w:fill="FFFFFF" w:themeFill="background1"/>
            <w:vAlign w:val="center"/>
          </w:tcPr>
          <w:p w:rsidR="00A23C41" w:rsidRDefault="00A23C41" w:rsidP="00A23C41">
            <w:pPr>
              <w:spacing w:before="0" w:after="0"/>
              <w:jc w:val="left"/>
              <w:rPr>
                <w:rFonts w:ascii="Arial" w:hAnsi="Arial" w:cs="Arial"/>
                <w:sz w:val="18"/>
                <w:szCs w:val="18"/>
                <w:lang w:val="en-GB"/>
              </w:rPr>
            </w:pPr>
            <w:r w:rsidRPr="00E746CA">
              <w:rPr>
                <w:rFonts w:ascii="Arial" w:hAnsi="Arial" w:cs="Arial"/>
                <w:sz w:val="18"/>
                <w:szCs w:val="18"/>
                <w:lang w:val="en-GB"/>
              </w:rPr>
              <w:t xml:space="preserve">Social legislation and administration; institution capacity building and advice; social security and other social schemes; social dimensions of structural adjustment; unspecified support to social infrastructure and services, including aid to refugees </w:t>
            </w:r>
          </w:p>
          <w:p w:rsidR="00A23C41" w:rsidRPr="000E4530" w:rsidRDefault="00A23C41" w:rsidP="00A23C41">
            <w:pPr>
              <w:spacing w:before="0" w:after="0"/>
              <w:rPr>
                <w:rFonts w:ascii="Arial" w:hAnsi="Arial" w:cs="Arial"/>
                <w:sz w:val="18"/>
                <w:szCs w:val="18"/>
                <w:lang w:val="en-GB"/>
              </w:rPr>
            </w:pPr>
            <w:r>
              <w:rPr>
                <w:rFonts w:ascii="Arial" w:hAnsi="Arial" w:cs="Arial"/>
                <w:sz w:val="18"/>
                <w:szCs w:val="18"/>
                <w:lang w:val="en-GB"/>
              </w:rPr>
              <w:t>More specifically, it</w:t>
            </w:r>
            <w:r w:rsidRPr="000E4530">
              <w:rPr>
                <w:rFonts w:ascii="Arial" w:hAnsi="Arial" w:cs="Arial"/>
                <w:sz w:val="18"/>
                <w:szCs w:val="18"/>
                <w:lang w:val="en-GB"/>
              </w:rPr>
              <w:t xml:space="preserve"> includes interventions under PEGASE DFS-CSP such as funds for pensioners and other not well defined areas under PEGASE DFS-CSP and also interventions  under UNRWA for relief activities</w:t>
            </w:r>
            <w:r>
              <w:rPr>
                <w:rFonts w:ascii="Arial" w:hAnsi="Arial" w:cs="Arial"/>
                <w:sz w:val="18"/>
                <w:szCs w:val="18"/>
                <w:lang w:val="en-GB"/>
              </w:rPr>
              <w:t>, support services and social infrastructures.</w:t>
            </w:r>
          </w:p>
        </w:tc>
      </w:tr>
      <w:tr w:rsidR="00A23C41" w:rsidRPr="00E746CA" w:rsidTr="00A23C41">
        <w:trPr>
          <w:trHeight w:val="255"/>
        </w:trPr>
        <w:tc>
          <w:tcPr>
            <w:tcW w:w="223" w:type="pct"/>
            <w:tcBorders>
              <w:top w:val="single" w:sz="2" w:space="0" w:color="1F497D" w:themeColor="text2"/>
              <w:left w:val="single" w:sz="12" w:space="0" w:color="1F497D" w:themeColor="text2"/>
              <w:bottom w:val="single" w:sz="2" w:space="0" w:color="1F497D" w:themeColor="text2"/>
              <w:right w:val="nil"/>
            </w:tcBorders>
            <w:shd w:val="clear" w:color="auto" w:fill="FFFFFF" w:themeFill="background1"/>
            <w:vAlign w:val="center"/>
          </w:tcPr>
          <w:p w:rsidR="00A23C41" w:rsidRPr="00E746CA" w:rsidRDefault="00A23C41" w:rsidP="00A23C41">
            <w:pPr>
              <w:spacing w:before="0" w:after="0"/>
              <w:jc w:val="left"/>
              <w:rPr>
                <w:rFonts w:ascii="Arial" w:hAnsi="Arial" w:cs="Arial"/>
                <w:sz w:val="18"/>
                <w:szCs w:val="18"/>
                <w:lang w:val="en-GB"/>
              </w:rPr>
            </w:pPr>
          </w:p>
        </w:tc>
        <w:tc>
          <w:tcPr>
            <w:tcW w:w="1407" w:type="pct"/>
            <w:tcBorders>
              <w:top w:val="single" w:sz="2" w:space="0" w:color="1F497D" w:themeColor="text2"/>
              <w:left w:val="nil"/>
              <w:bottom w:val="single" w:sz="2" w:space="0" w:color="1F497D" w:themeColor="text2"/>
            </w:tcBorders>
            <w:shd w:val="clear" w:color="auto" w:fill="FFFFFF" w:themeFill="background1"/>
            <w:noWrap/>
            <w:vAlign w:val="center"/>
            <w:hideMark/>
          </w:tcPr>
          <w:p w:rsidR="00A23C41" w:rsidRPr="00E746CA" w:rsidRDefault="00A23C41" w:rsidP="00A23C41">
            <w:pPr>
              <w:spacing w:before="0" w:after="0"/>
              <w:jc w:val="left"/>
              <w:rPr>
                <w:rFonts w:ascii="Arial" w:hAnsi="Arial" w:cs="Arial"/>
                <w:sz w:val="18"/>
                <w:szCs w:val="18"/>
                <w:lang w:val="en-GB"/>
              </w:rPr>
            </w:pPr>
            <w:r w:rsidRPr="00E746CA">
              <w:rPr>
                <w:rFonts w:ascii="Arial" w:hAnsi="Arial" w:cs="Arial"/>
                <w:sz w:val="18"/>
                <w:szCs w:val="18"/>
                <w:lang w:val="en-GB"/>
              </w:rPr>
              <w:t>Youth</w:t>
            </w:r>
          </w:p>
        </w:tc>
        <w:tc>
          <w:tcPr>
            <w:tcW w:w="3370" w:type="pct"/>
            <w:tcBorders>
              <w:top w:val="single" w:sz="2" w:space="0" w:color="1F497D" w:themeColor="text2"/>
              <w:left w:val="nil"/>
              <w:bottom w:val="single" w:sz="2" w:space="0" w:color="1F497D" w:themeColor="text2"/>
            </w:tcBorders>
            <w:shd w:val="clear" w:color="auto" w:fill="FFFFFF" w:themeFill="background1"/>
            <w:vAlign w:val="center"/>
          </w:tcPr>
          <w:p w:rsidR="00A23C41" w:rsidRPr="00E746CA" w:rsidRDefault="00A23C41" w:rsidP="00A23C41">
            <w:pPr>
              <w:pStyle w:val="Default"/>
              <w:spacing w:before="0" w:after="0"/>
              <w:jc w:val="left"/>
              <w:rPr>
                <w:rFonts w:ascii="Arial" w:hAnsi="Arial" w:cs="Arial"/>
                <w:sz w:val="18"/>
                <w:szCs w:val="18"/>
                <w:lang w:val="en-GB"/>
              </w:rPr>
            </w:pPr>
            <w:r w:rsidRPr="00E746CA">
              <w:rPr>
                <w:rFonts w:ascii="Arial" w:hAnsi="Arial" w:cs="Arial"/>
                <w:sz w:val="18"/>
                <w:szCs w:val="18"/>
                <w:lang w:val="en-GB"/>
              </w:rPr>
              <w:t xml:space="preserve">Activities for youth empowerment and protection </w:t>
            </w:r>
          </w:p>
        </w:tc>
      </w:tr>
      <w:tr w:rsidR="00A23C41" w:rsidRPr="00E746CA" w:rsidTr="00A23C41">
        <w:trPr>
          <w:trHeight w:val="255"/>
        </w:trPr>
        <w:tc>
          <w:tcPr>
            <w:tcW w:w="223" w:type="pct"/>
            <w:tcBorders>
              <w:top w:val="single" w:sz="2" w:space="0" w:color="1F497D" w:themeColor="text2"/>
              <w:left w:val="single" w:sz="12" w:space="0" w:color="1F497D" w:themeColor="text2"/>
              <w:bottom w:val="single" w:sz="2" w:space="0" w:color="1F497D" w:themeColor="text2"/>
              <w:right w:val="nil"/>
            </w:tcBorders>
            <w:shd w:val="clear" w:color="auto" w:fill="FFFFFF" w:themeFill="background1"/>
            <w:vAlign w:val="center"/>
          </w:tcPr>
          <w:p w:rsidR="00A23C41" w:rsidRPr="00E746CA" w:rsidRDefault="00A23C41" w:rsidP="00A23C41">
            <w:pPr>
              <w:spacing w:before="0" w:after="0"/>
              <w:jc w:val="left"/>
              <w:rPr>
                <w:rFonts w:ascii="Arial" w:hAnsi="Arial" w:cs="Arial"/>
                <w:sz w:val="18"/>
                <w:szCs w:val="18"/>
                <w:lang w:val="en-GB"/>
              </w:rPr>
            </w:pPr>
          </w:p>
        </w:tc>
        <w:tc>
          <w:tcPr>
            <w:tcW w:w="1407" w:type="pct"/>
            <w:tcBorders>
              <w:top w:val="single" w:sz="2" w:space="0" w:color="1F497D" w:themeColor="text2"/>
              <w:left w:val="nil"/>
              <w:bottom w:val="single" w:sz="2" w:space="0" w:color="1F497D" w:themeColor="text2"/>
            </w:tcBorders>
            <w:shd w:val="clear" w:color="auto" w:fill="FFFFFF" w:themeFill="background1"/>
            <w:noWrap/>
            <w:vAlign w:val="center"/>
            <w:hideMark/>
          </w:tcPr>
          <w:p w:rsidR="00A23C41" w:rsidRPr="000E4530" w:rsidRDefault="00A23C41" w:rsidP="00A23C41">
            <w:pPr>
              <w:spacing w:before="0" w:after="0"/>
              <w:jc w:val="left"/>
              <w:rPr>
                <w:rFonts w:ascii="Arial" w:hAnsi="Arial" w:cs="Arial"/>
                <w:sz w:val="18"/>
                <w:szCs w:val="18"/>
                <w:lang w:val="en-GB"/>
              </w:rPr>
            </w:pPr>
            <w:r w:rsidRPr="000E4530">
              <w:rPr>
                <w:rFonts w:ascii="Arial" w:hAnsi="Arial" w:cs="Arial"/>
                <w:sz w:val="18"/>
                <w:szCs w:val="18"/>
                <w:lang w:val="en-GB"/>
              </w:rPr>
              <w:t xml:space="preserve">Social Protection </w:t>
            </w:r>
          </w:p>
        </w:tc>
        <w:tc>
          <w:tcPr>
            <w:tcW w:w="3370" w:type="pct"/>
            <w:tcBorders>
              <w:top w:val="single" w:sz="2" w:space="0" w:color="1F497D" w:themeColor="text2"/>
              <w:left w:val="nil"/>
              <w:bottom w:val="single" w:sz="2" w:space="0" w:color="1F497D" w:themeColor="text2"/>
            </w:tcBorders>
            <w:shd w:val="clear" w:color="auto" w:fill="FFFFFF" w:themeFill="background1"/>
            <w:vAlign w:val="center"/>
          </w:tcPr>
          <w:p w:rsidR="00A23C41" w:rsidRPr="000E4530" w:rsidRDefault="00A23C41" w:rsidP="00A23C41">
            <w:pPr>
              <w:pStyle w:val="Testonotaapidipagina"/>
              <w:spacing w:before="0" w:after="0"/>
              <w:rPr>
                <w:rFonts w:ascii="Arial" w:hAnsi="Arial" w:cs="Arial"/>
                <w:sz w:val="18"/>
                <w:szCs w:val="18"/>
              </w:rPr>
            </w:pPr>
            <w:r>
              <w:rPr>
                <w:rFonts w:ascii="Arial" w:hAnsi="Arial" w:cs="Arial"/>
                <w:color w:val="000000"/>
                <w:sz w:val="18"/>
                <w:szCs w:val="18"/>
                <w:lang w:val="en-GB"/>
              </w:rPr>
              <w:t>I</w:t>
            </w:r>
            <w:r w:rsidRPr="000E4530">
              <w:rPr>
                <w:rFonts w:ascii="Arial" w:hAnsi="Arial" w:cs="Arial"/>
                <w:color w:val="000000"/>
                <w:sz w:val="18"/>
                <w:szCs w:val="18"/>
                <w:lang w:val="en-GB"/>
              </w:rPr>
              <w:t>nterventions under PEGASE DFS-VPF and all development activities for protection of vulnerable groups and technical assistance to the Ministry of Social Affairs</w:t>
            </w:r>
          </w:p>
        </w:tc>
      </w:tr>
      <w:tr w:rsidR="00A23C41" w:rsidRPr="00E746CA" w:rsidTr="00A23C41">
        <w:trPr>
          <w:trHeight w:val="255"/>
        </w:trPr>
        <w:tc>
          <w:tcPr>
            <w:tcW w:w="223" w:type="pct"/>
            <w:tcBorders>
              <w:top w:val="single" w:sz="2" w:space="0" w:color="1F497D" w:themeColor="text2"/>
              <w:left w:val="single" w:sz="12" w:space="0" w:color="1F497D" w:themeColor="text2"/>
              <w:bottom w:val="single" w:sz="2" w:space="0" w:color="1F497D" w:themeColor="text2"/>
              <w:right w:val="nil"/>
            </w:tcBorders>
            <w:shd w:val="clear" w:color="auto" w:fill="1F497D" w:themeFill="text2"/>
            <w:vAlign w:val="center"/>
          </w:tcPr>
          <w:p w:rsidR="00A23C41" w:rsidRPr="00CF40E9" w:rsidRDefault="00A23C41" w:rsidP="00A23C41">
            <w:pPr>
              <w:spacing w:before="0" w:after="0"/>
              <w:jc w:val="left"/>
              <w:rPr>
                <w:rFonts w:ascii="Arial" w:hAnsi="Arial" w:cs="Arial"/>
                <w:color w:val="FFFFFF" w:themeColor="background1"/>
                <w:sz w:val="18"/>
                <w:szCs w:val="18"/>
                <w:lang w:val="en-GB"/>
              </w:rPr>
            </w:pPr>
            <w:r w:rsidRPr="00CF40E9">
              <w:rPr>
                <w:rFonts w:ascii="Arial" w:hAnsi="Arial" w:cs="Arial"/>
                <w:color w:val="FFFFFF" w:themeColor="background1"/>
                <w:sz w:val="18"/>
                <w:szCs w:val="18"/>
                <w:lang w:val="en-GB"/>
              </w:rPr>
              <w:t>6</w:t>
            </w:r>
          </w:p>
        </w:tc>
        <w:tc>
          <w:tcPr>
            <w:tcW w:w="4777" w:type="pct"/>
            <w:gridSpan w:val="2"/>
            <w:tcBorders>
              <w:top w:val="single" w:sz="2" w:space="0" w:color="1F497D" w:themeColor="text2"/>
              <w:left w:val="nil"/>
              <w:bottom w:val="single" w:sz="2" w:space="0" w:color="1F497D" w:themeColor="text2"/>
            </w:tcBorders>
            <w:shd w:val="clear" w:color="auto" w:fill="1F497D" w:themeFill="text2"/>
            <w:noWrap/>
            <w:vAlign w:val="center"/>
            <w:hideMark/>
          </w:tcPr>
          <w:p w:rsidR="00A23C41" w:rsidRPr="00E746CA" w:rsidRDefault="00A23C41" w:rsidP="00A23C41">
            <w:pPr>
              <w:pStyle w:val="Default"/>
              <w:spacing w:before="0" w:after="0"/>
              <w:jc w:val="left"/>
              <w:rPr>
                <w:rFonts w:ascii="Arial" w:hAnsi="Arial" w:cs="Arial"/>
                <w:sz w:val="18"/>
                <w:szCs w:val="18"/>
                <w:lang w:val="en-GB"/>
              </w:rPr>
            </w:pPr>
            <w:r>
              <w:rPr>
                <w:rFonts w:ascii="Arial" w:hAnsi="Arial" w:cs="Arial"/>
                <w:b/>
                <w:color w:val="FFFFFF" w:themeColor="background1"/>
                <w:sz w:val="18"/>
                <w:szCs w:val="18"/>
                <w:lang w:val="en-GB"/>
              </w:rPr>
              <w:t>Culture and communication (CUL)</w:t>
            </w:r>
          </w:p>
        </w:tc>
      </w:tr>
      <w:tr w:rsidR="00A23C41" w:rsidRPr="00E746CA" w:rsidTr="00A23C41">
        <w:trPr>
          <w:trHeight w:val="255"/>
        </w:trPr>
        <w:tc>
          <w:tcPr>
            <w:tcW w:w="223" w:type="pct"/>
            <w:tcBorders>
              <w:top w:val="single" w:sz="2" w:space="0" w:color="1F497D" w:themeColor="text2"/>
              <w:left w:val="single" w:sz="12" w:space="0" w:color="1F497D" w:themeColor="text2"/>
              <w:bottom w:val="single" w:sz="2" w:space="0" w:color="1F497D" w:themeColor="text2"/>
              <w:right w:val="nil"/>
            </w:tcBorders>
            <w:shd w:val="clear" w:color="auto" w:fill="FFFFFF" w:themeFill="background1"/>
            <w:vAlign w:val="center"/>
          </w:tcPr>
          <w:p w:rsidR="00A23C41" w:rsidRPr="00E746CA" w:rsidRDefault="00A23C41" w:rsidP="00A23C41">
            <w:pPr>
              <w:spacing w:before="0" w:after="0"/>
              <w:jc w:val="left"/>
              <w:rPr>
                <w:rFonts w:ascii="Arial" w:hAnsi="Arial" w:cs="Arial"/>
                <w:sz w:val="18"/>
                <w:szCs w:val="18"/>
                <w:lang w:val="en-GB"/>
              </w:rPr>
            </w:pPr>
          </w:p>
        </w:tc>
        <w:tc>
          <w:tcPr>
            <w:tcW w:w="1407" w:type="pct"/>
            <w:tcBorders>
              <w:top w:val="single" w:sz="2" w:space="0" w:color="1F497D" w:themeColor="text2"/>
              <w:left w:val="nil"/>
              <w:bottom w:val="single" w:sz="2" w:space="0" w:color="1F497D" w:themeColor="text2"/>
            </w:tcBorders>
            <w:shd w:val="clear" w:color="auto" w:fill="FFFFFF" w:themeFill="background1"/>
            <w:noWrap/>
            <w:vAlign w:val="center"/>
            <w:hideMark/>
          </w:tcPr>
          <w:p w:rsidR="00A23C41" w:rsidRPr="00E746CA" w:rsidRDefault="00A23C41" w:rsidP="00A23C41">
            <w:pPr>
              <w:spacing w:before="0" w:after="0"/>
              <w:jc w:val="left"/>
              <w:rPr>
                <w:rFonts w:ascii="Arial" w:hAnsi="Arial" w:cs="Arial"/>
                <w:sz w:val="18"/>
                <w:szCs w:val="18"/>
                <w:lang w:val="en-GB"/>
              </w:rPr>
            </w:pPr>
            <w:r w:rsidRPr="00E746CA">
              <w:rPr>
                <w:rFonts w:ascii="Arial" w:hAnsi="Arial" w:cs="Arial"/>
                <w:sz w:val="18"/>
                <w:szCs w:val="18"/>
                <w:lang w:val="en-GB"/>
              </w:rPr>
              <w:t>Communication</w:t>
            </w:r>
          </w:p>
        </w:tc>
        <w:tc>
          <w:tcPr>
            <w:tcW w:w="3370" w:type="pct"/>
            <w:tcBorders>
              <w:top w:val="single" w:sz="2" w:space="0" w:color="1F497D" w:themeColor="text2"/>
              <w:left w:val="nil"/>
              <w:bottom w:val="single" w:sz="2" w:space="0" w:color="1F497D" w:themeColor="text2"/>
            </w:tcBorders>
            <w:shd w:val="clear" w:color="auto" w:fill="FFFFFF" w:themeFill="background1"/>
            <w:vAlign w:val="center"/>
          </w:tcPr>
          <w:p w:rsidR="00A23C41" w:rsidRPr="00E746CA" w:rsidRDefault="00A23C41" w:rsidP="00A23C41">
            <w:pPr>
              <w:spacing w:before="0" w:after="0"/>
              <w:jc w:val="left"/>
              <w:rPr>
                <w:rFonts w:ascii="Arial" w:hAnsi="Arial" w:cs="Arial"/>
                <w:sz w:val="18"/>
                <w:szCs w:val="18"/>
                <w:lang w:val="en-GB"/>
              </w:rPr>
            </w:pPr>
            <w:r w:rsidRPr="00E746CA">
              <w:rPr>
                <w:rFonts w:ascii="Arial" w:hAnsi="Arial" w:cs="Arial"/>
                <w:sz w:val="18"/>
                <w:szCs w:val="18"/>
                <w:lang w:val="en-GB"/>
              </w:rPr>
              <w:t>Communications policy, promotion of development awareness through radio/television/print media</w:t>
            </w:r>
          </w:p>
        </w:tc>
      </w:tr>
      <w:tr w:rsidR="00A23C41" w:rsidRPr="00E746CA" w:rsidTr="00A23C41">
        <w:trPr>
          <w:trHeight w:val="255"/>
        </w:trPr>
        <w:tc>
          <w:tcPr>
            <w:tcW w:w="223" w:type="pct"/>
            <w:tcBorders>
              <w:top w:val="single" w:sz="2" w:space="0" w:color="1F497D" w:themeColor="text2"/>
              <w:left w:val="single" w:sz="12" w:space="0" w:color="1F497D" w:themeColor="text2"/>
              <w:bottom w:val="single" w:sz="2" w:space="0" w:color="1F497D" w:themeColor="text2"/>
              <w:right w:val="nil"/>
            </w:tcBorders>
            <w:shd w:val="clear" w:color="auto" w:fill="FFFFFF" w:themeFill="background1"/>
            <w:vAlign w:val="center"/>
          </w:tcPr>
          <w:p w:rsidR="00A23C41" w:rsidRPr="00E746CA" w:rsidRDefault="00A23C41" w:rsidP="00A23C41">
            <w:pPr>
              <w:spacing w:before="0" w:after="0"/>
              <w:jc w:val="left"/>
              <w:rPr>
                <w:rFonts w:ascii="Arial" w:hAnsi="Arial" w:cs="Arial"/>
                <w:sz w:val="18"/>
                <w:szCs w:val="18"/>
                <w:lang w:val="en-GB"/>
              </w:rPr>
            </w:pPr>
          </w:p>
        </w:tc>
        <w:tc>
          <w:tcPr>
            <w:tcW w:w="1407" w:type="pct"/>
            <w:tcBorders>
              <w:top w:val="single" w:sz="2" w:space="0" w:color="1F497D" w:themeColor="text2"/>
              <w:left w:val="nil"/>
              <w:bottom w:val="single" w:sz="2" w:space="0" w:color="1F497D" w:themeColor="text2"/>
            </w:tcBorders>
            <w:shd w:val="clear" w:color="auto" w:fill="FFFFFF" w:themeFill="background1"/>
            <w:noWrap/>
            <w:vAlign w:val="center"/>
            <w:hideMark/>
          </w:tcPr>
          <w:p w:rsidR="00A23C41" w:rsidRPr="00E746CA" w:rsidRDefault="00A23C41" w:rsidP="00A23C41">
            <w:pPr>
              <w:spacing w:before="0" w:after="0"/>
              <w:jc w:val="left"/>
              <w:rPr>
                <w:rFonts w:ascii="Arial" w:hAnsi="Arial" w:cs="Arial"/>
                <w:sz w:val="18"/>
                <w:szCs w:val="18"/>
                <w:lang w:val="en-GB"/>
              </w:rPr>
            </w:pPr>
            <w:r w:rsidRPr="00E746CA">
              <w:rPr>
                <w:rFonts w:ascii="Arial" w:hAnsi="Arial" w:cs="Arial"/>
                <w:sz w:val="18"/>
                <w:szCs w:val="18"/>
                <w:lang w:val="en-GB"/>
              </w:rPr>
              <w:t>Culture</w:t>
            </w:r>
          </w:p>
        </w:tc>
        <w:tc>
          <w:tcPr>
            <w:tcW w:w="3370" w:type="pct"/>
            <w:tcBorders>
              <w:top w:val="single" w:sz="2" w:space="0" w:color="1F497D" w:themeColor="text2"/>
              <w:left w:val="nil"/>
              <w:bottom w:val="single" w:sz="2" w:space="0" w:color="1F497D" w:themeColor="text2"/>
            </w:tcBorders>
            <w:shd w:val="clear" w:color="auto" w:fill="FFFFFF" w:themeFill="background1"/>
            <w:vAlign w:val="center"/>
          </w:tcPr>
          <w:p w:rsidR="00A23C41" w:rsidRPr="00E746CA" w:rsidRDefault="00A23C41" w:rsidP="00A23C41">
            <w:pPr>
              <w:pStyle w:val="Default"/>
              <w:spacing w:before="0" w:after="0"/>
              <w:jc w:val="left"/>
              <w:rPr>
                <w:rFonts w:ascii="Arial" w:hAnsi="Arial" w:cs="Arial"/>
                <w:sz w:val="18"/>
                <w:szCs w:val="18"/>
                <w:lang w:val="en-GB"/>
              </w:rPr>
            </w:pPr>
            <w:r w:rsidRPr="00E746CA">
              <w:rPr>
                <w:rFonts w:ascii="Arial" w:hAnsi="Arial" w:cs="Arial"/>
                <w:sz w:val="18"/>
                <w:szCs w:val="18"/>
                <w:lang w:val="en-GB"/>
              </w:rPr>
              <w:t>Activities to promote historical heritage (conferences and literary, music, dance and film festivals), and develop culture</w:t>
            </w:r>
          </w:p>
        </w:tc>
      </w:tr>
      <w:tr w:rsidR="00A23C41" w:rsidRPr="00E746CA" w:rsidTr="00A23C41">
        <w:trPr>
          <w:trHeight w:val="255"/>
        </w:trPr>
        <w:tc>
          <w:tcPr>
            <w:tcW w:w="223" w:type="pct"/>
            <w:tcBorders>
              <w:top w:val="single" w:sz="2" w:space="0" w:color="1F497D" w:themeColor="text2"/>
              <w:left w:val="single" w:sz="12" w:space="0" w:color="1F497D" w:themeColor="text2"/>
              <w:bottom w:val="single" w:sz="2" w:space="0" w:color="1F497D" w:themeColor="text2"/>
              <w:right w:val="nil"/>
            </w:tcBorders>
            <w:shd w:val="clear" w:color="auto" w:fill="1F497D" w:themeFill="text2"/>
            <w:vAlign w:val="center"/>
          </w:tcPr>
          <w:p w:rsidR="00A23C41" w:rsidRPr="00E746CA" w:rsidRDefault="00A23C41" w:rsidP="00A23C41">
            <w:pPr>
              <w:spacing w:before="0" w:after="0"/>
              <w:jc w:val="left"/>
              <w:rPr>
                <w:rFonts w:ascii="Arial" w:hAnsi="Arial" w:cs="Arial"/>
                <w:b/>
                <w:color w:val="FFFFFF" w:themeColor="background1"/>
                <w:sz w:val="18"/>
                <w:szCs w:val="18"/>
                <w:lang w:val="en-GB"/>
              </w:rPr>
            </w:pPr>
            <w:r>
              <w:rPr>
                <w:rFonts w:ascii="Arial" w:hAnsi="Arial" w:cs="Arial"/>
                <w:b/>
                <w:color w:val="FFFFFF" w:themeColor="background1"/>
                <w:sz w:val="18"/>
                <w:szCs w:val="18"/>
                <w:lang w:val="en-GB"/>
              </w:rPr>
              <w:t>7</w:t>
            </w:r>
            <w:r w:rsidRPr="00E746CA">
              <w:rPr>
                <w:rFonts w:ascii="Arial" w:hAnsi="Arial" w:cs="Arial"/>
                <w:b/>
                <w:color w:val="FFFFFF" w:themeColor="background1"/>
                <w:sz w:val="18"/>
                <w:szCs w:val="18"/>
                <w:lang w:val="en-GB"/>
              </w:rPr>
              <w:t>.</w:t>
            </w:r>
          </w:p>
        </w:tc>
        <w:tc>
          <w:tcPr>
            <w:tcW w:w="1407" w:type="pct"/>
            <w:tcBorders>
              <w:top w:val="single" w:sz="2" w:space="0" w:color="1F497D" w:themeColor="text2"/>
              <w:left w:val="nil"/>
              <w:bottom w:val="single" w:sz="2" w:space="0" w:color="1F497D" w:themeColor="text2"/>
            </w:tcBorders>
            <w:shd w:val="clear" w:color="auto" w:fill="1F497D" w:themeFill="text2"/>
            <w:noWrap/>
            <w:vAlign w:val="center"/>
            <w:hideMark/>
          </w:tcPr>
          <w:p w:rsidR="00A23C41" w:rsidRPr="00E746CA" w:rsidRDefault="00A23C41" w:rsidP="00A23C41">
            <w:pPr>
              <w:spacing w:before="0" w:after="0"/>
              <w:jc w:val="left"/>
              <w:rPr>
                <w:rFonts w:ascii="Arial" w:hAnsi="Arial" w:cs="Arial"/>
                <w:b/>
                <w:color w:val="FFFFFF" w:themeColor="background1"/>
                <w:sz w:val="18"/>
                <w:szCs w:val="18"/>
                <w:lang w:val="en-GB"/>
              </w:rPr>
            </w:pPr>
            <w:r w:rsidRPr="00E746CA">
              <w:rPr>
                <w:rFonts w:ascii="Arial" w:hAnsi="Arial" w:cs="Arial"/>
                <w:b/>
                <w:color w:val="FFFFFF" w:themeColor="background1"/>
                <w:sz w:val="18"/>
                <w:szCs w:val="18"/>
                <w:lang w:val="en-GB"/>
              </w:rPr>
              <w:t>Food security (FOOD)</w:t>
            </w:r>
          </w:p>
        </w:tc>
        <w:tc>
          <w:tcPr>
            <w:tcW w:w="3370" w:type="pct"/>
            <w:tcBorders>
              <w:top w:val="single" w:sz="2" w:space="0" w:color="1F497D" w:themeColor="text2"/>
              <w:left w:val="nil"/>
              <w:bottom w:val="single" w:sz="2" w:space="0" w:color="1F497D" w:themeColor="text2"/>
            </w:tcBorders>
            <w:shd w:val="clear" w:color="auto" w:fill="1F497D" w:themeFill="text2"/>
            <w:vAlign w:val="center"/>
          </w:tcPr>
          <w:p w:rsidR="00A23C41" w:rsidRPr="00E746CA" w:rsidRDefault="00A23C41" w:rsidP="00A23C41">
            <w:pPr>
              <w:spacing w:before="0" w:after="0"/>
              <w:jc w:val="left"/>
              <w:rPr>
                <w:rFonts w:ascii="Arial" w:hAnsi="Arial" w:cs="Arial"/>
                <w:sz w:val="18"/>
                <w:szCs w:val="18"/>
                <w:lang w:val="en-GB"/>
              </w:rPr>
            </w:pPr>
          </w:p>
        </w:tc>
      </w:tr>
      <w:tr w:rsidR="00A23C41" w:rsidRPr="00E746CA" w:rsidTr="00A23C41">
        <w:trPr>
          <w:trHeight w:val="255"/>
        </w:trPr>
        <w:tc>
          <w:tcPr>
            <w:tcW w:w="223" w:type="pct"/>
            <w:tcBorders>
              <w:top w:val="single" w:sz="2" w:space="0" w:color="1F497D" w:themeColor="text2"/>
              <w:left w:val="single" w:sz="12" w:space="0" w:color="1F497D" w:themeColor="text2"/>
              <w:bottom w:val="single" w:sz="12" w:space="0" w:color="1F497D" w:themeColor="text2"/>
              <w:right w:val="nil"/>
            </w:tcBorders>
            <w:shd w:val="clear" w:color="auto" w:fill="FFFFFF" w:themeFill="background1"/>
            <w:vAlign w:val="center"/>
          </w:tcPr>
          <w:p w:rsidR="00A23C41" w:rsidRPr="00E746CA" w:rsidRDefault="00A23C41" w:rsidP="00A23C41">
            <w:pPr>
              <w:spacing w:before="0" w:after="0"/>
              <w:jc w:val="left"/>
              <w:rPr>
                <w:rFonts w:ascii="Arial" w:hAnsi="Arial" w:cs="Arial"/>
                <w:sz w:val="18"/>
                <w:szCs w:val="18"/>
                <w:lang w:val="en-GB"/>
              </w:rPr>
            </w:pPr>
          </w:p>
        </w:tc>
        <w:tc>
          <w:tcPr>
            <w:tcW w:w="1407" w:type="pct"/>
            <w:tcBorders>
              <w:top w:val="single" w:sz="2" w:space="0" w:color="1F497D" w:themeColor="text2"/>
              <w:left w:val="nil"/>
              <w:bottom w:val="single" w:sz="12" w:space="0" w:color="1F497D" w:themeColor="text2"/>
            </w:tcBorders>
            <w:shd w:val="clear" w:color="auto" w:fill="FFFFFF" w:themeFill="background1"/>
            <w:noWrap/>
            <w:vAlign w:val="center"/>
            <w:hideMark/>
          </w:tcPr>
          <w:p w:rsidR="00A23C41" w:rsidRPr="00E746CA" w:rsidRDefault="00A23C41" w:rsidP="00A23C41">
            <w:pPr>
              <w:spacing w:before="0" w:after="0"/>
              <w:jc w:val="left"/>
              <w:rPr>
                <w:rFonts w:ascii="Arial" w:hAnsi="Arial" w:cs="Arial"/>
                <w:sz w:val="18"/>
                <w:szCs w:val="18"/>
                <w:lang w:val="en-GB"/>
              </w:rPr>
            </w:pPr>
            <w:r w:rsidRPr="00E746CA">
              <w:rPr>
                <w:rFonts w:ascii="Arial" w:hAnsi="Arial" w:cs="Arial"/>
                <w:sz w:val="18"/>
                <w:szCs w:val="18"/>
                <w:lang w:val="en-GB"/>
              </w:rPr>
              <w:t xml:space="preserve">Food security </w:t>
            </w:r>
          </w:p>
        </w:tc>
        <w:tc>
          <w:tcPr>
            <w:tcW w:w="3370" w:type="pct"/>
            <w:tcBorders>
              <w:top w:val="single" w:sz="2" w:space="0" w:color="1F497D" w:themeColor="text2"/>
              <w:left w:val="nil"/>
              <w:bottom w:val="single" w:sz="12" w:space="0" w:color="1F497D" w:themeColor="text2"/>
            </w:tcBorders>
            <w:shd w:val="clear" w:color="auto" w:fill="FFFFFF" w:themeFill="background1"/>
            <w:vAlign w:val="center"/>
          </w:tcPr>
          <w:p w:rsidR="00A23C41" w:rsidRPr="00E746CA" w:rsidRDefault="00A23C41" w:rsidP="00A23C41">
            <w:pPr>
              <w:spacing w:before="0" w:after="0"/>
              <w:jc w:val="left"/>
              <w:rPr>
                <w:rFonts w:ascii="Arial" w:hAnsi="Arial" w:cs="Arial"/>
                <w:sz w:val="18"/>
                <w:szCs w:val="18"/>
                <w:lang w:val="en-GB"/>
              </w:rPr>
            </w:pPr>
            <w:r w:rsidRPr="00E746CA">
              <w:rPr>
                <w:rFonts w:ascii="Arial" w:hAnsi="Arial" w:cs="Arial"/>
                <w:sz w:val="18"/>
                <w:szCs w:val="18"/>
                <w:lang w:val="en-GB"/>
              </w:rPr>
              <w:t>Supply of edible human food under national or international programmes including transport costs; cash payments made for food supplies; project food aid and food aid for market sales when benefiting sector not specified and for rural development; excluding emergency food aid.</w:t>
            </w:r>
          </w:p>
        </w:tc>
      </w:tr>
    </w:tbl>
    <w:p w:rsidR="00A23C41" w:rsidRDefault="00A23C41" w:rsidP="00A23C41">
      <w:pPr>
        <w:spacing w:before="0" w:after="0"/>
        <w:rPr>
          <w:rFonts w:ascii="Arial" w:hAnsi="Arial" w:cs="Arial"/>
          <w:b/>
          <w:sz w:val="20"/>
          <w:lang w:val="en-GB"/>
        </w:rPr>
      </w:pPr>
    </w:p>
    <w:p w:rsidR="00A23C41" w:rsidRPr="00EF09A2" w:rsidRDefault="00A23C41" w:rsidP="00A23C41">
      <w:pPr>
        <w:spacing w:before="0" w:after="0"/>
        <w:rPr>
          <w:rFonts w:ascii="Arial" w:hAnsi="Arial" w:cs="Arial"/>
          <w:b/>
          <w:sz w:val="20"/>
          <w:lang w:val="en-GB"/>
        </w:rPr>
      </w:pPr>
    </w:p>
    <w:p w:rsidR="00A23C41" w:rsidRPr="00C61A75" w:rsidRDefault="00A23C41" w:rsidP="00A23C41">
      <w:pPr>
        <w:pStyle w:val="Default"/>
        <w:numPr>
          <w:ilvl w:val="0"/>
          <w:numId w:val="5"/>
        </w:numPr>
        <w:spacing w:before="0" w:after="0"/>
        <w:rPr>
          <w:rFonts w:ascii="Arial" w:hAnsi="Arial" w:cs="Arial"/>
          <w:b/>
          <w:bCs/>
          <w:i/>
          <w:iCs/>
          <w:sz w:val="22"/>
          <w:szCs w:val="22"/>
          <w:lang w:val="en-GB"/>
        </w:rPr>
      </w:pPr>
      <w:r w:rsidRPr="00C61A75">
        <w:rPr>
          <w:rFonts w:ascii="Arial" w:hAnsi="Arial" w:cs="Arial"/>
          <w:b/>
          <w:bCs/>
          <w:i/>
          <w:iCs/>
          <w:sz w:val="22"/>
          <w:szCs w:val="22"/>
          <w:lang w:val="en-GB"/>
        </w:rPr>
        <w:t>Type of aid</w:t>
      </w:r>
    </w:p>
    <w:p w:rsidR="00A23C41" w:rsidRPr="00C61A75" w:rsidRDefault="00A23C41" w:rsidP="00A23C41">
      <w:pPr>
        <w:spacing w:before="0" w:after="0"/>
        <w:rPr>
          <w:rFonts w:ascii="Arial" w:hAnsi="Arial" w:cs="Arial"/>
          <w:bCs/>
          <w:iCs/>
          <w:sz w:val="22"/>
          <w:szCs w:val="22"/>
          <w:lang w:val="en-GB"/>
        </w:rPr>
      </w:pPr>
      <w:r w:rsidRPr="00C61A75">
        <w:rPr>
          <w:rFonts w:ascii="Arial" w:hAnsi="Arial" w:cs="Arial"/>
          <w:bCs/>
          <w:iCs/>
          <w:sz w:val="22"/>
          <w:szCs w:val="22"/>
          <w:lang w:val="en-GB"/>
        </w:rPr>
        <w:t xml:space="preserve">The classification by type of aid has been carried out by analysing the column “type of aid” of each single contract, resulting in </w:t>
      </w:r>
      <w:r w:rsidRPr="00C61A75">
        <w:rPr>
          <w:rFonts w:ascii="Arial" w:hAnsi="Arial" w:cs="Arial"/>
          <w:b/>
          <w:bCs/>
          <w:iCs/>
          <w:sz w:val="22"/>
          <w:szCs w:val="22"/>
          <w:lang w:val="en-GB"/>
        </w:rPr>
        <w:t>seven categories</w:t>
      </w:r>
      <w:r w:rsidRPr="00C61A75">
        <w:rPr>
          <w:rFonts w:ascii="Arial" w:hAnsi="Arial" w:cs="Arial"/>
          <w:bCs/>
          <w:iCs/>
          <w:sz w:val="22"/>
          <w:szCs w:val="22"/>
          <w:lang w:val="en-GB"/>
        </w:rPr>
        <w:t>, as shown in Table 4</w:t>
      </w:r>
      <w:fldSimple w:instr=" REF _Ref354581241 \h  \* MERGEFORMAT "/>
      <w:r w:rsidRPr="00C61A75">
        <w:rPr>
          <w:rFonts w:ascii="Arial" w:hAnsi="Arial" w:cs="Arial"/>
          <w:bCs/>
          <w:iCs/>
          <w:sz w:val="22"/>
          <w:szCs w:val="22"/>
          <w:lang w:val="en-GB"/>
        </w:rPr>
        <w:t xml:space="preserve">. For very specific type of aid (i.e. developmental food aid, emergency and distress relief and developmental awareness) the title of the contract has been used in order to define the broad category to which the contract is related. </w:t>
      </w:r>
    </w:p>
    <w:p w:rsidR="00A23C41" w:rsidRPr="00784029" w:rsidRDefault="00A23C41" w:rsidP="00A23C41">
      <w:pPr>
        <w:spacing w:before="0" w:after="0"/>
      </w:pPr>
      <w:bookmarkStart w:id="72" w:name="_Ref354581241"/>
      <w:bookmarkStart w:id="73" w:name="_Toc358819944"/>
    </w:p>
    <w:p w:rsidR="00A23C41" w:rsidRPr="00784029" w:rsidRDefault="00A23C41" w:rsidP="00A23C41">
      <w:pPr>
        <w:spacing w:before="0" w:after="0"/>
        <w:rPr>
          <w:rFonts w:ascii="Arial" w:hAnsi="Arial" w:cs="Arial"/>
          <w:b/>
          <w:sz w:val="18"/>
          <w:szCs w:val="18"/>
          <w:lang w:val="en-GB"/>
        </w:rPr>
      </w:pPr>
      <w:r w:rsidRPr="00784029">
        <w:rPr>
          <w:rFonts w:ascii="Arial" w:hAnsi="Arial" w:cs="Arial"/>
          <w:b/>
          <w:sz w:val="18"/>
          <w:szCs w:val="18"/>
        </w:rPr>
        <w:t>Table</w:t>
      </w:r>
      <w:r w:rsidRPr="00784029">
        <w:rPr>
          <w:rFonts w:ascii="Arial" w:hAnsi="Arial" w:cs="Arial"/>
          <w:b/>
          <w:sz w:val="18"/>
          <w:szCs w:val="18"/>
          <w:lang w:val="en-GB"/>
        </w:rPr>
        <w:t xml:space="preserve"> </w:t>
      </w:r>
      <w:bookmarkEnd w:id="72"/>
      <w:r w:rsidRPr="00784029">
        <w:rPr>
          <w:rFonts w:ascii="Arial" w:hAnsi="Arial" w:cs="Arial"/>
          <w:b/>
          <w:sz w:val="18"/>
          <w:szCs w:val="18"/>
          <w:lang w:val="en-GB"/>
        </w:rPr>
        <w:t>4: Classification by Type of Aid – EU/Palestine contracts</w:t>
      </w:r>
      <w:bookmarkEnd w:id="73"/>
    </w:p>
    <w:tbl>
      <w:tblPr>
        <w:tblW w:w="5000" w:type="pct"/>
        <w:tblBorders>
          <w:top w:val="single" w:sz="12" w:space="0" w:color="1F497D" w:themeColor="text2"/>
          <w:left w:val="single" w:sz="12" w:space="0" w:color="1F497D" w:themeColor="text2"/>
          <w:bottom w:val="single" w:sz="12" w:space="0" w:color="1F497D" w:themeColor="text2"/>
          <w:right w:val="single" w:sz="12" w:space="0" w:color="1F497D" w:themeColor="text2"/>
          <w:insideH w:val="single" w:sz="6" w:space="0" w:color="1F497D" w:themeColor="text2"/>
          <w:insideV w:val="single" w:sz="6" w:space="0" w:color="1F497D" w:themeColor="text2"/>
        </w:tblBorders>
        <w:tblLayout w:type="fixed"/>
        <w:tblCellMar>
          <w:left w:w="70" w:type="dxa"/>
          <w:right w:w="70" w:type="dxa"/>
        </w:tblCellMar>
        <w:tblLook w:val="04A0"/>
      </w:tblPr>
      <w:tblGrid>
        <w:gridCol w:w="3614"/>
        <w:gridCol w:w="1701"/>
        <w:gridCol w:w="4463"/>
      </w:tblGrid>
      <w:tr w:rsidR="00A23C41" w:rsidRPr="00C61A75" w:rsidTr="00A23C41">
        <w:trPr>
          <w:trHeight w:val="255"/>
        </w:trPr>
        <w:tc>
          <w:tcPr>
            <w:tcW w:w="1848" w:type="pct"/>
            <w:tcBorders>
              <w:bottom w:val="single" w:sz="6" w:space="0" w:color="1F497D" w:themeColor="text2"/>
            </w:tcBorders>
            <w:shd w:val="clear" w:color="auto" w:fill="1F497D" w:themeFill="text2"/>
            <w:noWrap/>
            <w:vAlign w:val="bottom"/>
            <w:hideMark/>
          </w:tcPr>
          <w:p w:rsidR="00A23C41" w:rsidRPr="00C61A75" w:rsidRDefault="00A23C41" w:rsidP="00A23C41">
            <w:pPr>
              <w:spacing w:before="0" w:after="0"/>
              <w:jc w:val="center"/>
              <w:rPr>
                <w:rFonts w:ascii="Arial" w:hAnsi="Arial" w:cs="Arial"/>
                <w:b/>
                <w:color w:val="FFFFFF" w:themeColor="background1"/>
                <w:sz w:val="18"/>
                <w:szCs w:val="18"/>
                <w:lang w:val="en-GB"/>
              </w:rPr>
            </w:pPr>
            <w:r w:rsidRPr="00C61A75">
              <w:rPr>
                <w:rFonts w:ascii="Arial" w:hAnsi="Arial" w:cs="Arial"/>
                <w:b/>
                <w:color w:val="FFFFFF" w:themeColor="background1"/>
                <w:sz w:val="18"/>
                <w:szCs w:val="18"/>
                <w:lang w:val="en-GB"/>
              </w:rPr>
              <w:t>New classification of Type of Aid</w:t>
            </w:r>
          </w:p>
        </w:tc>
        <w:tc>
          <w:tcPr>
            <w:tcW w:w="870" w:type="pct"/>
            <w:shd w:val="clear" w:color="auto" w:fill="1F497D" w:themeFill="text2"/>
          </w:tcPr>
          <w:p w:rsidR="00A23C41" w:rsidRPr="00C61A75" w:rsidRDefault="00A23C41" w:rsidP="00A23C41">
            <w:pPr>
              <w:spacing w:before="0" w:after="0"/>
              <w:jc w:val="center"/>
              <w:rPr>
                <w:rFonts w:ascii="Arial" w:hAnsi="Arial" w:cs="Arial"/>
                <w:b/>
                <w:color w:val="FFFFFF" w:themeColor="background1"/>
                <w:sz w:val="18"/>
                <w:szCs w:val="18"/>
                <w:lang w:val="en-GB"/>
              </w:rPr>
            </w:pPr>
            <w:r w:rsidRPr="00C61A75">
              <w:rPr>
                <w:rFonts w:ascii="Arial" w:hAnsi="Arial" w:cs="Arial"/>
                <w:b/>
                <w:color w:val="FFFFFF" w:themeColor="background1"/>
                <w:sz w:val="18"/>
                <w:szCs w:val="18"/>
                <w:lang w:val="en-GB"/>
              </w:rPr>
              <w:t>Code Type of Aid</w:t>
            </w:r>
          </w:p>
        </w:tc>
        <w:tc>
          <w:tcPr>
            <w:tcW w:w="2282" w:type="pct"/>
            <w:shd w:val="clear" w:color="auto" w:fill="1F497D" w:themeFill="text2"/>
            <w:noWrap/>
            <w:hideMark/>
          </w:tcPr>
          <w:p w:rsidR="00A23C41" w:rsidRPr="00C61A75" w:rsidRDefault="00A23C41" w:rsidP="00A23C41">
            <w:pPr>
              <w:spacing w:before="0" w:after="0"/>
              <w:jc w:val="center"/>
              <w:rPr>
                <w:rFonts w:ascii="Arial" w:hAnsi="Arial" w:cs="Arial"/>
                <w:b/>
                <w:color w:val="FFFFFF" w:themeColor="background1"/>
                <w:sz w:val="18"/>
                <w:szCs w:val="18"/>
                <w:lang w:val="en-GB"/>
              </w:rPr>
            </w:pPr>
            <w:r w:rsidRPr="00C61A75">
              <w:rPr>
                <w:rFonts w:ascii="Arial" w:hAnsi="Arial" w:cs="Arial"/>
                <w:b/>
                <w:color w:val="FFFFFF" w:themeColor="background1"/>
                <w:sz w:val="18"/>
                <w:szCs w:val="18"/>
                <w:lang w:val="en-GB"/>
              </w:rPr>
              <w:t>Type of aid</w:t>
            </w:r>
          </w:p>
        </w:tc>
      </w:tr>
      <w:tr w:rsidR="00A23C41" w:rsidRPr="00C61A75" w:rsidTr="00A23C41">
        <w:trPr>
          <w:trHeight w:val="255"/>
        </w:trPr>
        <w:tc>
          <w:tcPr>
            <w:tcW w:w="1848" w:type="pct"/>
            <w:tcBorders>
              <w:top w:val="single" w:sz="6" w:space="0" w:color="1F497D" w:themeColor="text2"/>
              <w:bottom w:val="nil"/>
            </w:tcBorders>
            <w:shd w:val="clear" w:color="auto" w:fill="DBE5F1" w:themeFill="accent1" w:themeFillTint="33"/>
            <w:noWrap/>
            <w:vAlign w:val="bottom"/>
            <w:hideMark/>
          </w:tcPr>
          <w:p w:rsidR="00A23C41" w:rsidRPr="00C61A75" w:rsidRDefault="00A23C41" w:rsidP="00A23C41">
            <w:pPr>
              <w:spacing w:before="0" w:after="0"/>
              <w:rPr>
                <w:rFonts w:ascii="Arial" w:hAnsi="Arial" w:cs="Arial"/>
                <w:b/>
                <w:sz w:val="18"/>
                <w:szCs w:val="18"/>
                <w:lang w:val="en-GB"/>
              </w:rPr>
            </w:pPr>
            <w:r>
              <w:rPr>
                <w:rFonts w:ascii="Arial" w:hAnsi="Arial" w:cs="Arial"/>
                <w:b/>
                <w:sz w:val="18"/>
                <w:szCs w:val="18"/>
                <w:lang w:val="en-GB"/>
              </w:rPr>
              <w:t>Budget support</w:t>
            </w:r>
            <w:r w:rsidRPr="00C61A75">
              <w:rPr>
                <w:rFonts w:ascii="Arial" w:hAnsi="Arial" w:cs="Arial"/>
                <w:b/>
                <w:sz w:val="18"/>
                <w:szCs w:val="18"/>
                <w:lang w:val="en-GB"/>
              </w:rPr>
              <w:t xml:space="preserve">-general and </w:t>
            </w:r>
            <w:proofErr w:type="spellStart"/>
            <w:r w:rsidRPr="00C61A75">
              <w:rPr>
                <w:rFonts w:ascii="Arial" w:hAnsi="Arial" w:cs="Arial"/>
                <w:b/>
                <w:sz w:val="18"/>
                <w:szCs w:val="18"/>
                <w:lang w:val="en-GB"/>
              </w:rPr>
              <w:t>sectoral</w:t>
            </w:r>
            <w:proofErr w:type="spellEnd"/>
          </w:p>
        </w:tc>
        <w:tc>
          <w:tcPr>
            <w:tcW w:w="870" w:type="pct"/>
            <w:shd w:val="clear" w:color="auto" w:fill="FFFFFF" w:themeFill="background1"/>
          </w:tcPr>
          <w:p w:rsidR="00A23C41" w:rsidRPr="00C61A75" w:rsidRDefault="00A23C41" w:rsidP="00A23C41">
            <w:pPr>
              <w:spacing w:before="0" w:after="0"/>
              <w:jc w:val="center"/>
              <w:rPr>
                <w:rFonts w:ascii="Arial" w:hAnsi="Arial" w:cs="Arial"/>
                <w:sz w:val="18"/>
                <w:szCs w:val="18"/>
                <w:lang w:val="en-GB"/>
              </w:rPr>
            </w:pPr>
            <w:r w:rsidRPr="00C61A75">
              <w:rPr>
                <w:rFonts w:ascii="Arial" w:hAnsi="Arial" w:cs="Arial"/>
                <w:sz w:val="18"/>
                <w:szCs w:val="18"/>
                <w:lang w:val="en-GB"/>
              </w:rPr>
              <w:t>A01</w:t>
            </w:r>
          </w:p>
        </w:tc>
        <w:tc>
          <w:tcPr>
            <w:tcW w:w="2282" w:type="pct"/>
            <w:shd w:val="clear" w:color="auto" w:fill="FFFFFF" w:themeFill="background1"/>
            <w:noWrap/>
            <w:hideMark/>
          </w:tcPr>
          <w:p w:rsidR="00A23C41" w:rsidRPr="00C61A75" w:rsidRDefault="00A23C41" w:rsidP="00A23C41">
            <w:pPr>
              <w:spacing w:before="0" w:after="0"/>
              <w:rPr>
                <w:rFonts w:ascii="Arial" w:hAnsi="Arial" w:cs="Arial"/>
                <w:sz w:val="18"/>
                <w:szCs w:val="18"/>
                <w:lang w:val="en-GB"/>
              </w:rPr>
            </w:pPr>
            <w:r w:rsidRPr="00C61A75">
              <w:rPr>
                <w:rFonts w:ascii="Arial" w:hAnsi="Arial" w:cs="Arial"/>
                <w:sz w:val="18"/>
                <w:szCs w:val="18"/>
                <w:lang w:val="en-GB"/>
              </w:rPr>
              <w:t>General budget support</w:t>
            </w:r>
          </w:p>
        </w:tc>
      </w:tr>
      <w:tr w:rsidR="00A23C41" w:rsidRPr="00C61A75" w:rsidTr="00A23C41">
        <w:trPr>
          <w:trHeight w:val="255"/>
        </w:trPr>
        <w:tc>
          <w:tcPr>
            <w:tcW w:w="1848" w:type="pct"/>
            <w:tcBorders>
              <w:top w:val="nil"/>
              <w:bottom w:val="single" w:sz="6" w:space="0" w:color="1F497D" w:themeColor="text2"/>
            </w:tcBorders>
            <w:shd w:val="clear" w:color="auto" w:fill="DBE5F1" w:themeFill="accent1" w:themeFillTint="33"/>
            <w:noWrap/>
            <w:vAlign w:val="bottom"/>
            <w:hideMark/>
          </w:tcPr>
          <w:p w:rsidR="00A23C41" w:rsidRPr="00C61A75" w:rsidRDefault="00A23C41" w:rsidP="00A23C41">
            <w:pPr>
              <w:spacing w:before="0" w:after="0"/>
              <w:rPr>
                <w:rFonts w:ascii="Arial" w:hAnsi="Arial" w:cs="Arial"/>
                <w:b/>
                <w:sz w:val="18"/>
                <w:szCs w:val="18"/>
                <w:lang w:val="en-GB"/>
              </w:rPr>
            </w:pPr>
          </w:p>
        </w:tc>
        <w:tc>
          <w:tcPr>
            <w:tcW w:w="870" w:type="pct"/>
            <w:shd w:val="clear" w:color="auto" w:fill="FFFFFF" w:themeFill="background1"/>
          </w:tcPr>
          <w:p w:rsidR="00A23C41" w:rsidRPr="00C61A75" w:rsidRDefault="00A23C41" w:rsidP="00A23C41">
            <w:pPr>
              <w:spacing w:before="0" w:after="0"/>
              <w:jc w:val="center"/>
              <w:rPr>
                <w:rFonts w:ascii="Arial" w:hAnsi="Arial" w:cs="Arial"/>
                <w:sz w:val="18"/>
                <w:szCs w:val="18"/>
                <w:lang w:val="en-GB"/>
              </w:rPr>
            </w:pPr>
            <w:r w:rsidRPr="00C61A75">
              <w:rPr>
                <w:rFonts w:ascii="Arial" w:hAnsi="Arial" w:cs="Arial"/>
                <w:sz w:val="18"/>
                <w:szCs w:val="18"/>
                <w:lang w:val="en-GB"/>
              </w:rPr>
              <w:t>A02</w:t>
            </w:r>
          </w:p>
        </w:tc>
        <w:tc>
          <w:tcPr>
            <w:tcW w:w="2282" w:type="pct"/>
            <w:shd w:val="clear" w:color="auto" w:fill="FFFFFF" w:themeFill="background1"/>
            <w:noWrap/>
            <w:hideMark/>
          </w:tcPr>
          <w:p w:rsidR="00A23C41" w:rsidRPr="00C61A75" w:rsidRDefault="00A23C41" w:rsidP="00A23C41">
            <w:pPr>
              <w:spacing w:before="0" w:after="0"/>
              <w:rPr>
                <w:rFonts w:ascii="Arial" w:hAnsi="Arial" w:cs="Arial"/>
                <w:sz w:val="18"/>
                <w:szCs w:val="18"/>
                <w:lang w:val="en-GB"/>
              </w:rPr>
            </w:pPr>
            <w:r w:rsidRPr="00C61A75">
              <w:rPr>
                <w:rFonts w:ascii="Arial" w:hAnsi="Arial" w:cs="Arial"/>
                <w:sz w:val="18"/>
                <w:szCs w:val="18"/>
                <w:lang w:val="en-GB"/>
              </w:rPr>
              <w:t>Sector budget support</w:t>
            </w:r>
          </w:p>
        </w:tc>
      </w:tr>
      <w:tr w:rsidR="00A23C41" w:rsidRPr="00C61A75" w:rsidTr="00A23C41">
        <w:trPr>
          <w:trHeight w:val="255"/>
        </w:trPr>
        <w:tc>
          <w:tcPr>
            <w:tcW w:w="1848" w:type="pct"/>
            <w:tcBorders>
              <w:top w:val="single" w:sz="6" w:space="0" w:color="1F497D" w:themeColor="text2"/>
              <w:bottom w:val="nil"/>
            </w:tcBorders>
            <w:shd w:val="clear" w:color="auto" w:fill="DBE5F1" w:themeFill="accent1" w:themeFillTint="33"/>
            <w:noWrap/>
            <w:vAlign w:val="bottom"/>
            <w:hideMark/>
          </w:tcPr>
          <w:p w:rsidR="00A23C41" w:rsidRPr="00C61A75" w:rsidRDefault="00A23C41" w:rsidP="00A23C41">
            <w:pPr>
              <w:spacing w:before="0" w:after="0"/>
              <w:rPr>
                <w:rFonts w:ascii="Arial" w:hAnsi="Arial" w:cs="Arial"/>
                <w:b/>
                <w:sz w:val="18"/>
                <w:szCs w:val="18"/>
                <w:lang w:val="en-GB"/>
              </w:rPr>
            </w:pPr>
            <w:r w:rsidRPr="00C61A75">
              <w:rPr>
                <w:rFonts w:ascii="Arial" w:hAnsi="Arial" w:cs="Arial"/>
                <w:b/>
                <w:sz w:val="18"/>
                <w:szCs w:val="18"/>
                <w:lang w:val="en-GB"/>
              </w:rPr>
              <w:t>Administration costs</w:t>
            </w:r>
          </w:p>
        </w:tc>
        <w:tc>
          <w:tcPr>
            <w:tcW w:w="870" w:type="pct"/>
            <w:shd w:val="clear" w:color="auto" w:fill="FFFFFF" w:themeFill="background1"/>
          </w:tcPr>
          <w:p w:rsidR="00A23C41" w:rsidRPr="00C61A75" w:rsidRDefault="00A23C41" w:rsidP="00A23C41">
            <w:pPr>
              <w:spacing w:before="0" w:after="0"/>
              <w:jc w:val="center"/>
              <w:rPr>
                <w:rFonts w:ascii="Arial" w:hAnsi="Arial" w:cs="Arial"/>
                <w:sz w:val="18"/>
                <w:szCs w:val="18"/>
                <w:lang w:val="en-GB"/>
              </w:rPr>
            </w:pPr>
            <w:r w:rsidRPr="00C61A75">
              <w:rPr>
                <w:rFonts w:ascii="Arial" w:hAnsi="Arial" w:cs="Arial"/>
                <w:sz w:val="18"/>
                <w:szCs w:val="18"/>
                <w:lang w:val="en-GB"/>
              </w:rPr>
              <w:t>ADM</w:t>
            </w:r>
          </w:p>
        </w:tc>
        <w:tc>
          <w:tcPr>
            <w:tcW w:w="2282" w:type="pct"/>
            <w:shd w:val="clear" w:color="auto" w:fill="FFFFFF" w:themeFill="background1"/>
            <w:noWrap/>
            <w:hideMark/>
          </w:tcPr>
          <w:p w:rsidR="00A23C41" w:rsidRPr="00C61A75" w:rsidRDefault="00A23C41" w:rsidP="00A23C41">
            <w:pPr>
              <w:spacing w:before="0" w:after="0"/>
              <w:rPr>
                <w:rFonts w:ascii="Arial" w:hAnsi="Arial" w:cs="Arial"/>
                <w:sz w:val="18"/>
                <w:szCs w:val="18"/>
                <w:lang w:val="en-GB"/>
              </w:rPr>
            </w:pPr>
            <w:r w:rsidRPr="00C61A75">
              <w:rPr>
                <w:rFonts w:ascii="Arial" w:hAnsi="Arial" w:cs="Arial"/>
                <w:sz w:val="18"/>
                <w:szCs w:val="18"/>
                <w:lang w:val="en-GB"/>
              </w:rPr>
              <w:t>Administration cost</w:t>
            </w:r>
          </w:p>
        </w:tc>
      </w:tr>
      <w:tr w:rsidR="00A23C41" w:rsidRPr="00C61A75" w:rsidTr="00A23C41">
        <w:trPr>
          <w:trHeight w:val="255"/>
        </w:trPr>
        <w:tc>
          <w:tcPr>
            <w:tcW w:w="1848" w:type="pct"/>
            <w:tcBorders>
              <w:top w:val="nil"/>
              <w:bottom w:val="single" w:sz="6" w:space="0" w:color="1F497D" w:themeColor="text2"/>
            </w:tcBorders>
            <w:shd w:val="clear" w:color="auto" w:fill="DBE5F1" w:themeFill="accent1" w:themeFillTint="33"/>
            <w:noWrap/>
            <w:vAlign w:val="bottom"/>
            <w:hideMark/>
          </w:tcPr>
          <w:p w:rsidR="00A23C41" w:rsidRPr="00C61A75" w:rsidRDefault="00A23C41" w:rsidP="00A23C41">
            <w:pPr>
              <w:spacing w:before="0" w:after="0"/>
              <w:rPr>
                <w:rFonts w:ascii="Arial" w:hAnsi="Arial" w:cs="Arial"/>
                <w:b/>
                <w:sz w:val="18"/>
                <w:szCs w:val="18"/>
                <w:lang w:val="en-GB"/>
              </w:rPr>
            </w:pPr>
          </w:p>
        </w:tc>
        <w:tc>
          <w:tcPr>
            <w:tcW w:w="870" w:type="pct"/>
            <w:shd w:val="clear" w:color="auto" w:fill="FFFFFF" w:themeFill="background1"/>
          </w:tcPr>
          <w:p w:rsidR="00A23C41" w:rsidRPr="00C61A75" w:rsidRDefault="00A23C41" w:rsidP="00A23C41">
            <w:pPr>
              <w:spacing w:before="0" w:after="0"/>
              <w:jc w:val="center"/>
              <w:rPr>
                <w:rFonts w:ascii="Arial" w:hAnsi="Arial" w:cs="Arial"/>
                <w:sz w:val="18"/>
                <w:szCs w:val="18"/>
                <w:lang w:val="en-GB"/>
              </w:rPr>
            </w:pPr>
            <w:r w:rsidRPr="00C61A75">
              <w:rPr>
                <w:rFonts w:ascii="Arial" w:hAnsi="Arial" w:cs="Arial"/>
                <w:sz w:val="18"/>
                <w:szCs w:val="18"/>
                <w:lang w:val="en-GB"/>
              </w:rPr>
              <w:t>G01</w:t>
            </w:r>
          </w:p>
        </w:tc>
        <w:tc>
          <w:tcPr>
            <w:tcW w:w="2282" w:type="pct"/>
            <w:shd w:val="clear" w:color="auto" w:fill="FFFFFF" w:themeFill="background1"/>
            <w:noWrap/>
            <w:hideMark/>
          </w:tcPr>
          <w:p w:rsidR="00A23C41" w:rsidRPr="00C61A75" w:rsidRDefault="00A23C41" w:rsidP="00A23C41">
            <w:pPr>
              <w:spacing w:before="0" w:after="0"/>
              <w:rPr>
                <w:rFonts w:ascii="Arial" w:hAnsi="Arial" w:cs="Arial"/>
                <w:sz w:val="18"/>
                <w:szCs w:val="18"/>
                <w:lang w:val="en-GB"/>
              </w:rPr>
            </w:pPr>
            <w:r w:rsidRPr="00C61A75">
              <w:rPr>
                <w:rFonts w:ascii="Arial" w:hAnsi="Arial" w:cs="Arial"/>
                <w:sz w:val="18"/>
                <w:szCs w:val="18"/>
                <w:lang w:val="en-GB"/>
              </w:rPr>
              <w:t>Administrative costs not included elsewhere</w:t>
            </w:r>
          </w:p>
        </w:tc>
      </w:tr>
      <w:tr w:rsidR="00A23C41" w:rsidRPr="00C61A75" w:rsidTr="00A23C41">
        <w:trPr>
          <w:trHeight w:val="255"/>
        </w:trPr>
        <w:tc>
          <w:tcPr>
            <w:tcW w:w="1848" w:type="pct"/>
            <w:tcBorders>
              <w:top w:val="single" w:sz="6" w:space="0" w:color="1F497D" w:themeColor="text2"/>
              <w:bottom w:val="nil"/>
            </w:tcBorders>
            <w:shd w:val="clear" w:color="auto" w:fill="DBE5F1" w:themeFill="accent1" w:themeFillTint="33"/>
            <w:noWrap/>
            <w:vAlign w:val="bottom"/>
            <w:hideMark/>
          </w:tcPr>
          <w:p w:rsidR="00A23C41" w:rsidRPr="00C61A75" w:rsidRDefault="00A23C41" w:rsidP="00A23C41">
            <w:pPr>
              <w:spacing w:before="0" w:after="0"/>
              <w:rPr>
                <w:rFonts w:ascii="Arial" w:hAnsi="Arial" w:cs="Arial"/>
                <w:b/>
                <w:sz w:val="18"/>
                <w:szCs w:val="18"/>
                <w:lang w:val="en-GB"/>
              </w:rPr>
            </w:pPr>
            <w:r w:rsidRPr="00C61A75">
              <w:rPr>
                <w:rFonts w:ascii="Arial" w:hAnsi="Arial" w:cs="Arial"/>
                <w:b/>
                <w:sz w:val="18"/>
                <w:szCs w:val="18"/>
                <w:lang w:val="en-GB"/>
              </w:rPr>
              <w:t xml:space="preserve">Support to NGOs, private bodies, </w:t>
            </w:r>
            <w:proofErr w:type="spellStart"/>
            <w:r w:rsidRPr="00C61A75">
              <w:rPr>
                <w:rFonts w:ascii="Arial" w:hAnsi="Arial" w:cs="Arial"/>
                <w:b/>
                <w:sz w:val="18"/>
                <w:szCs w:val="18"/>
                <w:lang w:val="en-GB"/>
              </w:rPr>
              <w:t>PPPs</w:t>
            </w:r>
            <w:proofErr w:type="spellEnd"/>
            <w:r w:rsidRPr="00C61A75">
              <w:rPr>
                <w:rFonts w:ascii="Arial" w:hAnsi="Arial" w:cs="Arial"/>
                <w:b/>
                <w:sz w:val="18"/>
                <w:szCs w:val="18"/>
                <w:lang w:val="en-GB"/>
              </w:rPr>
              <w:t xml:space="preserve"> and research institutes</w:t>
            </w:r>
          </w:p>
        </w:tc>
        <w:tc>
          <w:tcPr>
            <w:tcW w:w="870" w:type="pct"/>
            <w:shd w:val="clear" w:color="auto" w:fill="FFFFFF" w:themeFill="background1"/>
          </w:tcPr>
          <w:p w:rsidR="00A23C41" w:rsidRPr="00C61A75" w:rsidRDefault="00A23C41" w:rsidP="00A23C41">
            <w:pPr>
              <w:spacing w:before="0" w:after="0"/>
              <w:jc w:val="center"/>
              <w:rPr>
                <w:rFonts w:ascii="Arial" w:hAnsi="Arial" w:cs="Arial"/>
                <w:sz w:val="18"/>
                <w:szCs w:val="18"/>
                <w:lang w:val="en-GB"/>
              </w:rPr>
            </w:pPr>
            <w:r w:rsidRPr="00C61A75">
              <w:rPr>
                <w:rFonts w:ascii="Arial" w:hAnsi="Arial" w:cs="Arial"/>
                <w:sz w:val="18"/>
                <w:szCs w:val="18"/>
                <w:lang w:val="en-GB"/>
              </w:rPr>
              <w:t>B01</w:t>
            </w:r>
          </w:p>
        </w:tc>
        <w:tc>
          <w:tcPr>
            <w:tcW w:w="2282" w:type="pct"/>
            <w:shd w:val="clear" w:color="auto" w:fill="FFFFFF" w:themeFill="background1"/>
            <w:noWrap/>
            <w:hideMark/>
          </w:tcPr>
          <w:p w:rsidR="00A23C41" w:rsidRPr="00C61A75" w:rsidRDefault="00A23C41" w:rsidP="00A23C41">
            <w:pPr>
              <w:spacing w:before="0" w:after="0"/>
              <w:rPr>
                <w:rFonts w:ascii="Arial" w:hAnsi="Arial" w:cs="Arial"/>
                <w:sz w:val="18"/>
                <w:szCs w:val="18"/>
                <w:lang w:val="en-GB"/>
              </w:rPr>
            </w:pPr>
            <w:r w:rsidRPr="00C61A75">
              <w:rPr>
                <w:rFonts w:ascii="Arial" w:hAnsi="Arial" w:cs="Arial"/>
                <w:sz w:val="18"/>
                <w:szCs w:val="18"/>
                <w:lang w:val="en-GB"/>
              </w:rPr>
              <w:t xml:space="preserve">Core support to NGOs, other private bodies, </w:t>
            </w:r>
            <w:proofErr w:type="spellStart"/>
            <w:r w:rsidRPr="00C61A75">
              <w:rPr>
                <w:rFonts w:ascii="Arial" w:hAnsi="Arial" w:cs="Arial"/>
                <w:sz w:val="18"/>
                <w:szCs w:val="18"/>
                <w:lang w:val="en-GB"/>
              </w:rPr>
              <w:t>PPPs</w:t>
            </w:r>
            <w:proofErr w:type="spellEnd"/>
            <w:r w:rsidRPr="00C61A75">
              <w:rPr>
                <w:rFonts w:ascii="Arial" w:hAnsi="Arial" w:cs="Arial"/>
                <w:sz w:val="18"/>
                <w:szCs w:val="18"/>
                <w:lang w:val="en-GB"/>
              </w:rPr>
              <w:t xml:space="preserve"> and research institutes</w:t>
            </w:r>
          </w:p>
        </w:tc>
      </w:tr>
      <w:tr w:rsidR="00A23C41" w:rsidRPr="00C61A75" w:rsidTr="00A23C41">
        <w:trPr>
          <w:trHeight w:val="255"/>
        </w:trPr>
        <w:tc>
          <w:tcPr>
            <w:tcW w:w="1848" w:type="pct"/>
            <w:tcBorders>
              <w:top w:val="nil"/>
              <w:bottom w:val="nil"/>
            </w:tcBorders>
            <w:shd w:val="clear" w:color="auto" w:fill="DBE5F1" w:themeFill="accent1" w:themeFillTint="33"/>
            <w:noWrap/>
            <w:vAlign w:val="bottom"/>
            <w:hideMark/>
          </w:tcPr>
          <w:p w:rsidR="00A23C41" w:rsidRPr="00C61A75" w:rsidRDefault="00A23C41" w:rsidP="00A23C41">
            <w:pPr>
              <w:spacing w:before="0" w:after="0"/>
              <w:rPr>
                <w:rFonts w:ascii="Arial" w:hAnsi="Arial" w:cs="Arial"/>
                <w:b/>
                <w:sz w:val="18"/>
                <w:szCs w:val="18"/>
                <w:lang w:val="en-GB"/>
              </w:rPr>
            </w:pPr>
          </w:p>
        </w:tc>
        <w:tc>
          <w:tcPr>
            <w:tcW w:w="870" w:type="pct"/>
            <w:shd w:val="clear" w:color="auto" w:fill="FFFFFF" w:themeFill="background1"/>
          </w:tcPr>
          <w:p w:rsidR="00A23C41" w:rsidRPr="00C61A75" w:rsidRDefault="00A23C41" w:rsidP="00A23C41">
            <w:pPr>
              <w:spacing w:before="0" w:after="0"/>
              <w:jc w:val="center"/>
              <w:rPr>
                <w:rFonts w:ascii="Arial" w:hAnsi="Arial" w:cs="Arial"/>
                <w:sz w:val="18"/>
                <w:szCs w:val="18"/>
                <w:lang w:val="en-GB"/>
              </w:rPr>
            </w:pPr>
            <w:r w:rsidRPr="00C61A75">
              <w:rPr>
                <w:rFonts w:ascii="Arial" w:hAnsi="Arial" w:cs="Arial"/>
                <w:sz w:val="18"/>
                <w:szCs w:val="18"/>
                <w:lang w:val="en-GB"/>
              </w:rPr>
              <w:t>PPP</w:t>
            </w:r>
          </w:p>
        </w:tc>
        <w:tc>
          <w:tcPr>
            <w:tcW w:w="2282" w:type="pct"/>
            <w:shd w:val="clear" w:color="auto" w:fill="FFFFFF" w:themeFill="background1"/>
            <w:noWrap/>
            <w:hideMark/>
          </w:tcPr>
          <w:p w:rsidR="00A23C41" w:rsidRPr="00C61A75" w:rsidRDefault="00A23C41" w:rsidP="00A23C41">
            <w:pPr>
              <w:spacing w:before="0" w:after="0"/>
              <w:rPr>
                <w:rFonts w:ascii="Arial" w:hAnsi="Arial" w:cs="Arial"/>
                <w:sz w:val="18"/>
                <w:szCs w:val="18"/>
                <w:lang w:val="en-GB"/>
              </w:rPr>
            </w:pPr>
            <w:r w:rsidRPr="00C61A75">
              <w:rPr>
                <w:rFonts w:ascii="Arial" w:hAnsi="Arial" w:cs="Arial"/>
                <w:sz w:val="18"/>
                <w:szCs w:val="18"/>
                <w:lang w:val="en-GB"/>
              </w:rPr>
              <w:t>Public-private partnership</w:t>
            </w:r>
          </w:p>
        </w:tc>
      </w:tr>
      <w:tr w:rsidR="00A23C41" w:rsidRPr="00C61A75" w:rsidTr="00A23C41">
        <w:trPr>
          <w:trHeight w:val="255"/>
        </w:trPr>
        <w:tc>
          <w:tcPr>
            <w:tcW w:w="1848" w:type="pct"/>
            <w:tcBorders>
              <w:top w:val="nil"/>
              <w:bottom w:val="single" w:sz="6" w:space="0" w:color="1F497D" w:themeColor="text2"/>
            </w:tcBorders>
            <w:shd w:val="clear" w:color="auto" w:fill="DBE5F1" w:themeFill="accent1" w:themeFillTint="33"/>
            <w:noWrap/>
            <w:vAlign w:val="bottom"/>
            <w:hideMark/>
          </w:tcPr>
          <w:p w:rsidR="00A23C41" w:rsidRPr="00C61A75" w:rsidRDefault="00A23C41" w:rsidP="00A23C41">
            <w:pPr>
              <w:spacing w:before="0" w:after="0"/>
              <w:rPr>
                <w:rFonts w:ascii="Arial" w:hAnsi="Arial" w:cs="Arial"/>
                <w:b/>
                <w:sz w:val="18"/>
                <w:szCs w:val="18"/>
                <w:lang w:val="en-GB"/>
              </w:rPr>
            </w:pPr>
          </w:p>
        </w:tc>
        <w:tc>
          <w:tcPr>
            <w:tcW w:w="870" w:type="pct"/>
            <w:shd w:val="clear" w:color="auto" w:fill="FFFFFF" w:themeFill="background1"/>
          </w:tcPr>
          <w:p w:rsidR="00A23C41" w:rsidRPr="00C61A75" w:rsidRDefault="00A23C41" w:rsidP="00A23C41">
            <w:pPr>
              <w:spacing w:before="0" w:after="0"/>
              <w:jc w:val="center"/>
              <w:rPr>
                <w:rFonts w:ascii="Arial" w:hAnsi="Arial" w:cs="Arial"/>
                <w:sz w:val="18"/>
                <w:szCs w:val="18"/>
                <w:lang w:val="en-GB"/>
              </w:rPr>
            </w:pPr>
            <w:r w:rsidRPr="00C61A75">
              <w:rPr>
                <w:rFonts w:ascii="Arial" w:hAnsi="Arial" w:cs="Arial"/>
                <w:sz w:val="18"/>
                <w:szCs w:val="18"/>
                <w:lang w:val="en-GB"/>
              </w:rPr>
              <w:t>NG2</w:t>
            </w:r>
          </w:p>
        </w:tc>
        <w:tc>
          <w:tcPr>
            <w:tcW w:w="2282" w:type="pct"/>
            <w:shd w:val="clear" w:color="auto" w:fill="FFFFFF" w:themeFill="background1"/>
            <w:noWrap/>
            <w:hideMark/>
          </w:tcPr>
          <w:p w:rsidR="00A23C41" w:rsidRPr="00C61A75" w:rsidRDefault="00A23C41" w:rsidP="00A23C41">
            <w:pPr>
              <w:spacing w:before="0" w:after="0"/>
              <w:rPr>
                <w:rFonts w:ascii="Arial" w:hAnsi="Arial" w:cs="Arial"/>
                <w:sz w:val="18"/>
                <w:szCs w:val="18"/>
                <w:lang w:val="en-GB"/>
              </w:rPr>
            </w:pPr>
            <w:r w:rsidRPr="00C61A75">
              <w:rPr>
                <w:rFonts w:ascii="Arial" w:hAnsi="Arial" w:cs="Arial"/>
                <w:sz w:val="18"/>
                <w:szCs w:val="18"/>
                <w:lang w:val="en-GB"/>
              </w:rPr>
              <w:t>Aid to NGOs</w:t>
            </w:r>
          </w:p>
        </w:tc>
      </w:tr>
      <w:tr w:rsidR="00A23C41" w:rsidRPr="00C61A75" w:rsidTr="00A23C41">
        <w:trPr>
          <w:trHeight w:val="255"/>
        </w:trPr>
        <w:tc>
          <w:tcPr>
            <w:tcW w:w="1848" w:type="pct"/>
            <w:tcBorders>
              <w:top w:val="single" w:sz="6" w:space="0" w:color="1F497D" w:themeColor="text2"/>
              <w:bottom w:val="nil"/>
            </w:tcBorders>
            <w:shd w:val="clear" w:color="auto" w:fill="DBE5F1" w:themeFill="accent1" w:themeFillTint="33"/>
            <w:noWrap/>
            <w:vAlign w:val="bottom"/>
            <w:hideMark/>
          </w:tcPr>
          <w:p w:rsidR="00A23C41" w:rsidRPr="00C61A75" w:rsidRDefault="00A23C41" w:rsidP="00A23C41">
            <w:pPr>
              <w:spacing w:before="0" w:after="0"/>
              <w:rPr>
                <w:rFonts w:ascii="Arial" w:hAnsi="Arial" w:cs="Arial"/>
                <w:b/>
                <w:sz w:val="18"/>
                <w:szCs w:val="18"/>
                <w:lang w:val="en-GB"/>
              </w:rPr>
            </w:pPr>
            <w:r w:rsidRPr="00C61A75">
              <w:rPr>
                <w:rFonts w:ascii="Arial" w:hAnsi="Arial" w:cs="Arial"/>
                <w:b/>
                <w:sz w:val="18"/>
                <w:szCs w:val="18"/>
                <w:lang w:val="en-GB"/>
              </w:rPr>
              <w:t>Contributions to multilateral institutions</w:t>
            </w:r>
          </w:p>
        </w:tc>
        <w:tc>
          <w:tcPr>
            <w:tcW w:w="870" w:type="pct"/>
            <w:shd w:val="clear" w:color="auto" w:fill="FFFFFF" w:themeFill="background1"/>
          </w:tcPr>
          <w:p w:rsidR="00A23C41" w:rsidRPr="00C61A75" w:rsidRDefault="00A23C41" w:rsidP="00A23C41">
            <w:pPr>
              <w:spacing w:before="0" w:after="0"/>
              <w:jc w:val="center"/>
              <w:rPr>
                <w:rFonts w:ascii="Arial" w:hAnsi="Arial" w:cs="Arial"/>
                <w:sz w:val="18"/>
                <w:szCs w:val="18"/>
                <w:lang w:val="en-GB"/>
              </w:rPr>
            </w:pPr>
            <w:r w:rsidRPr="00C61A75">
              <w:rPr>
                <w:rFonts w:ascii="Arial" w:hAnsi="Arial" w:cs="Arial"/>
                <w:sz w:val="18"/>
                <w:szCs w:val="18"/>
                <w:lang w:val="en-GB"/>
              </w:rPr>
              <w:t>B02</w:t>
            </w:r>
          </w:p>
        </w:tc>
        <w:tc>
          <w:tcPr>
            <w:tcW w:w="2282" w:type="pct"/>
            <w:shd w:val="clear" w:color="auto" w:fill="FFFFFF" w:themeFill="background1"/>
            <w:noWrap/>
            <w:hideMark/>
          </w:tcPr>
          <w:p w:rsidR="00A23C41" w:rsidRPr="00C61A75" w:rsidRDefault="00A23C41" w:rsidP="00A23C41">
            <w:pPr>
              <w:spacing w:before="0" w:after="0"/>
              <w:rPr>
                <w:rFonts w:ascii="Arial" w:hAnsi="Arial" w:cs="Arial"/>
                <w:sz w:val="18"/>
                <w:szCs w:val="18"/>
                <w:lang w:val="en-GB"/>
              </w:rPr>
            </w:pPr>
            <w:r w:rsidRPr="00C61A75">
              <w:rPr>
                <w:rFonts w:ascii="Arial" w:hAnsi="Arial" w:cs="Arial"/>
                <w:sz w:val="18"/>
                <w:szCs w:val="18"/>
                <w:lang w:val="en-GB"/>
              </w:rPr>
              <w:t>Core contributions to multilateral institutions</w:t>
            </w:r>
          </w:p>
        </w:tc>
      </w:tr>
      <w:tr w:rsidR="00A23C41" w:rsidRPr="00C61A75" w:rsidTr="00A23C41">
        <w:trPr>
          <w:trHeight w:val="255"/>
        </w:trPr>
        <w:tc>
          <w:tcPr>
            <w:tcW w:w="1848" w:type="pct"/>
            <w:tcBorders>
              <w:top w:val="nil"/>
              <w:bottom w:val="nil"/>
            </w:tcBorders>
            <w:shd w:val="clear" w:color="auto" w:fill="DBE5F1" w:themeFill="accent1" w:themeFillTint="33"/>
            <w:noWrap/>
            <w:vAlign w:val="bottom"/>
            <w:hideMark/>
          </w:tcPr>
          <w:p w:rsidR="00A23C41" w:rsidRPr="00C61A75" w:rsidRDefault="00A23C41" w:rsidP="00A23C41">
            <w:pPr>
              <w:spacing w:before="0" w:after="0"/>
              <w:rPr>
                <w:rFonts w:ascii="Arial" w:hAnsi="Arial" w:cs="Arial"/>
                <w:b/>
                <w:sz w:val="18"/>
                <w:szCs w:val="18"/>
                <w:lang w:val="en-GB"/>
              </w:rPr>
            </w:pPr>
          </w:p>
        </w:tc>
        <w:tc>
          <w:tcPr>
            <w:tcW w:w="870" w:type="pct"/>
            <w:shd w:val="clear" w:color="auto" w:fill="FFFFFF" w:themeFill="background1"/>
          </w:tcPr>
          <w:p w:rsidR="00A23C41" w:rsidRPr="00C61A75" w:rsidRDefault="00A23C41" w:rsidP="00A23C41">
            <w:pPr>
              <w:spacing w:before="0" w:after="0"/>
              <w:jc w:val="center"/>
              <w:rPr>
                <w:rFonts w:ascii="Arial" w:hAnsi="Arial" w:cs="Arial"/>
                <w:sz w:val="18"/>
                <w:szCs w:val="18"/>
                <w:lang w:val="en-GB"/>
              </w:rPr>
            </w:pPr>
            <w:r w:rsidRPr="00C61A75">
              <w:rPr>
                <w:rFonts w:ascii="Arial" w:hAnsi="Arial" w:cs="Arial"/>
                <w:sz w:val="18"/>
                <w:szCs w:val="18"/>
                <w:lang w:val="en-GB"/>
              </w:rPr>
              <w:t>B03</w:t>
            </w:r>
          </w:p>
        </w:tc>
        <w:tc>
          <w:tcPr>
            <w:tcW w:w="2282" w:type="pct"/>
            <w:shd w:val="clear" w:color="auto" w:fill="FFFFFF" w:themeFill="background1"/>
            <w:noWrap/>
            <w:hideMark/>
          </w:tcPr>
          <w:p w:rsidR="00A23C41" w:rsidRPr="00C61A75" w:rsidRDefault="00A23C41" w:rsidP="00A23C41">
            <w:pPr>
              <w:spacing w:before="0" w:after="0"/>
              <w:rPr>
                <w:rFonts w:ascii="Arial" w:hAnsi="Arial" w:cs="Arial"/>
                <w:sz w:val="18"/>
                <w:szCs w:val="18"/>
                <w:lang w:val="en-GB"/>
              </w:rPr>
            </w:pPr>
            <w:r w:rsidRPr="00C61A75">
              <w:rPr>
                <w:rFonts w:ascii="Arial" w:hAnsi="Arial" w:cs="Arial"/>
                <w:sz w:val="18"/>
                <w:szCs w:val="18"/>
                <w:lang w:val="en-GB"/>
              </w:rPr>
              <w:t>Contributions to specific-purpose programmes and funds managed by international organisations (multilateral, INGO)</w:t>
            </w:r>
          </w:p>
        </w:tc>
      </w:tr>
      <w:tr w:rsidR="00A23C41" w:rsidRPr="00C61A75" w:rsidTr="00A23C41">
        <w:trPr>
          <w:trHeight w:val="255"/>
        </w:trPr>
        <w:tc>
          <w:tcPr>
            <w:tcW w:w="1848" w:type="pct"/>
            <w:tcBorders>
              <w:top w:val="nil"/>
              <w:bottom w:val="nil"/>
            </w:tcBorders>
            <w:shd w:val="clear" w:color="auto" w:fill="DBE5F1" w:themeFill="accent1" w:themeFillTint="33"/>
            <w:noWrap/>
            <w:vAlign w:val="bottom"/>
            <w:hideMark/>
          </w:tcPr>
          <w:p w:rsidR="00A23C41" w:rsidRPr="00C61A75" w:rsidRDefault="00A23C41" w:rsidP="00A23C41">
            <w:pPr>
              <w:spacing w:before="0" w:after="0"/>
              <w:rPr>
                <w:rFonts w:ascii="Arial" w:hAnsi="Arial" w:cs="Arial"/>
                <w:b/>
                <w:sz w:val="18"/>
                <w:szCs w:val="18"/>
                <w:lang w:val="en-GB"/>
              </w:rPr>
            </w:pPr>
          </w:p>
        </w:tc>
        <w:tc>
          <w:tcPr>
            <w:tcW w:w="870" w:type="pct"/>
            <w:shd w:val="clear" w:color="auto" w:fill="FFFFFF" w:themeFill="background1"/>
          </w:tcPr>
          <w:p w:rsidR="00A23C41" w:rsidRPr="00C61A75" w:rsidRDefault="00A23C41" w:rsidP="00A23C41">
            <w:pPr>
              <w:spacing w:before="0" w:after="0"/>
              <w:jc w:val="center"/>
              <w:rPr>
                <w:rFonts w:ascii="Arial" w:hAnsi="Arial" w:cs="Arial"/>
                <w:sz w:val="18"/>
                <w:szCs w:val="18"/>
                <w:lang w:val="en-GB"/>
              </w:rPr>
            </w:pPr>
            <w:r w:rsidRPr="00C61A75">
              <w:rPr>
                <w:rFonts w:ascii="Arial" w:hAnsi="Arial" w:cs="Arial"/>
                <w:sz w:val="18"/>
                <w:szCs w:val="18"/>
                <w:lang w:val="en-GB"/>
              </w:rPr>
              <w:t>B04</w:t>
            </w:r>
          </w:p>
        </w:tc>
        <w:tc>
          <w:tcPr>
            <w:tcW w:w="2282" w:type="pct"/>
            <w:shd w:val="clear" w:color="auto" w:fill="FFFFFF" w:themeFill="background1"/>
            <w:noWrap/>
            <w:hideMark/>
          </w:tcPr>
          <w:p w:rsidR="00A23C41" w:rsidRPr="00C61A75" w:rsidRDefault="00A23C41" w:rsidP="00A23C41">
            <w:pPr>
              <w:spacing w:before="0" w:after="0"/>
              <w:rPr>
                <w:rFonts w:ascii="Arial" w:hAnsi="Arial" w:cs="Arial"/>
                <w:sz w:val="18"/>
                <w:szCs w:val="18"/>
                <w:lang w:val="en-GB"/>
              </w:rPr>
            </w:pPr>
            <w:r w:rsidRPr="00C61A75">
              <w:rPr>
                <w:rFonts w:ascii="Arial" w:hAnsi="Arial" w:cs="Arial"/>
                <w:sz w:val="18"/>
                <w:szCs w:val="18"/>
                <w:lang w:val="en-GB"/>
              </w:rPr>
              <w:t>Basket funds/pooled funding</w:t>
            </w:r>
          </w:p>
        </w:tc>
      </w:tr>
      <w:tr w:rsidR="00A23C41" w:rsidRPr="00C61A75" w:rsidTr="00A23C41">
        <w:trPr>
          <w:trHeight w:val="255"/>
        </w:trPr>
        <w:tc>
          <w:tcPr>
            <w:tcW w:w="1848" w:type="pct"/>
            <w:tcBorders>
              <w:top w:val="nil"/>
              <w:bottom w:val="nil"/>
            </w:tcBorders>
            <w:shd w:val="clear" w:color="auto" w:fill="DBE5F1" w:themeFill="accent1" w:themeFillTint="33"/>
            <w:noWrap/>
            <w:vAlign w:val="bottom"/>
            <w:hideMark/>
          </w:tcPr>
          <w:p w:rsidR="00A23C41" w:rsidRPr="00C61A75" w:rsidRDefault="00A23C41" w:rsidP="00A23C41">
            <w:pPr>
              <w:spacing w:before="0" w:after="0"/>
              <w:rPr>
                <w:rFonts w:ascii="Arial" w:hAnsi="Arial" w:cs="Arial"/>
                <w:b/>
                <w:sz w:val="18"/>
                <w:szCs w:val="18"/>
                <w:lang w:val="en-GB"/>
              </w:rPr>
            </w:pPr>
          </w:p>
        </w:tc>
        <w:tc>
          <w:tcPr>
            <w:tcW w:w="870" w:type="pct"/>
            <w:shd w:val="clear" w:color="auto" w:fill="FFFFFF" w:themeFill="background1"/>
          </w:tcPr>
          <w:p w:rsidR="00A23C41" w:rsidRPr="00C61A75" w:rsidRDefault="00A23C41" w:rsidP="00A23C41">
            <w:pPr>
              <w:spacing w:before="0" w:after="0"/>
              <w:jc w:val="center"/>
              <w:rPr>
                <w:rFonts w:ascii="Arial" w:hAnsi="Arial" w:cs="Arial"/>
                <w:sz w:val="18"/>
                <w:szCs w:val="18"/>
                <w:lang w:val="en-GB"/>
              </w:rPr>
            </w:pPr>
            <w:r w:rsidRPr="00C61A75">
              <w:rPr>
                <w:rFonts w:ascii="Arial" w:hAnsi="Arial" w:cs="Arial"/>
                <w:sz w:val="18"/>
                <w:szCs w:val="18"/>
                <w:lang w:val="en-GB"/>
              </w:rPr>
              <w:t>DFA</w:t>
            </w:r>
          </w:p>
        </w:tc>
        <w:tc>
          <w:tcPr>
            <w:tcW w:w="2282" w:type="pct"/>
            <w:shd w:val="clear" w:color="auto" w:fill="FFFFFF" w:themeFill="background1"/>
            <w:noWrap/>
            <w:hideMark/>
          </w:tcPr>
          <w:p w:rsidR="00A23C41" w:rsidRPr="00C61A75" w:rsidRDefault="00A23C41" w:rsidP="00A23C41">
            <w:pPr>
              <w:spacing w:before="0" w:after="0"/>
              <w:rPr>
                <w:rFonts w:ascii="Arial" w:hAnsi="Arial" w:cs="Arial"/>
                <w:sz w:val="18"/>
                <w:szCs w:val="18"/>
                <w:lang w:val="en-GB"/>
              </w:rPr>
            </w:pPr>
            <w:r w:rsidRPr="00C61A75">
              <w:rPr>
                <w:rFonts w:ascii="Arial" w:hAnsi="Arial" w:cs="Arial"/>
                <w:sz w:val="18"/>
                <w:szCs w:val="18"/>
                <w:lang w:val="en-GB"/>
              </w:rPr>
              <w:t>Developmental food aid</w:t>
            </w:r>
          </w:p>
        </w:tc>
      </w:tr>
      <w:tr w:rsidR="00A23C41" w:rsidRPr="00C61A75" w:rsidTr="00A23C41">
        <w:trPr>
          <w:trHeight w:val="255"/>
        </w:trPr>
        <w:tc>
          <w:tcPr>
            <w:tcW w:w="1848" w:type="pct"/>
            <w:tcBorders>
              <w:top w:val="nil"/>
              <w:bottom w:val="single" w:sz="6" w:space="0" w:color="1F497D" w:themeColor="text2"/>
            </w:tcBorders>
            <w:shd w:val="clear" w:color="auto" w:fill="DBE5F1" w:themeFill="accent1" w:themeFillTint="33"/>
            <w:noWrap/>
            <w:vAlign w:val="bottom"/>
            <w:hideMark/>
          </w:tcPr>
          <w:p w:rsidR="00A23C41" w:rsidRPr="00C61A75" w:rsidRDefault="00A23C41" w:rsidP="00A23C41">
            <w:pPr>
              <w:spacing w:before="0" w:after="0"/>
              <w:rPr>
                <w:rFonts w:ascii="Arial" w:hAnsi="Arial" w:cs="Arial"/>
                <w:b/>
                <w:sz w:val="18"/>
                <w:szCs w:val="18"/>
                <w:lang w:val="en-GB"/>
              </w:rPr>
            </w:pPr>
          </w:p>
        </w:tc>
        <w:tc>
          <w:tcPr>
            <w:tcW w:w="870" w:type="pct"/>
            <w:shd w:val="clear" w:color="auto" w:fill="FFFFFF" w:themeFill="background1"/>
          </w:tcPr>
          <w:p w:rsidR="00A23C41" w:rsidRPr="00C61A75" w:rsidRDefault="00A23C41" w:rsidP="00A23C41">
            <w:pPr>
              <w:spacing w:before="0" w:after="0"/>
              <w:jc w:val="center"/>
              <w:rPr>
                <w:rFonts w:ascii="Arial" w:hAnsi="Arial" w:cs="Arial"/>
                <w:sz w:val="18"/>
                <w:szCs w:val="18"/>
                <w:lang w:val="en-GB"/>
              </w:rPr>
            </w:pPr>
            <w:r w:rsidRPr="00C61A75">
              <w:rPr>
                <w:rFonts w:ascii="Arial" w:hAnsi="Arial" w:cs="Arial"/>
                <w:sz w:val="18"/>
                <w:szCs w:val="18"/>
                <w:lang w:val="en-GB"/>
              </w:rPr>
              <w:t>EMD</w:t>
            </w:r>
          </w:p>
        </w:tc>
        <w:tc>
          <w:tcPr>
            <w:tcW w:w="2282" w:type="pct"/>
            <w:shd w:val="clear" w:color="auto" w:fill="FFFFFF" w:themeFill="background1"/>
            <w:noWrap/>
            <w:hideMark/>
          </w:tcPr>
          <w:p w:rsidR="00A23C41" w:rsidRPr="00C61A75" w:rsidRDefault="00A23C41" w:rsidP="00A23C41">
            <w:pPr>
              <w:spacing w:before="0" w:after="0"/>
              <w:rPr>
                <w:rFonts w:ascii="Arial" w:hAnsi="Arial" w:cs="Arial"/>
                <w:sz w:val="18"/>
                <w:szCs w:val="18"/>
                <w:lang w:val="en-GB"/>
              </w:rPr>
            </w:pPr>
            <w:r w:rsidRPr="00C61A75">
              <w:rPr>
                <w:rFonts w:ascii="Arial" w:hAnsi="Arial" w:cs="Arial"/>
                <w:sz w:val="18"/>
                <w:szCs w:val="18"/>
                <w:lang w:val="en-GB"/>
              </w:rPr>
              <w:t>Emergency &amp; distress relief</w:t>
            </w:r>
          </w:p>
        </w:tc>
      </w:tr>
      <w:tr w:rsidR="00A23C41" w:rsidRPr="00C61A75" w:rsidTr="00A23C41">
        <w:trPr>
          <w:trHeight w:val="255"/>
        </w:trPr>
        <w:tc>
          <w:tcPr>
            <w:tcW w:w="1848" w:type="pct"/>
            <w:tcBorders>
              <w:top w:val="single" w:sz="6" w:space="0" w:color="1F497D" w:themeColor="text2"/>
              <w:bottom w:val="nil"/>
            </w:tcBorders>
            <w:shd w:val="clear" w:color="auto" w:fill="DBE5F1" w:themeFill="accent1" w:themeFillTint="33"/>
            <w:noWrap/>
            <w:vAlign w:val="bottom"/>
            <w:hideMark/>
          </w:tcPr>
          <w:p w:rsidR="00A23C41" w:rsidRPr="00C61A75" w:rsidRDefault="00A23C41" w:rsidP="00A23C41">
            <w:pPr>
              <w:spacing w:before="0" w:after="0"/>
              <w:rPr>
                <w:rFonts w:ascii="Arial" w:hAnsi="Arial" w:cs="Arial"/>
                <w:b/>
                <w:sz w:val="18"/>
                <w:szCs w:val="18"/>
                <w:lang w:val="en-GB"/>
              </w:rPr>
            </w:pPr>
            <w:r w:rsidRPr="00C61A75">
              <w:rPr>
                <w:rFonts w:ascii="Arial" w:hAnsi="Arial" w:cs="Arial"/>
                <w:b/>
                <w:sz w:val="18"/>
                <w:szCs w:val="18"/>
                <w:lang w:val="en-GB"/>
              </w:rPr>
              <w:t>Project type intervention</w:t>
            </w:r>
          </w:p>
        </w:tc>
        <w:tc>
          <w:tcPr>
            <w:tcW w:w="870" w:type="pct"/>
            <w:shd w:val="clear" w:color="auto" w:fill="FFFFFF" w:themeFill="background1"/>
          </w:tcPr>
          <w:p w:rsidR="00A23C41" w:rsidRPr="00C61A75" w:rsidRDefault="00A23C41" w:rsidP="00A23C41">
            <w:pPr>
              <w:spacing w:before="0" w:after="0"/>
              <w:jc w:val="center"/>
              <w:rPr>
                <w:rFonts w:ascii="Arial" w:hAnsi="Arial" w:cs="Arial"/>
                <w:sz w:val="18"/>
                <w:szCs w:val="18"/>
                <w:lang w:val="en-GB"/>
              </w:rPr>
            </w:pPr>
            <w:r w:rsidRPr="00C61A75">
              <w:rPr>
                <w:rFonts w:ascii="Arial" w:hAnsi="Arial" w:cs="Arial"/>
                <w:sz w:val="18"/>
                <w:szCs w:val="18"/>
                <w:lang w:val="en-GB"/>
              </w:rPr>
              <w:t>C01</w:t>
            </w:r>
          </w:p>
        </w:tc>
        <w:tc>
          <w:tcPr>
            <w:tcW w:w="2282" w:type="pct"/>
            <w:shd w:val="clear" w:color="auto" w:fill="FFFFFF" w:themeFill="background1"/>
            <w:noWrap/>
            <w:hideMark/>
          </w:tcPr>
          <w:p w:rsidR="00A23C41" w:rsidRPr="00C61A75" w:rsidRDefault="00A23C41" w:rsidP="00A23C41">
            <w:pPr>
              <w:spacing w:before="0" w:after="0"/>
              <w:rPr>
                <w:rFonts w:ascii="Arial" w:hAnsi="Arial" w:cs="Arial"/>
                <w:sz w:val="18"/>
                <w:szCs w:val="18"/>
                <w:lang w:val="en-GB"/>
              </w:rPr>
            </w:pPr>
            <w:r w:rsidRPr="00C61A75">
              <w:rPr>
                <w:rFonts w:ascii="Arial" w:hAnsi="Arial" w:cs="Arial"/>
                <w:sz w:val="18"/>
                <w:szCs w:val="18"/>
                <w:lang w:val="en-GB"/>
              </w:rPr>
              <w:t>Project-type interventions</w:t>
            </w:r>
          </w:p>
        </w:tc>
      </w:tr>
      <w:tr w:rsidR="00A23C41" w:rsidRPr="00C61A75" w:rsidTr="00A23C41">
        <w:trPr>
          <w:trHeight w:val="255"/>
        </w:trPr>
        <w:tc>
          <w:tcPr>
            <w:tcW w:w="1848" w:type="pct"/>
            <w:tcBorders>
              <w:top w:val="nil"/>
              <w:bottom w:val="nil"/>
            </w:tcBorders>
            <w:shd w:val="clear" w:color="auto" w:fill="DBE5F1" w:themeFill="accent1" w:themeFillTint="33"/>
            <w:noWrap/>
            <w:vAlign w:val="bottom"/>
            <w:hideMark/>
          </w:tcPr>
          <w:p w:rsidR="00A23C41" w:rsidRPr="00C61A75" w:rsidRDefault="00A23C41" w:rsidP="00A23C41">
            <w:pPr>
              <w:spacing w:before="0" w:after="0"/>
              <w:rPr>
                <w:rFonts w:ascii="Arial" w:hAnsi="Arial" w:cs="Arial"/>
                <w:b/>
                <w:sz w:val="18"/>
                <w:szCs w:val="18"/>
                <w:lang w:val="en-GB"/>
              </w:rPr>
            </w:pPr>
          </w:p>
        </w:tc>
        <w:tc>
          <w:tcPr>
            <w:tcW w:w="870" w:type="pct"/>
            <w:shd w:val="clear" w:color="auto" w:fill="FFFFFF" w:themeFill="background1"/>
          </w:tcPr>
          <w:p w:rsidR="00A23C41" w:rsidRPr="00C61A75" w:rsidRDefault="00A23C41" w:rsidP="00A23C41">
            <w:pPr>
              <w:spacing w:before="0" w:after="0"/>
              <w:jc w:val="center"/>
              <w:rPr>
                <w:rFonts w:ascii="Arial" w:hAnsi="Arial" w:cs="Arial"/>
                <w:sz w:val="18"/>
                <w:szCs w:val="18"/>
                <w:lang w:val="en-GB"/>
              </w:rPr>
            </w:pPr>
            <w:r w:rsidRPr="00C61A75">
              <w:rPr>
                <w:rFonts w:ascii="Arial" w:hAnsi="Arial" w:cs="Arial"/>
                <w:sz w:val="18"/>
                <w:szCs w:val="18"/>
                <w:lang w:val="en-GB"/>
              </w:rPr>
              <w:t>PGM</w:t>
            </w:r>
          </w:p>
        </w:tc>
        <w:tc>
          <w:tcPr>
            <w:tcW w:w="2282" w:type="pct"/>
            <w:shd w:val="clear" w:color="auto" w:fill="FFFFFF" w:themeFill="background1"/>
            <w:noWrap/>
            <w:hideMark/>
          </w:tcPr>
          <w:p w:rsidR="00A23C41" w:rsidRPr="00C61A75" w:rsidRDefault="00A23C41" w:rsidP="00A23C41">
            <w:pPr>
              <w:spacing w:before="0" w:after="0"/>
              <w:rPr>
                <w:rFonts w:ascii="Arial" w:hAnsi="Arial" w:cs="Arial"/>
                <w:sz w:val="18"/>
                <w:szCs w:val="18"/>
                <w:lang w:val="en-GB"/>
              </w:rPr>
            </w:pPr>
            <w:r w:rsidRPr="00C61A75">
              <w:rPr>
                <w:rFonts w:ascii="Arial" w:hAnsi="Arial" w:cs="Arial"/>
                <w:sz w:val="18"/>
                <w:szCs w:val="18"/>
                <w:lang w:val="en-GB"/>
              </w:rPr>
              <w:t>Programme Aid</w:t>
            </w:r>
          </w:p>
        </w:tc>
      </w:tr>
      <w:tr w:rsidR="00A23C41" w:rsidRPr="00C61A75" w:rsidTr="00A23C41">
        <w:trPr>
          <w:trHeight w:val="255"/>
        </w:trPr>
        <w:tc>
          <w:tcPr>
            <w:tcW w:w="1848" w:type="pct"/>
            <w:tcBorders>
              <w:top w:val="nil"/>
              <w:bottom w:val="nil"/>
            </w:tcBorders>
            <w:shd w:val="clear" w:color="auto" w:fill="DBE5F1" w:themeFill="accent1" w:themeFillTint="33"/>
            <w:noWrap/>
            <w:vAlign w:val="bottom"/>
            <w:hideMark/>
          </w:tcPr>
          <w:p w:rsidR="00A23C41" w:rsidRPr="00C61A75" w:rsidRDefault="00A23C41" w:rsidP="00A23C41">
            <w:pPr>
              <w:spacing w:before="0" w:after="0"/>
              <w:rPr>
                <w:rFonts w:ascii="Arial" w:hAnsi="Arial" w:cs="Arial"/>
                <w:b/>
                <w:sz w:val="18"/>
                <w:szCs w:val="18"/>
                <w:lang w:val="en-GB"/>
              </w:rPr>
            </w:pPr>
          </w:p>
        </w:tc>
        <w:tc>
          <w:tcPr>
            <w:tcW w:w="870" w:type="pct"/>
            <w:shd w:val="clear" w:color="auto" w:fill="FFFFFF" w:themeFill="background1"/>
          </w:tcPr>
          <w:p w:rsidR="00A23C41" w:rsidRPr="00C61A75" w:rsidRDefault="00A23C41" w:rsidP="00A23C41">
            <w:pPr>
              <w:spacing w:before="0" w:after="0"/>
              <w:jc w:val="center"/>
              <w:rPr>
                <w:rFonts w:ascii="Arial" w:hAnsi="Arial" w:cs="Arial"/>
                <w:sz w:val="18"/>
                <w:szCs w:val="18"/>
                <w:lang w:val="en-GB"/>
              </w:rPr>
            </w:pPr>
            <w:r w:rsidRPr="00C61A75">
              <w:rPr>
                <w:rFonts w:ascii="Arial" w:hAnsi="Arial" w:cs="Arial"/>
                <w:sz w:val="18"/>
                <w:szCs w:val="18"/>
                <w:lang w:val="en-GB"/>
              </w:rPr>
              <w:t>PRJ</w:t>
            </w:r>
          </w:p>
        </w:tc>
        <w:tc>
          <w:tcPr>
            <w:tcW w:w="2282" w:type="pct"/>
            <w:shd w:val="clear" w:color="auto" w:fill="FFFFFF" w:themeFill="background1"/>
            <w:noWrap/>
            <w:hideMark/>
          </w:tcPr>
          <w:p w:rsidR="00A23C41" w:rsidRPr="00C61A75" w:rsidRDefault="00A23C41" w:rsidP="00A23C41">
            <w:pPr>
              <w:spacing w:before="0" w:after="0"/>
              <w:rPr>
                <w:rFonts w:ascii="Arial" w:hAnsi="Arial" w:cs="Arial"/>
                <w:sz w:val="18"/>
                <w:szCs w:val="18"/>
                <w:lang w:val="en-GB"/>
              </w:rPr>
            </w:pPr>
            <w:r w:rsidRPr="00C61A75">
              <w:rPr>
                <w:rFonts w:ascii="Arial" w:hAnsi="Arial" w:cs="Arial"/>
                <w:sz w:val="18"/>
                <w:szCs w:val="18"/>
                <w:lang w:val="en-GB"/>
              </w:rPr>
              <w:t>Investment project aid</w:t>
            </w:r>
          </w:p>
        </w:tc>
      </w:tr>
      <w:tr w:rsidR="00A23C41" w:rsidRPr="00C61A75" w:rsidTr="00A23C41">
        <w:trPr>
          <w:trHeight w:val="255"/>
        </w:trPr>
        <w:tc>
          <w:tcPr>
            <w:tcW w:w="1848" w:type="pct"/>
            <w:tcBorders>
              <w:top w:val="nil"/>
              <w:bottom w:val="single" w:sz="6" w:space="0" w:color="1F497D" w:themeColor="text2"/>
            </w:tcBorders>
            <w:shd w:val="clear" w:color="auto" w:fill="DBE5F1" w:themeFill="accent1" w:themeFillTint="33"/>
            <w:vAlign w:val="center"/>
            <w:hideMark/>
          </w:tcPr>
          <w:p w:rsidR="00A23C41" w:rsidRPr="00C61A75" w:rsidRDefault="00A23C41" w:rsidP="00A23C41">
            <w:pPr>
              <w:spacing w:before="0" w:after="0"/>
              <w:jc w:val="right"/>
              <w:rPr>
                <w:rFonts w:ascii="Arial" w:hAnsi="Arial" w:cs="Arial"/>
                <w:b/>
                <w:color w:val="000000"/>
                <w:sz w:val="18"/>
                <w:szCs w:val="18"/>
                <w:lang w:val="en-GB"/>
              </w:rPr>
            </w:pPr>
          </w:p>
        </w:tc>
        <w:tc>
          <w:tcPr>
            <w:tcW w:w="870" w:type="pct"/>
            <w:shd w:val="clear" w:color="auto" w:fill="FFFFFF" w:themeFill="background1"/>
          </w:tcPr>
          <w:p w:rsidR="00A23C41" w:rsidRPr="00C61A75" w:rsidRDefault="00A23C41" w:rsidP="00A23C41">
            <w:pPr>
              <w:spacing w:before="0" w:after="0"/>
              <w:jc w:val="center"/>
              <w:rPr>
                <w:rFonts w:ascii="Arial" w:hAnsi="Arial" w:cs="Arial"/>
                <w:sz w:val="18"/>
                <w:szCs w:val="18"/>
                <w:lang w:val="en-GB"/>
              </w:rPr>
            </w:pPr>
            <w:r w:rsidRPr="00C61A75">
              <w:rPr>
                <w:rFonts w:ascii="Arial" w:hAnsi="Arial" w:cs="Arial"/>
                <w:sz w:val="18"/>
                <w:szCs w:val="18"/>
                <w:lang w:val="en-GB"/>
              </w:rPr>
              <w:t>H01</w:t>
            </w:r>
          </w:p>
        </w:tc>
        <w:tc>
          <w:tcPr>
            <w:tcW w:w="2282" w:type="pct"/>
            <w:shd w:val="clear" w:color="auto" w:fill="FFFFFF" w:themeFill="background1"/>
            <w:noWrap/>
            <w:hideMark/>
          </w:tcPr>
          <w:p w:rsidR="00A23C41" w:rsidRPr="00C61A75" w:rsidRDefault="00A23C41" w:rsidP="00A23C41">
            <w:pPr>
              <w:spacing w:before="0" w:after="0"/>
              <w:rPr>
                <w:rFonts w:ascii="Arial" w:hAnsi="Arial" w:cs="Arial"/>
                <w:sz w:val="18"/>
                <w:szCs w:val="18"/>
                <w:lang w:val="en-GB"/>
              </w:rPr>
            </w:pPr>
            <w:r w:rsidRPr="00C61A75">
              <w:rPr>
                <w:rFonts w:ascii="Arial" w:hAnsi="Arial" w:cs="Arial"/>
                <w:sz w:val="18"/>
                <w:szCs w:val="18"/>
                <w:lang w:val="en-GB"/>
              </w:rPr>
              <w:t>Development awareness</w:t>
            </w:r>
          </w:p>
        </w:tc>
      </w:tr>
      <w:tr w:rsidR="00A23C41" w:rsidRPr="00C61A75" w:rsidTr="00A23C41">
        <w:trPr>
          <w:trHeight w:val="255"/>
        </w:trPr>
        <w:tc>
          <w:tcPr>
            <w:tcW w:w="1848" w:type="pct"/>
            <w:tcBorders>
              <w:top w:val="single" w:sz="6" w:space="0" w:color="1F497D" w:themeColor="text2"/>
              <w:bottom w:val="nil"/>
            </w:tcBorders>
            <w:shd w:val="clear" w:color="auto" w:fill="DBE5F1" w:themeFill="accent1" w:themeFillTint="33"/>
            <w:noWrap/>
            <w:vAlign w:val="bottom"/>
            <w:hideMark/>
          </w:tcPr>
          <w:p w:rsidR="00A23C41" w:rsidRPr="00C61A75" w:rsidRDefault="00A23C41" w:rsidP="00A23C41">
            <w:pPr>
              <w:spacing w:before="0" w:after="0"/>
              <w:rPr>
                <w:rFonts w:ascii="Arial" w:hAnsi="Arial" w:cs="Arial"/>
                <w:b/>
                <w:sz w:val="18"/>
                <w:szCs w:val="18"/>
                <w:lang w:val="en-GB"/>
              </w:rPr>
            </w:pPr>
            <w:r w:rsidRPr="00C61A75">
              <w:rPr>
                <w:rFonts w:ascii="Arial" w:hAnsi="Arial" w:cs="Arial"/>
                <w:b/>
                <w:sz w:val="18"/>
                <w:szCs w:val="18"/>
                <w:lang w:val="en-GB"/>
              </w:rPr>
              <w:t>Not specified</w:t>
            </w:r>
          </w:p>
        </w:tc>
        <w:tc>
          <w:tcPr>
            <w:tcW w:w="870" w:type="pct"/>
            <w:shd w:val="clear" w:color="auto" w:fill="FFFFFF" w:themeFill="background1"/>
          </w:tcPr>
          <w:p w:rsidR="00A23C41" w:rsidRPr="00C61A75" w:rsidRDefault="00A23C41" w:rsidP="00A23C41">
            <w:pPr>
              <w:spacing w:before="0" w:after="0"/>
              <w:jc w:val="center"/>
              <w:rPr>
                <w:rFonts w:ascii="Arial" w:hAnsi="Arial" w:cs="Arial"/>
                <w:sz w:val="18"/>
                <w:szCs w:val="18"/>
                <w:lang w:val="en-GB"/>
              </w:rPr>
            </w:pPr>
            <w:r w:rsidRPr="00C61A75">
              <w:rPr>
                <w:rFonts w:ascii="Arial" w:hAnsi="Arial" w:cs="Arial"/>
                <w:sz w:val="18"/>
                <w:szCs w:val="18"/>
                <w:lang w:val="en-GB"/>
              </w:rPr>
              <w:t>OTH</w:t>
            </w:r>
          </w:p>
        </w:tc>
        <w:tc>
          <w:tcPr>
            <w:tcW w:w="2282" w:type="pct"/>
            <w:shd w:val="clear" w:color="auto" w:fill="FFFFFF" w:themeFill="background1"/>
            <w:noWrap/>
            <w:hideMark/>
          </w:tcPr>
          <w:p w:rsidR="00A23C41" w:rsidRPr="00C61A75" w:rsidRDefault="00A23C41" w:rsidP="00A23C41">
            <w:pPr>
              <w:spacing w:before="0" w:after="0"/>
              <w:rPr>
                <w:rFonts w:ascii="Arial" w:hAnsi="Arial" w:cs="Arial"/>
                <w:sz w:val="18"/>
                <w:szCs w:val="18"/>
                <w:lang w:val="en-GB"/>
              </w:rPr>
            </w:pPr>
            <w:r w:rsidRPr="00C61A75">
              <w:rPr>
                <w:rFonts w:ascii="Arial" w:hAnsi="Arial" w:cs="Arial"/>
                <w:sz w:val="18"/>
                <w:szCs w:val="18"/>
                <w:lang w:val="en-GB"/>
              </w:rPr>
              <w:t>Other</w:t>
            </w:r>
          </w:p>
        </w:tc>
      </w:tr>
      <w:tr w:rsidR="00A23C41" w:rsidRPr="00C61A75" w:rsidTr="00A23C41">
        <w:trPr>
          <w:trHeight w:val="255"/>
        </w:trPr>
        <w:tc>
          <w:tcPr>
            <w:tcW w:w="1848" w:type="pct"/>
            <w:tcBorders>
              <w:top w:val="nil"/>
              <w:bottom w:val="single" w:sz="6" w:space="0" w:color="1F497D" w:themeColor="text2"/>
            </w:tcBorders>
            <w:shd w:val="clear" w:color="auto" w:fill="DBE5F1" w:themeFill="accent1" w:themeFillTint="33"/>
            <w:noWrap/>
            <w:vAlign w:val="bottom"/>
            <w:hideMark/>
          </w:tcPr>
          <w:p w:rsidR="00A23C41" w:rsidRPr="00C61A75" w:rsidRDefault="00A23C41" w:rsidP="00A23C41">
            <w:pPr>
              <w:spacing w:before="0" w:after="0"/>
              <w:rPr>
                <w:rFonts w:ascii="Arial" w:hAnsi="Arial" w:cs="Arial"/>
                <w:b/>
                <w:sz w:val="18"/>
                <w:szCs w:val="18"/>
                <w:lang w:val="en-GB"/>
              </w:rPr>
            </w:pPr>
          </w:p>
        </w:tc>
        <w:tc>
          <w:tcPr>
            <w:tcW w:w="870" w:type="pct"/>
            <w:shd w:val="clear" w:color="auto" w:fill="FFFFFF" w:themeFill="background1"/>
          </w:tcPr>
          <w:p w:rsidR="00A23C41" w:rsidRPr="00C61A75" w:rsidRDefault="00A23C41" w:rsidP="00A23C41">
            <w:pPr>
              <w:spacing w:before="0" w:after="0"/>
              <w:jc w:val="center"/>
              <w:rPr>
                <w:rFonts w:ascii="Arial" w:hAnsi="Arial" w:cs="Arial"/>
                <w:sz w:val="18"/>
                <w:szCs w:val="18"/>
                <w:lang w:val="en-GB"/>
              </w:rPr>
            </w:pPr>
            <w:r w:rsidRPr="00C61A75">
              <w:rPr>
                <w:rFonts w:ascii="Arial" w:hAnsi="Arial" w:cs="Arial"/>
                <w:sz w:val="18"/>
                <w:szCs w:val="18"/>
                <w:lang w:val="en-GB"/>
              </w:rPr>
              <w:t>Blank</w:t>
            </w:r>
          </w:p>
        </w:tc>
        <w:tc>
          <w:tcPr>
            <w:tcW w:w="2282" w:type="pct"/>
            <w:shd w:val="clear" w:color="auto" w:fill="FFFFFF" w:themeFill="background1"/>
            <w:noWrap/>
            <w:hideMark/>
          </w:tcPr>
          <w:p w:rsidR="00A23C41" w:rsidRPr="00C61A75" w:rsidRDefault="00A23C41" w:rsidP="00A23C41">
            <w:pPr>
              <w:spacing w:before="0" w:after="0"/>
              <w:rPr>
                <w:rFonts w:ascii="Arial" w:hAnsi="Arial" w:cs="Arial"/>
                <w:sz w:val="18"/>
                <w:szCs w:val="18"/>
                <w:lang w:val="en-GB"/>
              </w:rPr>
            </w:pPr>
            <w:r w:rsidRPr="00C61A75">
              <w:rPr>
                <w:rFonts w:ascii="Arial" w:hAnsi="Arial" w:cs="Arial"/>
                <w:sz w:val="18"/>
                <w:szCs w:val="18"/>
                <w:lang w:val="en-GB"/>
              </w:rPr>
              <w:t>Blank</w:t>
            </w:r>
          </w:p>
        </w:tc>
      </w:tr>
      <w:tr w:rsidR="00A23C41" w:rsidRPr="00C61A75" w:rsidTr="00A23C41">
        <w:trPr>
          <w:trHeight w:val="255"/>
        </w:trPr>
        <w:tc>
          <w:tcPr>
            <w:tcW w:w="1848" w:type="pct"/>
            <w:tcBorders>
              <w:top w:val="single" w:sz="6" w:space="0" w:color="1F497D" w:themeColor="text2"/>
              <w:bottom w:val="nil"/>
            </w:tcBorders>
            <w:shd w:val="clear" w:color="auto" w:fill="DBE5F1" w:themeFill="accent1" w:themeFillTint="33"/>
            <w:noWrap/>
            <w:vAlign w:val="bottom"/>
            <w:hideMark/>
          </w:tcPr>
          <w:p w:rsidR="00A23C41" w:rsidRPr="00C61A75" w:rsidRDefault="00A23C41" w:rsidP="00A23C41">
            <w:pPr>
              <w:spacing w:before="0" w:after="0"/>
              <w:rPr>
                <w:rFonts w:ascii="Arial" w:hAnsi="Arial" w:cs="Arial"/>
                <w:b/>
                <w:sz w:val="18"/>
                <w:szCs w:val="18"/>
                <w:lang w:val="en-GB"/>
              </w:rPr>
            </w:pPr>
            <w:r w:rsidRPr="00C61A75">
              <w:rPr>
                <w:rFonts w:ascii="Arial" w:hAnsi="Arial" w:cs="Arial"/>
                <w:b/>
                <w:sz w:val="18"/>
                <w:szCs w:val="18"/>
                <w:lang w:val="en-GB"/>
              </w:rPr>
              <w:t xml:space="preserve">Technical assistance </w:t>
            </w:r>
          </w:p>
        </w:tc>
        <w:tc>
          <w:tcPr>
            <w:tcW w:w="870" w:type="pct"/>
            <w:shd w:val="clear" w:color="auto" w:fill="FFFFFF" w:themeFill="background1"/>
          </w:tcPr>
          <w:p w:rsidR="00A23C41" w:rsidRPr="00C61A75" w:rsidRDefault="00A23C41" w:rsidP="00A23C41">
            <w:pPr>
              <w:spacing w:before="0" w:after="0"/>
              <w:jc w:val="center"/>
              <w:rPr>
                <w:rFonts w:ascii="Arial" w:hAnsi="Arial" w:cs="Arial"/>
                <w:sz w:val="18"/>
                <w:szCs w:val="18"/>
                <w:lang w:val="en-GB"/>
              </w:rPr>
            </w:pPr>
            <w:r w:rsidRPr="00C61A75">
              <w:rPr>
                <w:rFonts w:ascii="Arial" w:hAnsi="Arial" w:cs="Arial"/>
                <w:sz w:val="18"/>
                <w:szCs w:val="18"/>
                <w:lang w:val="en-GB"/>
              </w:rPr>
              <w:t>TCO</w:t>
            </w:r>
          </w:p>
        </w:tc>
        <w:tc>
          <w:tcPr>
            <w:tcW w:w="2282" w:type="pct"/>
            <w:shd w:val="clear" w:color="auto" w:fill="FFFFFF" w:themeFill="background1"/>
            <w:noWrap/>
            <w:hideMark/>
          </w:tcPr>
          <w:p w:rsidR="00A23C41" w:rsidRPr="00C61A75" w:rsidRDefault="00A23C41" w:rsidP="00A23C41">
            <w:pPr>
              <w:spacing w:before="0" w:after="0"/>
              <w:rPr>
                <w:rFonts w:ascii="Arial" w:hAnsi="Arial" w:cs="Arial"/>
                <w:sz w:val="18"/>
                <w:szCs w:val="18"/>
                <w:lang w:val="en-GB"/>
              </w:rPr>
            </w:pPr>
            <w:r w:rsidRPr="00C61A75">
              <w:rPr>
                <w:rFonts w:ascii="Arial" w:hAnsi="Arial" w:cs="Arial"/>
                <w:sz w:val="18"/>
                <w:szCs w:val="18"/>
                <w:lang w:val="en-GB"/>
              </w:rPr>
              <w:t>Technical co-operation</w:t>
            </w:r>
          </w:p>
        </w:tc>
      </w:tr>
      <w:tr w:rsidR="00A23C41" w:rsidRPr="00C61A75" w:rsidTr="00A23C41">
        <w:trPr>
          <w:trHeight w:val="255"/>
        </w:trPr>
        <w:tc>
          <w:tcPr>
            <w:tcW w:w="1848" w:type="pct"/>
            <w:tcBorders>
              <w:top w:val="nil"/>
              <w:bottom w:val="single" w:sz="12" w:space="0" w:color="1F497D" w:themeColor="text2"/>
            </w:tcBorders>
            <w:shd w:val="clear" w:color="auto" w:fill="DBE5F1" w:themeFill="accent1" w:themeFillTint="33"/>
            <w:noWrap/>
            <w:vAlign w:val="bottom"/>
            <w:hideMark/>
          </w:tcPr>
          <w:p w:rsidR="00A23C41" w:rsidRPr="00C61A75" w:rsidRDefault="00A23C41" w:rsidP="00A23C41">
            <w:pPr>
              <w:spacing w:before="0" w:after="0"/>
              <w:rPr>
                <w:rFonts w:ascii="Arial" w:hAnsi="Arial" w:cs="Arial"/>
                <w:sz w:val="18"/>
                <w:szCs w:val="18"/>
                <w:lang w:val="en-GB"/>
              </w:rPr>
            </w:pPr>
          </w:p>
        </w:tc>
        <w:tc>
          <w:tcPr>
            <w:tcW w:w="870" w:type="pct"/>
            <w:shd w:val="clear" w:color="auto" w:fill="FFFFFF" w:themeFill="background1"/>
          </w:tcPr>
          <w:p w:rsidR="00A23C41" w:rsidRPr="00C61A75" w:rsidRDefault="00A23C41" w:rsidP="00A23C41">
            <w:pPr>
              <w:spacing w:before="0" w:after="0"/>
              <w:jc w:val="center"/>
              <w:rPr>
                <w:rFonts w:ascii="Arial" w:hAnsi="Arial" w:cs="Arial"/>
                <w:sz w:val="18"/>
                <w:szCs w:val="18"/>
                <w:lang w:val="en-GB"/>
              </w:rPr>
            </w:pPr>
            <w:r w:rsidRPr="00C61A75">
              <w:rPr>
                <w:rFonts w:ascii="Arial" w:hAnsi="Arial" w:cs="Arial"/>
                <w:sz w:val="18"/>
                <w:szCs w:val="18"/>
                <w:lang w:val="en-GB"/>
              </w:rPr>
              <w:t>D02</w:t>
            </w:r>
          </w:p>
        </w:tc>
        <w:tc>
          <w:tcPr>
            <w:tcW w:w="2282" w:type="pct"/>
            <w:shd w:val="clear" w:color="auto" w:fill="FFFFFF" w:themeFill="background1"/>
            <w:noWrap/>
            <w:hideMark/>
          </w:tcPr>
          <w:p w:rsidR="00A23C41" w:rsidRPr="00C61A75" w:rsidRDefault="00A23C41" w:rsidP="00A23C41">
            <w:pPr>
              <w:spacing w:before="0" w:after="0"/>
              <w:rPr>
                <w:rFonts w:ascii="Arial" w:hAnsi="Arial" w:cs="Arial"/>
                <w:sz w:val="18"/>
                <w:szCs w:val="18"/>
                <w:lang w:val="en-GB"/>
              </w:rPr>
            </w:pPr>
            <w:r w:rsidRPr="00C61A75">
              <w:rPr>
                <w:rFonts w:ascii="Arial" w:hAnsi="Arial" w:cs="Arial"/>
                <w:sz w:val="18"/>
                <w:szCs w:val="18"/>
                <w:lang w:val="en-GB"/>
              </w:rPr>
              <w:t>Other technical assistance</w:t>
            </w:r>
          </w:p>
        </w:tc>
      </w:tr>
    </w:tbl>
    <w:p w:rsidR="00A23C41" w:rsidRDefault="00A23C41" w:rsidP="00A23C41">
      <w:pPr>
        <w:pStyle w:val="Default"/>
        <w:spacing w:before="0" w:after="0"/>
        <w:ind w:left="720"/>
        <w:rPr>
          <w:rFonts w:ascii="Arial" w:hAnsi="Arial" w:cs="Arial"/>
          <w:b/>
          <w:bCs/>
          <w:i/>
          <w:iCs/>
          <w:sz w:val="22"/>
          <w:szCs w:val="22"/>
          <w:lang w:val="en-GB"/>
        </w:rPr>
      </w:pPr>
    </w:p>
    <w:p w:rsidR="00A23C41" w:rsidRPr="00C61A75" w:rsidRDefault="00A23C41" w:rsidP="00A23C41">
      <w:pPr>
        <w:pStyle w:val="Default"/>
        <w:numPr>
          <w:ilvl w:val="0"/>
          <w:numId w:val="5"/>
        </w:numPr>
        <w:spacing w:before="0" w:after="0"/>
        <w:rPr>
          <w:rFonts w:ascii="Arial" w:hAnsi="Arial" w:cs="Arial"/>
          <w:b/>
          <w:bCs/>
          <w:i/>
          <w:iCs/>
          <w:sz w:val="22"/>
          <w:szCs w:val="22"/>
          <w:lang w:val="en-GB"/>
        </w:rPr>
      </w:pPr>
      <w:r w:rsidRPr="00C61A75">
        <w:rPr>
          <w:rFonts w:ascii="Arial" w:hAnsi="Arial" w:cs="Arial"/>
          <w:b/>
          <w:bCs/>
          <w:i/>
          <w:iCs/>
          <w:sz w:val="22"/>
          <w:szCs w:val="22"/>
          <w:lang w:val="en-GB"/>
        </w:rPr>
        <w:t>Contracting party</w:t>
      </w:r>
    </w:p>
    <w:p w:rsidR="00A23C41" w:rsidRDefault="00A23C41" w:rsidP="00A23C41">
      <w:pPr>
        <w:spacing w:before="0" w:after="0"/>
        <w:rPr>
          <w:rFonts w:ascii="Arial" w:hAnsi="Arial" w:cs="Arial"/>
          <w:bCs/>
          <w:iCs/>
          <w:sz w:val="22"/>
          <w:szCs w:val="22"/>
          <w:lang w:val="en-GB"/>
        </w:rPr>
      </w:pPr>
      <w:r w:rsidRPr="00C61A75">
        <w:rPr>
          <w:rFonts w:ascii="Arial" w:hAnsi="Arial" w:cs="Arial"/>
          <w:bCs/>
          <w:iCs/>
          <w:sz w:val="22"/>
          <w:szCs w:val="22"/>
          <w:lang w:val="en-GB"/>
        </w:rPr>
        <w:t xml:space="preserve">Last, the classification by type of aid has been carried out by analysing the column “contractor” and “operator category” of each single contract, resulting in </w:t>
      </w:r>
      <w:r w:rsidRPr="00C61A75">
        <w:rPr>
          <w:rFonts w:ascii="Arial" w:hAnsi="Arial" w:cs="Arial"/>
          <w:b/>
          <w:bCs/>
          <w:iCs/>
          <w:sz w:val="22"/>
          <w:szCs w:val="22"/>
          <w:lang w:val="en-GB"/>
        </w:rPr>
        <w:t>nine categories</w:t>
      </w:r>
      <w:r w:rsidRPr="00C61A75">
        <w:rPr>
          <w:rFonts w:ascii="Arial" w:hAnsi="Arial" w:cs="Arial"/>
          <w:bCs/>
          <w:iCs/>
          <w:sz w:val="22"/>
          <w:szCs w:val="22"/>
          <w:lang w:val="en-GB"/>
        </w:rPr>
        <w:t xml:space="preserve">, as shown in Table 5. For every specific type of aid (i.e. developmental food aid, emergency and distress relief and developmental awareness) the title of the contract has been used in order to define the broad category. </w:t>
      </w:r>
    </w:p>
    <w:p w:rsidR="00A23C41" w:rsidRPr="00280186" w:rsidRDefault="00A23C41" w:rsidP="00A23C41">
      <w:pPr>
        <w:spacing w:before="0" w:after="0"/>
        <w:rPr>
          <w:rFonts w:ascii="Arial" w:hAnsi="Arial" w:cs="Arial"/>
          <w:bCs/>
          <w:iCs/>
          <w:sz w:val="22"/>
          <w:szCs w:val="22"/>
          <w:lang w:val="en-GB"/>
        </w:rPr>
      </w:pPr>
    </w:p>
    <w:p w:rsidR="00A23C41" w:rsidRPr="00EF09A2" w:rsidRDefault="00A23C41" w:rsidP="00D714DB">
      <w:pPr>
        <w:pStyle w:val="Didascalia"/>
        <w:framePr w:wrap="around"/>
        <w:rPr>
          <w:lang w:val="en-GB"/>
        </w:rPr>
      </w:pPr>
      <w:bookmarkStart w:id="74" w:name="_Ref354581215"/>
      <w:bookmarkStart w:id="75" w:name="_Toc358819945"/>
      <w:r w:rsidRPr="00EF09A2">
        <w:rPr>
          <w:lang w:val="en-GB"/>
        </w:rPr>
        <w:t xml:space="preserve">Table </w:t>
      </w:r>
      <w:bookmarkEnd w:id="74"/>
      <w:r w:rsidRPr="00EF09A2">
        <w:rPr>
          <w:lang w:val="en-GB"/>
        </w:rPr>
        <w:t>5: Classification by contracting party – EU/Palestine contracts</w:t>
      </w:r>
      <w:bookmarkEnd w:id="75"/>
    </w:p>
    <w:tbl>
      <w:tblPr>
        <w:tblW w:w="9706" w:type="dxa"/>
        <w:tblInd w:w="56" w:type="dxa"/>
        <w:tblBorders>
          <w:top w:val="single" w:sz="12" w:space="0" w:color="17365D" w:themeColor="text2" w:themeShade="BF"/>
          <w:left w:val="single" w:sz="12" w:space="0" w:color="17365D" w:themeColor="text2" w:themeShade="BF"/>
          <w:bottom w:val="single" w:sz="12" w:space="0" w:color="17365D" w:themeColor="text2" w:themeShade="BF"/>
          <w:right w:val="single" w:sz="12" w:space="0" w:color="17365D" w:themeColor="text2" w:themeShade="BF"/>
          <w:insideH w:val="single" w:sz="6" w:space="0" w:color="17365D" w:themeColor="text2" w:themeShade="BF"/>
          <w:insideV w:val="single" w:sz="6" w:space="0" w:color="17365D" w:themeColor="text2" w:themeShade="BF"/>
        </w:tblBorders>
        <w:tblCellMar>
          <w:left w:w="70" w:type="dxa"/>
          <w:right w:w="70" w:type="dxa"/>
        </w:tblCellMar>
        <w:tblLook w:val="04A0"/>
      </w:tblPr>
      <w:tblGrid>
        <w:gridCol w:w="4125"/>
        <w:gridCol w:w="5581"/>
      </w:tblGrid>
      <w:tr w:rsidR="00A23C41" w:rsidRPr="00C61A75" w:rsidTr="00A23C41">
        <w:trPr>
          <w:trHeight w:val="255"/>
        </w:trPr>
        <w:tc>
          <w:tcPr>
            <w:tcW w:w="4125" w:type="dxa"/>
            <w:tcBorders>
              <w:bottom w:val="single" w:sz="6" w:space="0" w:color="17365D" w:themeColor="text2" w:themeShade="BF"/>
            </w:tcBorders>
            <w:shd w:val="clear" w:color="auto" w:fill="1F497D" w:themeFill="text2"/>
            <w:noWrap/>
            <w:hideMark/>
          </w:tcPr>
          <w:p w:rsidR="00A23C41" w:rsidRPr="00C61A75" w:rsidRDefault="00A23C41" w:rsidP="00A23C41">
            <w:pPr>
              <w:spacing w:before="0" w:after="0"/>
              <w:jc w:val="left"/>
              <w:rPr>
                <w:rFonts w:ascii="Arial" w:hAnsi="Arial" w:cs="Arial"/>
                <w:b/>
                <w:color w:val="FFFFFF" w:themeColor="background1"/>
                <w:sz w:val="18"/>
                <w:szCs w:val="18"/>
                <w:lang w:val="en-GB"/>
              </w:rPr>
            </w:pPr>
            <w:r w:rsidRPr="00C61A75">
              <w:rPr>
                <w:rFonts w:ascii="Arial" w:hAnsi="Arial" w:cs="Arial"/>
                <w:b/>
                <w:color w:val="FFFFFF" w:themeColor="background1"/>
                <w:sz w:val="18"/>
                <w:szCs w:val="18"/>
                <w:lang w:val="en-GB"/>
              </w:rPr>
              <w:t>New classification of contracting party</w:t>
            </w:r>
          </w:p>
        </w:tc>
        <w:tc>
          <w:tcPr>
            <w:tcW w:w="5581" w:type="dxa"/>
            <w:shd w:val="clear" w:color="auto" w:fill="1F497D" w:themeFill="text2"/>
            <w:noWrap/>
            <w:hideMark/>
          </w:tcPr>
          <w:p w:rsidR="00A23C41" w:rsidRPr="00C61A75" w:rsidRDefault="00A23C41" w:rsidP="00A23C41">
            <w:pPr>
              <w:spacing w:before="0" w:after="0"/>
              <w:jc w:val="left"/>
              <w:rPr>
                <w:rFonts w:ascii="Arial" w:hAnsi="Arial" w:cs="Arial"/>
                <w:b/>
                <w:color w:val="FFFFFF" w:themeColor="background1"/>
                <w:sz w:val="18"/>
                <w:szCs w:val="18"/>
                <w:lang w:val="en-GB"/>
              </w:rPr>
            </w:pPr>
            <w:r w:rsidRPr="00C61A75">
              <w:rPr>
                <w:rFonts w:ascii="Arial" w:hAnsi="Arial" w:cs="Arial"/>
                <w:b/>
                <w:color w:val="FFFFFF" w:themeColor="background1"/>
                <w:sz w:val="18"/>
                <w:szCs w:val="18"/>
                <w:lang w:val="en-GB"/>
              </w:rPr>
              <w:t>Definition</w:t>
            </w:r>
          </w:p>
        </w:tc>
      </w:tr>
      <w:tr w:rsidR="00A23C41" w:rsidRPr="00C61A75" w:rsidTr="00A23C41">
        <w:trPr>
          <w:trHeight w:val="255"/>
        </w:trPr>
        <w:tc>
          <w:tcPr>
            <w:tcW w:w="4125" w:type="dxa"/>
            <w:tcBorders>
              <w:top w:val="single" w:sz="6" w:space="0" w:color="17365D" w:themeColor="text2" w:themeShade="BF"/>
              <w:bottom w:val="nil"/>
            </w:tcBorders>
            <w:shd w:val="clear" w:color="auto" w:fill="DBE5F1" w:themeFill="accent1" w:themeFillTint="33"/>
            <w:noWrap/>
            <w:hideMark/>
          </w:tcPr>
          <w:p w:rsidR="00A23C41" w:rsidRPr="00C61A75" w:rsidRDefault="00A23C41" w:rsidP="00A23C41">
            <w:pPr>
              <w:spacing w:before="0" w:after="0"/>
              <w:rPr>
                <w:rFonts w:ascii="Arial" w:hAnsi="Arial" w:cs="Arial"/>
                <w:b/>
                <w:sz w:val="18"/>
                <w:szCs w:val="18"/>
                <w:lang w:val="en-GB"/>
              </w:rPr>
            </w:pPr>
            <w:r w:rsidRPr="00C61A75">
              <w:rPr>
                <w:rFonts w:ascii="Arial" w:hAnsi="Arial" w:cs="Arial"/>
                <w:b/>
                <w:sz w:val="18"/>
                <w:szCs w:val="18"/>
                <w:lang w:val="en-GB"/>
              </w:rPr>
              <w:t xml:space="preserve">Association and NGOs </w:t>
            </w:r>
          </w:p>
        </w:tc>
        <w:tc>
          <w:tcPr>
            <w:tcW w:w="5581" w:type="dxa"/>
            <w:shd w:val="clear" w:color="auto" w:fill="FFFFFF" w:themeFill="background1"/>
            <w:noWrap/>
            <w:hideMark/>
          </w:tcPr>
          <w:p w:rsidR="00A23C41" w:rsidRPr="00C61A75" w:rsidRDefault="00A23C41" w:rsidP="00A23C41">
            <w:pPr>
              <w:spacing w:before="0" w:after="0"/>
              <w:rPr>
                <w:rFonts w:ascii="Arial" w:hAnsi="Arial" w:cs="Arial"/>
                <w:sz w:val="18"/>
                <w:szCs w:val="18"/>
                <w:lang w:val="en-GB"/>
              </w:rPr>
            </w:pPr>
            <w:r w:rsidRPr="00C61A75">
              <w:rPr>
                <w:rFonts w:ascii="Arial" w:hAnsi="Arial" w:cs="Arial"/>
                <w:sz w:val="18"/>
                <w:szCs w:val="18"/>
                <w:lang w:val="en-GB"/>
              </w:rPr>
              <w:t>Association, Foundations, Institutes of research</w:t>
            </w:r>
          </w:p>
        </w:tc>
      </w:tr>
      <w:tr w:rsidR="00A23C41" w:rsidRPr="00C61A75" w:rsidTr="00A23C41">
        <w:trPr>
          <w:trHeight w:val="255"/>
        </w:trPr>
        <w:tc>
          <w:tcPr>
            <w:tcW w:w="4125" w:type="dxa"/>
            <w:tcBorders>
              <w:top w:val="single" w:sz="6" w:space="0" w:color="17365D" w:themeColor="text2" w:themeShade="BF"/>
            </w:tcBorders>
            <w:shd w:val="clear" w:color="auto" w:fill="DBE5F1" w:themeFill="accent1" w:themeFillTint="33"/>
            <w:noWrap/>
            <w:hideMark/>
          </w:tcPr>
          <w:p w:rsidR="00A23C41" w:rsidRPr="00C61A75" w:rsidRDefault="00A23C41" w:rsidP="00A23C41">
            <w:pPr>
              <w:spacing w:before="0" w:after="0"/>
              <w:rPr>
                <w:rFonts w:ascii="Arial" w:hAnsi="Arial" w:cs="Arial"/>
                <w:b/>
                <w:sz w:val="18"/>
                <w:szCs w:val="18"/>
                <w:lang w:val="en-GB"/>
              </w:rPr>
            </w:pPr>
            <w:r w:rsidRPr="00C61A75">
              <w:rPr>
                <w:rFonts w:ascii="Arial" w:hAnsi="Arial" w:cs="Arial"/>
                <w:b/>
                <w:sz w:val="18"/>
                <w:szCs w:val="18"/>
                <w:lang w:val="en-GB"/>
              </w:rPr>
              <w:t>Commercial organisation</w:t>
            </w:r>
          </w:p>
        </w:tc>
        <w:tc>
          <w:tcPr>
            <w:tcW w:w="5581" w:type="dxa"/>
            <w:shd w:val="clear" w:color="auto" w:fill="FFFFFF" w:themeFill="background1"/>
            <w:noWrap/>
            <w:hideMark/>
          </w:tcPr>
          <w:p w:rsidR="00A23C41" w:rsidRPr="00C61A75" w:rsidRDefault="00A23C41" w:rsidP="00A23C41">
            <w:pPr>
              <w:spacing w:before="0" w:after="0"/>
              <w:rPr>
                <w:rFonts w:ascii="Arial" w:hAnsi="Arial" w:cs="Arial"/>
                <w:sz w:val="18"/>
                <w:szCs w:val="18"/>
                <w:lang w:val="en-GB"/>
              </w:rPr>
            </w:pPr>
            <w:r w:rsidRPr="00C61A75">
              <w:rPr>
                <w:rFonts w:ascii="Arial" w:hAnsi="Arial" w:cs="Arial"/>
                <w:sz w:val="18"/>
                <w:szCs w:val="18"/>
                <w:lang w:val="en-GB"/>
              </w:rPr>
              <w:t xml:space="preserve">Consultant companies, specific sector enterprises </w:t>
            </w:r>
          </w:p>
        </w:tc>
      </w:tr>
      <w:tr w:rsidR="00A23C41" w:rsidRPr="00C61A75" w:rsidTr="00A23C41">
        <w:trPr>
          <w:trHeight w:val="255"/>
        </w:trPr>
        <w:tc>
          <w:tcPr>
            <w:tcW w:w="4125" w:type="dxa"/>
            <w:shd w:val="clear" w:color="auto" w:fill="DBE5F1" w:themeFill="accent1" w:themeFillTint="33"/>
            <w:noWrap/>
            <w:hideMark/>
          </w:tcPr>
          <w:p w:rsidR="00A23C41" w:rsidRPr="00C61A75" w:rsidRDefault="00A23C41" w:rsidP="00A23C41">
            <w:pPr>
              <w:spacing w:before="0" w:after="0"/>
              <w:rPr>
                <w:rFonts w:ascii="Arial" w:hAnsi="Arial" w:cs="Arial"/>
                <w:b/>
                <w:sz w:val="18"/>
                <w:szCs w:val="18"/>
                <w:lang w:val="en-GB"/>
              </w:rPr>
            </w:pPr>
            <w:r w:rsidRPr="00C61A75">
              <w:rPr>
                <w:rFonts w:ascii="Arial" w:hAnsi="Arial" w:cs="Arial"/>
                <w:b/>
                <w:sz w:val="18"/>
                <w:szCs w:val="18"/>
                <w:lang w:val="en-GB"/>
              </w:rPr>
              <w:t>Single Expert</w:t>
            </w:r>
          </w:p>
        </w:tc>
        <w:tc>
          <w:tcPr>
            <w:tcW w:w="5581" w:type="dxa"/>
            <w:shd w:val="clear" w:color="auto" w:fill="FFFFFF" w:themeFill="background1"/>
            <w:noWrap/>
            <w:hideMark/>
          </w:tcPr>
          <w:p w:rsidR="00A23C41" w:rsidRPr="00C61A75" w:rsidRDefault="00A23C41" w:rsidP="00A23C41">
            <w:pPr>
              <w:spacing w:before="0" w:after="0"/>
              <w:rPr>
                <w:rFonts w:ascii="Arial" w:hAnsi="Arial" w:cs="Arial"/>
                <w:sz w:val="18"/>
                <w:szCs w:val="18"/>
                <w:lang w:val="en-GB"/>
              </w:rPr>
            </w:pPr>
            <w:r w:rsidRPr="00C61A75">
              <w:rPr>
                <w:rFonts w:ascii="Arial" w:hAnsi="Arial" w:cs="Arial"/>
                <w:sz w:val="18"/>
                <w:szCs w:val="18"/>
                <w:lang w:val="en-GB"/>
              </w:rPr>
              <w:t>Contract to a single consultant</w:t>
            </w:r>
          </w:p>
        </w:tc>
      </w:tr>
      <w:tr w:rsidR="00A23C41" w:rsidRPr="00C61A75" w:rsidTr="00A23C41">
        <w:trPr>
          <w:trHeight w:val="255"/>
        </w:trPr>
        <w:tc>
          <w:tcPr>
            <w:tcW w:w="4125" w:type="dxa"/>
            <w:shd w:val="clear" w:color="auto" w:fill="DBE5F1" w:themeFill="accent1" w:themeFillTint="33"/>
            <w:noWrap/>
            <w:hideMark/>
          </w:tcPr>
          <w:p w:rsidR="00A23C41" w:rsidRPr="00C61A75" w:rsidRDefault="00A23C41" w:rsidP="00A23C41">
            <w:pPr>
              <w:spacing w:before="0" w:after="0"/>
              <w:rPr>
                <w:rFonts w:ascii="Arial" w:hAnsi="Arial" w:cs="Arial"/>
                <w:b/>
                <w:sz w:val="18"/>
                <w:szCs w:val="18"/>
                <w:lang w:val="en-GB"/>
              </w:rPr>
            </w:pPr>
            <w:r w:rsidRPr="00C61A75">
              <w:rPr>
                <w:rFonts w:ascii="Arial" w:hAnsi="Arial" w:cs="Arial"/>
                <w:b/>
                <w:sz w:val="18"/>
                <w:szCs w:val="18"/>
                <w:lang w:val="en-GB"/>
              </w:rPr>
              <w:t xml:space="preserve">United Nations </w:t>
            </w:r>
          </w:p>
        </w:tc>
        <w:tc>
          <w:tcPr>
            <w:tcW w:w="5581" w:type="dxa"/>
            <w:shd w:val="clear" w:color="auto" w:fill="FFFFFF" w:themeFill="background1"/>
            <w:noWrap/>
            <w:hideMark/>
          </w:tcPr>
          <w:p w:rsidR="00A23C41" w:rsidRPr="00C61A75" w:rsidRDefault="00A23C41" w:rsidP="00A23C41">
            <w:pPr>
              <w:spacing w:before="0" w:after="0"/>
              <w:rPr>
                <w:rFonts w:ascii="Arial" w:hAnsi="Arial" w:cs="Arial"/>
                <w:sz w:val="18"/>
                <w:szCs w:val="18"/>
                <w:lang w:val="en-GB"/>
              </w:rPr>
            </w:pPr>
            <w:r w:rsidRPr="00C61A75">
              <w:rPr>
                <w:rFonts w:ascii="Arial" w:hAnsi="Arial" w:cs="Arial"/>
                <w:sz w:val="18"/>
                <w:szCs w:val="18"/>
                <w:lang w:val="en-GB"/>
              </w:rPr>
              <w:t>International Organisation - United Nations Family</w:t>
            </w:r>
          </w:p>
        </w:tc>
      </w:tr>
      <w:tr w:rsidR="00A23C41" w:rsidRPr="00C61A75" w:rsidTr="00A23C41">
        <w:trPr>
          <w:trHeight w:val="255"/>
        </w:trPr>
        <w:tc>
          <w:tcPr>
            <w:tcW w:w="4125" w:type="dxa"/>
            <w:shd w:val="clear" w:color="auto" w:fill="DBE5F1" w:themeFill="accent1" w:themeFillTint="33"/>
            <w:noWrap/>
            <w:hideMark/>
          </w:tcPr>
          <w:p w:rsidR="00A23C41" w:rsidRPr="00C61A75" w:rsidRDefault="00A23C41" w:rsidP="00A23C41">
            <w:pPr>
              <w:spacing w:before="0" w:after="0"/>
              <w:rPr>
                <w:rFonts w:ascii="Arial" w:hAnsi="Arial" w:cs="Arial"/>
                <w:b/>
                <w:sz w:val="18"/>
                <w:szCs w:val="18"/>
                <w:lang w:val="en-GB"/>
              </w:rPr>
            </w:pPr>
            <w:r w:rsidRPr="00C61A75">
              <w:rPr>
                <w:rFonts w:ascii="Arial" w:hAnsi="Arial" w:cs="Arial"/>
                <w:b/>
                <w:sz w:val="18"/>
                <w:szCs w:val="18"/>
                <w:lang w:val="en-GB"/>
              </w:rPr>
              <w:t>International organisations except UN</w:t>
            </w:r>
          </w:p>
        </w:tc>
        <w:tc>
          <w:tcPr>
            <w:tcW w:w="5581" w:type="dxa"/>
            <w:shd w:val="clear" w:color="auto" w:fill="FFFFFF" w:themeFill="background1"/>
            <w:noWrap/>
            <w:hideMark/>
          </w:tcPr>
          <w:p w:rsidR="00A23C41" w:rsidRPr="00C61A75" w:rsidRDefault="00A23C41" w:rsidP="00A23C41">
            <w:pPr>
              <w:spacing w:before="0" w:after="0"/>
              <w:rPr>
                <w:rFonts w:ascii="Arial" w:hAnsi="Arial" w:cs="Arial"/>
                <w:sz w:val="18"/>
                <w:szCs w:val="18"/>
                <w:lang w:val="en-GB"/>
              </w:rPr>
            </w:pPr>
            <w:r w:rsidRPr="00C61A75">
              <w:rPr>
                <w:rFonts w:ascii="Arial" w:hAnsi="Arial" w:cs="Arial"/>
                <w:sz w:val="18"/>
                <w:szCs w:val="18"/>
                <w:lang w:val="en-GB"/>
              </w:rPr>
              <w:t>International Organisation except United Nations Family (WB and others)</w:t>
            </w:r>
          </w:p>
        </w:tc>
      </w:tr>
      <w:tr w:rsidR="00A23C41" w:rsidRPr="00C61A75" w:rsidTr="00A23C41">
        <w:trPr>
          <w:trHeight w:val="255"/>
        </w:trPr>
        <w:tc>
          <w:tcPr>
            <w:tcW w:w="4125" w:type="dxa"/>
            <w:shd w:val="clear" w:color="auto" w:fill="DBE5F1" w:themeFill="accent1" w:themeFillTint="33"/>
            <w:noWrap/>
            <w:hideMark/>
          </w:tcPr>
          <w:p w:rsidR="00A23C41" w:rsidRPr="00C61A75" w:rsidRDefault="00A23C41" w:rsidP="00A23C41">
            <w:pPr>
              <w:spacing w:before="0" w:after="0"/>
              <w:rPr>
                <w:rFonts w:ascii="Arial" w:hAnsi="Arial" w:cs="Arial"/>
                <w:b/>
                <w:sz w:val="18"/>
                <w:szCs w:val="18"/>
                <w:lang w:val="fr-FR"/>
              </w:rPr>
            </w:pPr>
            <w:r w:rsidRPr="00C61A75">
              <w:rPr>
                <w:rFonts w:ascii="Arial" w:hAnsi="Arial" w:cs="Arial"/>
                <w:b/>
                <w:sz w:val="18"/>
                <w:szCs w:val="18"/>
                <w:lang w:val="fr-FR"/>
              </w:rPr>
              <w:t xml:space="preserve">EU </w:t>
            </w:r>
            <w:proofErr w:type="spellStart"/>
            <w:r w:rsidRPr="00C61A75">
              <w:rPr>
                <w:rFonts w:ascii="Arial" w:hAnsi="Arial" w:cs="Arial"/>
                <w:b/>
                <w:sz w:val="18"/>
                <w:szCs w:val="18"/>
                <w:lang w:val="fr-FR"/>
              </w:rPr>
              <w:t>Member</w:t>
            </w:r>
            <w:proofErr w:type="spellEnd"/>
            <w:r w:rsidRPr="00C61A75">
              <w:rPr>
                <w:rFonts w:ascii="Arial" w:hAnsi="Arial" w:cs="Arial"/>
                <w:b/>
                <w:sz w:val="18"/>
                <w:szCs w:val="18"/>
                <w:lang w:val="fr-FR"/>
              </w:rPr>
              <w:t xml:space="preserve"> states  public organisations</w:t>
            </w:r>
          </w:p>
        </w:tc>
        <w:tc>
          <w:tcPr>
            <w:tcW w:w="5581" w:type="dxa"/>
            <w:shd w:val="clear" w:color="auto" w:fill="FFFFFF" w:themeFill="background1"/>
            <w:noWrap/>
            <w:hideMark/>
          </w:tcPr>
          <w:p w:rsidR="00A23C41" w:rsidRPr="00C61A75" w:rsidRDefault="00A23C41" w:rsidP="00A23C41">
            <w:pPr>
              <w:spacing w:before="0" w:after="0"/>
              <w:rPr>
                <w:rFonts w:ascii="Arial" w:hAnsi="Arial" w:cs="Arial"/>
                <w:sz w:val="18"/>
                <w:szCs w:val="18"/>
                <w:lang w:val="en-GB"/>
              </w:rPr>
            </w:pPr>
            <w:r w:rsidRPr="00C61A75">
              <w:rPr>
                <w:rFonts w:ascii="Arial" w:hAnsi="Arial" w:cs="Arial"/>
                <w:sz w:val="18"/>
                <w:szCs w:val="18"/>
                <w:lang w:val="en-GB"/>
              </w:rPr>
              <w:t>Cooperation agencies of Member states, local institutions, support institutions</w:t>
            </w:r>
          </w:p>
        </w:tc>
      </w:tr>
      <w:tr w:rsidR="00A23C41" w:rsidRPr="00C61A75" w:rsidTr="00A23C41">
        <w:trPr>
          <w:trHeight w:val="255"/>
        </w:trPr>
        <w:tc>
          <w:tcPr>
            <w:tcW w:w="4125" w:type="dxa"/>
            <w:shd w:val="clear" w:color="auto" w:fill="DBE5F1" w:themeFill="accent1" w:themeFillTint="33"/>
            <w:noWrap/>
            <w:hideMark/>
          </w:tcPr>
          <w:p w:rsidR="00A23C41" w:rsidRPr="00C61A75" w:rsidRDefault="00A23C41" w:rsidP="00A23C41">
            <w:pPr>
              <w:spacing w:before="0" w:after="0"/>
              <w:rPr>
                <w:rFonts w:ascii="Arial" w:hAnsi="Arial" w:cs="Arial"/>
                <w:b/>
                <w:sz w:val="18"/>
                <w:szCs w:val="18"/>
                <w:lang w:val="en-GB"/>
              </w:rPr>
            </w:pPr>
            <w:r w:rsidRPr="00C61A75">
              <w:rPr>
                <w:rFonts w:ascii="Arial" w:hAnsi="Arial" w:cs="Arial"/>
                <w:b/>
                <w:sz w:val="18"/>
                <w:szCs w:val="18"/>
                <w:lang w:val="en-GB"/>
              </w:rPr>
              <w:t>University/Education</w:t>
            </w:r>
          </w:p>
        </w:tc>
        <w:tc>
          <w:tcPr>
            <w:tcW w:w="5581" w:type="dxa"/>
            <w:shd w:val="clear" w:color="auto" w:fill="FFFFFF" w:themeFill="background1"/>
            <w:noWrap/>
            <w:hideMark/>
          </w:tcPr>
          <w:p w:rsidR="00A23C41" w:rsidRPr="00C61A75" w:rsidRDefault="00A23C41" w:rsidP="00A23C41">
            <w:pPr>
              <w:spacing w:before="0" w:after="0"/>
              <w:rPr>
                <w:rFonts w:ascii="Arial" w:hAnsi="Arial" w:cs="Arial"/>
                <w:sz w:val="18"/>
                <w:szCs w:val="18"/>
                <w:lang w:val="en-GB"/>
              </w:rPr>
            </w:pPr>
            <w:r w:rsidRPr="00C61A75">
              <w:rPr>
                <w:rFonts w:ascii="Arial" w:hAnsi="Arial" w:cs="Arial"/>
                <w:sz w:val="18"/>
                <w:szCs w:val="18"/>
                <w:lang w:val="en-GB"/>
              </w:rPr>
              <w:t>University, Education Institutes</w:t>
            </w:r>
          </w:p>
        </w:tc>
      </w:tr>
      <w:tr w:rsidR="00A23C41" w:rsidRPr="00C61A75" w:rsidTr="00A23C41">
        <w:trPr>
          <w:trHeight w:val="255"/>
        </w:trPr>
        <w:tc>
          <w:tcPr>
            <w:tcW w:w="4125" w:type="dxa"/>
            <w:shd w:val="clear" w:color="auto" w:fill="DBE5F1" w:themeFill="accent1" w:themeFillTint="33"/>
            <w:noWrap/>
            <w:hideMark/>
          </w:tcPr>
          <w:p w:rsidR="00A23C41" w:rsidRPr="00C61A75" w:rsidRDefault="00A23C41" w:rsidP="00A23C41">
            <w:pPr>
              <w:spacing w:before="0" w:after="0"/>
              <w:rPr>
                <w:rFonts w:ascii="Arial" w:hAnsi="Arial" w:cs="Arial"/>
                <w:b/>
                <w:sz w:val="18"/>
                <w:szCs w:val="18"/>
                <w:lang w:val="en-GB"/>
              </w:rPr>
            </w:pPr>
            <w:r w:rsidRPr="00C61A75">
              <w:rPr>
                <w:rFonts w:ascii="Arial" w:hAnsi="Arial" w:cs="Arial"/>
                <w:b/>
                <w:sz w:val="18"/>
                <w:szCs w:val="18"/>
                <w:lang w:val="en-GB"/>
              </w:rPr>
              <w:t>Palestin</w:t>
            </w:r>
            <w:r w:rsidR="00A96ED2">
              <w:rPr>
                <w:rFonts w:ascii="Arial" w:hAnsi="Arial" w:cs="Arial"/>
                <w:b/>
                <w:sz w:val="18"/>
                <w:szCs w:val="18"/>
                <w:lang w:val="en-GB"/>
              </w:rPr>
              <w:t>e</w:t>
            </w:r>
            <w:r w:rsidRPr="00C61A75">
              <w:rPr>
                <w:rFonts w:ascii="Arial" w:hAnsi="Arial" w:cs="Arial"/>
                <w:b/>
                <w:sz w:val="18"/>
                <w:szCs w:val="18"/>
                <w:lang w:val="en-GB"/>
              </w:rPr>
              <w:t xml:space="preserve"> - Public Administration and Institutions</w:t>
            </w:r>
          </w:p>
        </w:tc>
        <w:tc>
          <w:tcPr>
            <w:tcW w:w="5581" w:type="dxa"/>
            <w:shd w:val="clear" w:color="auto" w:fill="FFFFFF" w:themeFill="background1"/>
            <w:noWrap/>
            <w:hideMark/>
          </w:tcPr>
          <w:p w:rsidR="00A23C41" w:rsidRPr="00C61A75" w:rsidRDefault="00A23C41" w:rsidP="00A23C41">
            <w:pPr>
              <w:spacing w:before="0" w:after="0"/>
              <w:rPr>
                <w:rFonts w:ascii="Arial" w:hAnsi="Arial" w:cs="Arial"/>
                <w:sz w:val="18"/>
                <w:szCs w:val="18"/>
                <w:lang w:val="en-GB"/>
              </w:rPr>
            </w:pPr>
            <w:r w:rsidRPr="00C61A75">
              <w:rPr>
                <w:rFonts w:ascii="Arial" w:hAnsi="Arial" w:cs="Arial"/>
                <w:sz w:val="18"/>
                <w:szCs w:val="18"/>
                <w:lang w:val="en-GB"/>
              </w:rPr>
              <w:t>Palestinian authority, Statistical Bureau of Palestine and other institutions</w:t>
            </w:r>
          </w:p>
        </w:tc>
      </w:tr>
      <w:tr w:rsidR="00A23C41" w:rsidRPr="00C61A75" w:rsidTr="00A23C41">
        <w:trPr>
          <w:trHeight w:val="255"/>
        </w:trPr>
        <w:tc>
          <w:tcPr>
            <w:tcW w:w="4125" w:type="dxa"/>
            <w:shd w:val="clear" w:color="auto" w:fill="DBE5F1" w:themeFill="accent1" w:themeFillTint="33"/>
            <w:noWrap/>
            <w:hideMark/>
          </w:tcPr>
          <w:p w:rsidR="00A23C41" w:rsidRPr="00C61A75" w:rsidRDefault="00A23C41" w:rsidP="00A23C41">
            <w:pPr>
              <w:spacing w:before="0" w:after="0"/>
              <w:rPr>
                <w:rFonts w:ascii="Arial" w:hAnsi="Arial" w:cs="Arial"/>
                <w:b/>
                <w:sz w:val="18"/>
                <w:szCs w:val="18"/>
                <w:lang w:val="en-GB"/>
              </w:rPr>
            </w:pPr>
            <w:r w:rsidRPr="00C61A75">
              <w:rPr>
                <w:rFonts w:ascii="Arial" w:hAnsi="Arial" w:cs="Arial"/>
                <w:b/>
                <w:sz w:val="18"/>
                <w:szCs w:val="18"/>
                <w:lang w:val="en-GB"/>
              </w:rPr>
              <w:t xml:space="preserve">Na </w:t>
            </w:r>
          </w:p>
        </w:tc>
        <w:tc>
          <w:tcPr>
            <w:tcW w:w="5581" w:type="dxa"/>
            <w:shd w:val="clear" w:color="auto" w:fill="FFFFFF" w:themeFill="background1"/>
            <w:noWrap/>
            <w:hideMark/>
          </w:tcPr>
          <w:p w:rsidR="00A23C41" w:rsidRPr="00C61A75" w:rsidRDefault="00A23C41" w:rsidP="00A23C41">
            <w:pPr>
              <w:spacing w:before="0" w:after="0"/>
              <w:rPr>
                <w:rFonts w:ascii="Arial" w:hAnsi="Arial" w:cs="Arial"/>
                <w:sz w:val="18"/>
                <w:szCs w:val="18"/>
                <w:lang w:val="en-GB"/>
              </w:rPr>
            </w:pPr>
            <w:r w:rsidRPr="00C61A75">
              <w:rPr>
                <w:rFonts w:ascii="Arial" w:hAnsi="Arial" w:cs="Arial"/>
                <w:sz w:val="18"/>
                <w:szCs w:val="18"/>
                <w:lang w:val="en-GB"/>
              </w:rPr>
              <w:t>Not available</w:t>
            </w:r>
          </w:p>
        </w:tc>
      </w:tr>
    </w:tbl>
    <w:p w:rsidR="00A23C41" w:rsidRDefault="00A23C41" w:rsidP="00A23C41">
      <w:pPr>
        <w:spacing w:before="0" w:after="0"/>
        <w:rPr>
          <w:rFonts w:ascii="Arial" w:hAnsi="Arial" w:cs="Arial"/>
          <w:smallCaps/>
          <w:color w:val="1F497D" w:themeColor="text2"/>
          <w:sz w:val="24"/>
          <w:szCs w:val="24"/>
        </w:rPr>
      </w:pPr>
      <w:bookmarkStart w:id="76" w:name="_Toc358819866"/>
    </w:p>
    <w:p w:rsidR="00A23C41" w:rsidRDefault="00A23C41" w:rsidP="00A23C41">
      <w:pPr>
        <w:spacing w:before="0" w:after="0"/>
        <w:rPr>
          <w:rFonts w:ascii="Arial" w:hAnsi="Arial" w:cs="Arial"/>
          <w:smallCaps/>
          <w:color w:val="1F497D" w:themeColor="text2"/>
          <w:sz w:val="24"/>
          <w:szCs w:val="24"/>
        </w:rPr>
      </w:pPr>
    </w:p>
    <w:p w:rsidR="00A23C41" w:rsidRPr="00EF09A2" w:rsidRDefault="00A23C41" w:rsidP="00A23C41">
      <w:pPr>
        <w:spacing w:before="0" w:after="0"/>
        <w:rPr>
          <w:rFonts w:ascii="Arial" w:hAnsi="Arial" w:cs="Arial"/>
          <w:smallCaps/>
          <w:color w:val="1F497D" w:themeColor="text2"/>
          <w:sz w:val="24"/>
          <w:szCs w:val="24"/>
        </w:rPr>
      </w:pPr>
    </w:p>
    <w:bookmarkEnd w:id="76"/>
    <w:p w:rsidR="00A23C41" w:rsidRPr="00222AA8" w:rsidRDefault="00A23C41" w:rsidP="00B54C8F">
      <w:pPr>
        <w:pStyle w:val="Paragrafoelenco"/>
        <w:numPr>
          <w:ilvl w:val="0"/>
          <w:numId w:val="97"/>
        </w:numPr>
        <w:spacing w:before="0" w:after="0"/>
        <w:rPr>
          <w:rFonts w:ascii="Arial" w:hAnsi="Arial" w:cs="Arial"/>
          <w:b/>
          <w:i/>
          <w:sz w:val="22"/>
          <w:szCs w:val="22"/>
        </w:rPr>
      </w:pPr>
      <w:r w:rsidRPr="00222AA8">
        <w:rPr>
          <w:rFonts w:ascii="Arial" w:hAnsi="Arial" w:cs="Arial"/>
          <w:b/>
          <w:i/>
          <w:sz w:val="22"/>
          <w:szCs w:val="22"/>
        </w:rPr>
        <w:t>Geographical classification</w:t>
      </w:r>
    </w:p>
    <w:p w:rsidR="00A23C41" w:rsidRPr="00C61A75" w:rsidRDefault="00A23C41" w:rsidP="00A23C41">
      <w:pPr>
        <w:spacing w:before="0" w:after="0"/>
        <w:rPr>
          <w:rFonts w:ascii="Arial" w:hAnsi="Arial" w:cs="Arial"/>
          <w:sz w:val="22"/>
          <w:szCs w:val="22"/>
        </w:rPr>
      </w:pPr>
      <w:r w:rsidRPr="00C61A75">
        <w:rPr>
          <w:rFonts w:ascii="Arial" w:hAnsi="Arial" w:cs="Arial"/>
          <w:sz w:val="22"/>
          <w:szCs w:val="22"/>
        </w:rPr>
        <w:t xml:space="preserve">The geographical classification provides information on the geographical allocation of EC funds throughout Palestine (West Bank, Gaza, East Jerusalem). In particular the categories found are the following: </w:t>
      </w:r>
    </w:p>
    <w:p w:rsidR="00A23C41" w:rsidRPr="00C61A75" w:rsidRDefault="00A23C41" w:rsidP="00B54C8F">
      <w:pPr>
        <w:pStyle w:val="Paragrafoelenco"/>
        <w:numPr>
          <w:ilvl w:val="0"/>
          <w:numId w:val="9"/>
        </w:numPr>
        <w:spacing w:before="0" w:after="0"/>
        <w:jc w:val="left"/>
        <w:rPr>
          <w:rFonts w:ascii="Arial" w:hAnsi="Arial" w:cs="Arial"/>
          <w:sz w:val="22"/>
          <w:szCs w:val="22"/>
          <w:lang w:eastAsia="it-IT"/>
        </w:rPr>
      </w:pPr>
      <w:r w:rsidRPr="00C61A75">
        <w:rPr>
          <w:rFonts w:ascii="Arial" w:hAnsi="Arial" w:cs="Arial"/>
          <w:sz w:val="22"/>
          <w:szCs w:val="22"/>
          <w:lang w:eastAsia="it-IT"/>
        </w:rPr>
        <w:t>Palestine (all Palestinian territories)</w:t>
      </w:r>
    </w:p>
    <w:p w:rsidR="00A23C41" w:rsidRPr="00C61A75" w:rsidRDefault="00A23C41" w:rsidP="00B54C8F">
      <w:pPr>
        <w:pStyle w:val="Paragrafoelenco"/>
        <w:numPr>
          <w:ilvl w:val="0"/>
          <w:numId w:val="9"/>
        </w:numPr>
        <w:spacing w:before="0" w:after="0"/>
        <w:jc w:val="left"/>
        <w:rPr>
          <w:rFonts w:ascii="Arial" w:hAnsi="Arial" w:cs="Arial"/>
          <w:sz w:val="22"/>
          <w:szCs w:val="22"/>
          <w:lang w:eastAsia="it-IT"/>
        </w:rPr>
      </w:pPr>
      <w:r w:rsidRPr="00C61A75">
        <w:rPr>
          <w:rFonts w:ascii="Arial" w:hAnsi="Arial" w:cs="Arial"/>
          <w:sz w:val="22"/>
          <w:szCs w:val="22"/>
          <w:lang w:eastAsia="it-IT"/>
        </w:rPr>
        <w:t>West Bank</w:t>
      </w:r>
    </w:p>
    <w:p w:rsidR="00A23C41" w:rsidRPr="00C61A75" w:rsidRDefault="00A23C41" w:rsidP="00B54C8F">
      <w:pPr>
        <w:pStyle w:val="Paragrafoelenco"/>
        <w:numPr>
          <w:ilvl w:val="0"/>
          <w:numId w:val="9"/>
        </w:numPr>
        <w:spacing w:before="0" w:after="0"/>
        <w:jc w:val="left"/>
        <w:rPr>
          <w:rFonts w:ascii="Arial" w:hAnsi="Arial" w:cs="Arial"/>
          <w:sz w:val="22"/>
          <w:szCs w:val="22"/>
          <w:lang w:eastAsia="it-IT"/>
        </w:rPr>
      </w:pPr>
      <w:r w:rsidRPr="00C61A75">
        <w:rPr>
          <w:rFonts w:ascii="Arial" w:hAnsi="Arial" w:cs="Arial"/>
          <w:sz w:val="22"/>
          <w:szCs w:val="22"/>
          <w:lang w:eastAsia="it-IT"/>
        </w:rPr>
        <w:t>Gaza Strip</w:t>
      </w:r>
    </w:p>
    <w:p w:rsidR="00A23C41" w:rsidRPr="00C61A75" w:rsidRDefault="00A23C41" w:rsidP="00B54C8F">
      <w:pPr>
        <w:pStyle w:val="Paragrafoelenco"/>
        <w:numPr>
          <w:ilvl w:val="0"/>
          <w:numId w:val="9"/>
        </w:numPr>
        <w:spacing w:before="0" w:after="0"/>
        <w:jc w:val="left"/>
        <w:rPr>
          <w:rFonts w:ascii="Arial" w:hAnsi="Arial" w:cs="Arial"/>
          <w:sz w:val="22"/>
          <w:szCs w:val="22"/>
          <w:lang w:eastAsia="it-IT"/>
        </w:rPr>
      </w:pPr>
      <w:r w:rsidRPr="00C61A75">
        <w:rPr>
          <w:rFonts w:ascii="Arial" w:hAnsi="Arial" w:cs="Arial"/>
          <w:sz w:val="22"/>
          <w:szCs w:val="22"/>
          <w:lang w:eastAsia="it-IT"/>
        </w:rPr>
        <w:t>East Jerusalem</w:t>
      </w:r>
    </w:p>
    <w:p w:rsidR="00A23C41" w:rsidRPr="00C61A75" w:rsidRDefault="00A23C41" w:rsidP="00B54C8F">
      <w:pPr>
        <w:pStyle w:val="Paragrafoelenco"/>
        <w:numPr>
          <w:ilvl w:val="0"/>
          <w:numId w:val="9"/>
        </w:numPr>
        <w:spacing w:before="0" w:after="0"/>
        <w:jc w:val="left"/>
        <w:rPr>
          <w:rFonts w:ascii="Arial" w:hAnsi="Arial" w:cs="Arial"/>
          <w:sz w:val="22"/>
          <w:szCs w:val="22"/>
          <w:lang w:eastAsia="it-IT"/>
        </w:rPr>
      </w:pPr>
      <w:r>
        <w:rPr>
          <w:rFonts w:ascii="Arial" w:hAnsi="Arial" w:cs="Arial"/>
          <w:sz w:val="22"/>
          <w:szCs w:val="22"/>
          <w:lang w:eastAsia="it-IT"/>
        </w:rPr>
        <w:t>Palestine</w:t>
      </w:r>
      <w:r w:rsidRPr="00C61A75">
        <w:rPr>
          <w:rFonts w:ascii="Arial" w:hAnsi="Arial" w:cs="Arial"/>
          <w:sz w:val="22"/>
          <w:szCs w:val="22"/>
          <w:lang w:eastAsia="it-IT"/>
        </w:rPr>
        <w:t>, Jordan, Syria, and Lebanon (refugees camps)</w:t>
      </w:r>
    </w:p>
    <w:p w:rsidR="00A23C41" w:rsidRPr="00C61A75" w:rsidRDefault="00A23C41" w:rsidP="00B54C8F">
      <w:pPr>
        <w:pStyle w:val="Paragrafoelenco"/>
        <w:numPr>
          <w:ilvl w:val="0"/>
          <w:numId w:val="9"/>
        </w:numPr>
        <w:spacing w:before="0" w:after="0"/>
        <w:jc w:val="left"/>
        <w:rPr>
          <w:rFonts w:ascii="Arial" w:hAnsi="Arial" w:cs="Arial"/>
          <w:sz w:val="22"/>
          <w:szCs w:val="22"/>
          <w:lang w:val="es-ES" w:eastAsia="it-IT"/>
        </w:rPr>
      </w:pPr>
      <w:proofErr w:type="spellStart"/>
      <w:r w:rsidRPr="00C61A75">
        <w:rPr>
          <w:rFonts w:ascii="Arial" w:hAnsi="Arial" w:cs="Arial"/>
          <w:sz w:val="22"/>
          <w:szCs w:val="22"/>
          <w:lang w:val="es-ES" w:eastAsia="it-IT"/>
        </w:rPr>
        <w:t>Jordan</w:t>
      </w:r>
      <w:proofErr w:type="spellEnd"/>
      <w:r w:rsidRPr="00C61A75">
        <w:rPr>
          <w:rFonts w:ascii="Arial" w:hAnsi="Arial" w:cs="Arial"/>
          <w:sz w:val="22"/>
          <w:szCs w:val="22"/>
          <w:lang w:val="es-ES" w:eastAsia="it-IT"/>
        </w:rPr>
        <w:t xml:space="preserve"> (</w:t>
      </w:r>
      <w:proofErr w:type="spellStart"/>
      <w:r w:rsidRPr="00C61A75">
        <w:rPr>
          <w:rFonts w:ascii="Arial" w:hAnsi="Arial" w:cs="Arial"/>
          <w:sz w:val="22"/>
          <w:szCs w:val="22"/>
          <w:lang w:val="es-ES" w:eastAsia="it-IT"/>
        </w:rPr>
        <w:t>refugees</w:t>
      </w:r>
      <w:proofErr w:type="spellEnd"/>
      <w:r w:rsidRPr="00C61A75">
        <w:rPr>
          <w:rFonts w:ascii="Arial" w:hAnsi="Arial" w:cs="Arial"/>
          <w:sz w:val="22"/>
          <w:szCs w:val="22"/>
          <w:lang w:val="es-ES" w:eastAsia="it-IT"/>
        </w:rPr>
        <w:t xml:space="preserve"> camp)</w:t>
      </w:r>
    </w:p>
    <w:p w:rsidR="00A23C41" w:rsidRDefault="00A23C41" w:rsidP="00A23C41">
      <w:pPr>
        <w:spacing w:before="0" w:after="0"/>
        <w:rPr>
          <w:rFonts w:ascii="Arial" w:hAnsi="Arial" w:cs="Arial"/>
          <w:b/>
          <w:smallCaps/>
          <w:color w:val="1F497D" w:themeColor="text2"/>
          <w:sz w:val="24"/>
          <w:szCs w:val="24"/>
          <w:lang w:val="en-GB"/>
        </w:rPr>
      </w:pPr>
    </w:p>
    <w:p w:rsidR="00A23C41" w:rsidRPr="00EF09A2" w:rsidRDefault="00A23C41" w:rsidP="00A23C41">
      <w:pPr>
        <w:spacing w:before="0" w:after="0"/>
        <w:rPr>
          <w:rFonts w:ascii="Arial" w:hAnsi="Arial" w:cs="Arial"/>
          <w:b/>
          <w:smallCaps/>
          <w:color w:val="1F497D" w:themeColor="text2"/>
          <w:sz w:val="24"/>
          <w:szCs w:val="24"/>
          <w:lang w:val="en-GB"/>
        </w:rPr>
      </w:pPr>
      <w:r w:rsidRPr="00EF09A2">
        <w:rPr>
          <w:rFonts w:ascii="Arial" w:hAnsi="Arial" w:cs="Arial"/>
          <w:b/>
          <w:smallCaps/>
          <w:color w:val="1F497D" w:themeColor="text2"/>
          <w:sz w:val="24"/>
          <w:szCs w:val="24"/>
          <w:lang w:val="en-GB"/>
        </w:rPr>
        <w:t xml:space="preserve">Step 5: </w:t>
      </w:r>
      <w:r>
        <w:rPr>
          <w:rFonts w:ascii="Arial" w:hAnsi="Arial" w:cs="Arial"/>
          <w:b/>
          <w:smallCaps/>
          <w:color w:val="1F497D" w:themeColor="text2"/>
          <w:sz w:val="24"/>
          <w:szCs w:val="24"/>
          <w:lang w:val="en-GB"/>
        </w:rPr>
        <w:t>E</w:t>
      </w:r>
      <w:r w:rsidRPr="00EF09A2">
        <w:rPr>
          <w:rFonts w:ascii="Arial" w:hAnsi="Arial" w:cs="Arial"/>
          <w:b/>
          <w:smallCaps/>
          <w:color w:val="1F497D" w:themeColor="text2"/>
          <w:sz w:val="24"/>
          <w:szCs w:val="24"/>
          <w:lang w:val="en-GB"/>
        </w:rPr>
        <w:t xml:space="preserve">nrichment of Database </w:t>
      </w:r>
    </w:p>
    <w:p w:rsidR="00A23C41" w:rsidRPr="00EF09A2" w:rsidRDefault="00A23C41" w:rsidP="00A23C41">
      <w:pPr>
        <w:spacing w:before="0" w:after="0"/>
        <w:rPr>
          <w:rFonts w:ascii="Arial" w:hAnsi="Arial" w:cs="Arial"/>
          <w:sz w:val="24"/>
          <w:szCs w:val="24"/>
        </w:rPr>
      </w:pPr>
    </w:p>
    <w:p w:rsidR="00A23C41" w:rsidRPr="000D7E7A" w:rsidRDefault="00A23C41" w:rsidP="00A23C41">
      <w:pPr>
        <w:contextualSpacing/>
        <w:rPr>
          <w:rFonts w:ascii="Arial" w:hAnsi="Arial" w:cs="Arial"/>
          <w:b/>
          <w:sz w:val="22"/>
          <w:szCs w:val="22"/>
        </w:rPr>
      </w:pPr>
      <w:r w:rsidRPr="000D7E7A">
        <w:rPr>
          <w:rFonts w:ascii="Arial" w:hAnsi="Arial" w:cs="Arial"/>
          <w:b/>
          <w:sz w:val="22"/>
          <w:szCs w:val="22"/>
        </w:rPr>
        <w:t>ECHO inventory</w:t>
      </w:r>
    </w:p>
    <w:p w:rsidR="00A23C41" w:rsidRPr="000D7E7A" w:rsidRDefault="00A23C41" w:rsidP="00A23C41">
      <w:pPr>
        <w:rPr>
          <w:rFonts w:ascii="Arial" w:hAnsi="Arial" w:cs="Arial"/>
          <w:sz w:val="22"/>
          <w:szCs w:val="22"/>
        </w:rPr>
      </w:pPr>
      <w:r w:rsidRPr="000D7E7A">
        <w:rPr>
          <w:rFonts w:ascii="Arial" w:hAnsi="Arial" w:cs="Arial"/>
          <w:sz w:val="22"/>
          <w:szCs w:val="22"/>
        </w:rPr>
        <w:t xml:space="preserve">The inventory needed to be completed with Humanitarian Assistance data, in order to have a comprehensive view of all cooperation efforts in Palestine. Data on Humanitarian Assistance have been received from ECHO at the end of October 2013 with data referred to only allocations, data on </w:t>
      </w:r>
      <w:r w:rsidR="00A96ED2">
        <w:rPr>
          <w:rFonts w:ascii="Arial" w:hAnsi="Arial" w:cs="Arial"/>
          <w:sz w:val="22"/>
          <w:szCs w:val="22"/>
        </w:rPr>
        <w:t>committed</w:t>
      </w:r>
      <w:r w:rsidRPr="000D7E7A">
        <w:rPr>
          <w:rFonts w:ascii="Arial" w:hAnsi="Arial" w:cs="Arial"/>
          <w:sz w:val="22"/>
          <w:szCs w:val="22"/>
        </w:rPr>
        <w:t xml:space="preserve"> and </w:t>
      </w:r>
      <w:r w:rsidR="00AE6360">
        <w:rPr>
          <w:rFonts w:ascii="Arial" w:hAnsi="Arial" w:cs="Arial"/>
          <w:sz w:val="22"/>
          <w:szCs w:val="22"/>
        </w:rPr>
        <w:t>disbursed amount</w:t>
      </w:r>
      <w:r w:rsidRPr="000D7E7A">
        <w:rPr>
          <w:rFonts w:ascii="Arial" w:hAnsi="Arial" w:cs="Arial"/>
          <w:sz w:val="22"/>
          <w:szCs w:val="22"/>
        </w:rPr>
        <w:t>s are missing</w:t>
      </w:r>
      <w:r w:rsidRPr="000D7E7A">
        <w:rPr>
          <w:rStyle w:val="Rimandonotaapidipagina"/>
          <w:rFonts w:ascii="Arial" w:hAnsi="Arial" w:cs="Arial"/>
          <w:sz w:val="22"/>
          <w:szCs w:val="22"/>
        </w:rPr>
        <w:footnoteReference w:id="66"/>
      </w:r>
      <w:r w:rsidRPr="000D7E7A">
        <w:rPr>
          <w:rFonts w:ascii="Arial" w:hAnsi="Arial" w:cs="Arial"/>
          <w:sz w:val="22"/>
          <w:szCs w:val="22"/>
        </w:rPr>
        <w:t xml:space="preserve">. </w:t>
      </w:r>
    </w:p>
    <w:p w:rsidR="00A23C41" w:rsidRPr="000D7E7A" w:rsidRDefault="00A23C41" w:rsidP="00A23C41">
      <w:pPr>
        <w:rPr>
          <w:rFonts w:ascii="Arial" w:hAnsi="Arial" w:cs="Arial"/>
          <w:sz w:val="22"/>
          <w:szCs w:val="22"/>
        </w:rPr>
      </w:pPr>
      <w:r w:rsidRPr="000D7E7A">
        <w:rPr>
          <w:rFonts w:ascii="Arial" w:hAnsi="Arial" w:cs="Arial"/>
          <w:sz w:val="22"/>
          <w:szCs w:val="22"/>
        </w:rPr>
        <w:t>The interventions funded by ECHO during the period of the evaluation (2008-201</w:t>
      </w:r>
      <w:r w:rsidR="00BA0442">
        <w:rPr>
          <w:rFonts w:ascii="Arial" w:hAnsi="Arial" w:cs="Arial"/>
          <w:sz w:val="22"/>
          <w:szCs w:val="22"/>
        </w:rPr>
        <w:t>3</w:t>
      </w:r>
      <w:r w:rsidRPr="000D7E7A">
        <w:rPr>
          <w:rFonts w:ascii="Arial" w:hAnsi="Arial" w:cs="Arial"/>
          <w:sz w:val="22"/>
          <w:szCs w:val="22"/>
        </w:rPr>
        <w:t xml:space="preserve">) are </w:t>
      </w:r>
      <w:r w:rsidR="00BA0442">
        <w:rPr>
          <w:rFonts w:ascii="Arial" w:hAnsi="Arial" w:cs="Arial"/>
          <w:sz w:val="22"/>
          <w:szCs w:val="22"/>
        </w:rPr>
        <w:t>215</w:t>
      </w:r>
      <w:r w:rsidRPr="000D7E7A">
        <w:rPr>
          <w:rFonts w:ascii="Arial" w:hAnsi="Arial" w:cs="Arial"/>
          <w:sz w:val="22"/>
          <w:szCs w:val="22"/>
        </w:rPr>
        <w:t xml:space="preserve">. The interventions have been classified by sector and by partner as shown in the below tables. </w:t>
      </w:r>
    </w:p>
    <w:p w:rsidR="00A23C41" w:rsidRPr="00EF09A2" w:rsidRDefault="00A23C41" w:rsidP="00A23C41">
      <w:pPr>
        <w:spacing w:before="0" w:after="0"/>
        <w:rPr>
          <w:rFonts w:ascii="Arial" w:hAnsi="Arial" w:cs="Arial"/>
          <w:b/>
          <w:color w:val="1F497D" w:themeColor="text2"/>
          <w:sz w:val="20"/>
        </w:rPr>
      </w:pPr>
      <w:r w:rsidRPr="00EF09A2">
        <w:rPr>
          <w:rFonts w:ascii="Arial" w:hAnsi="Arial" w:cs="Arial"/>
          <w:b/>
          <w:color w:val="1F497D" w:themeColor="text2"/>
          <w:sz w:val="20"/>
        </w:rPr>
        <w:t>Table 7: Classification by sector , ECHO interventions in Palestine</w:t>
      </w:r>
    </w:p>
    <w:tbl>
      <w:tblPr>
        <w:tblStyle w:val="Grigliatabella"/>
        <w:tblW w:w="4966"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Look w:val="04A0"/>
      </w:tblPr>
      <w:tblGrid>
        <w:gridCol w:w="2235"/>
        <w:gridCol w:w="7552"/>
      </w:tblGrid>
      <w:tr w:rsidR="00A23C41" w:rsidRPr="000D7E7A" w:rsidTr="00A23C41">
        <w:trPr>
          <w:trHeight w:val="171"/>
        </w:trPr>
        <w:tc>
          <w:tcPr>
            <w:tcW w:w="1142" w:type="pct"/>
            <w:shd w:val="clear" w:color="auto" w:fill="1F497D" w:themeFill="text2"/>
            <w:vAlign w:val="center"/>
          </w:tcPr>
          <w:p w:rsidR="00A23C41" w:rsidRPr="000D7E7A" w:rsidRDefault="00A23C41" w:rsidP="00A23C41">
            <w:pPr>
              <w:spacing w:before="0" w:after="0"/>
              <w:jc w:val="left"/>
              <w:rPr>
                <w:rFonts w:ascii="Arial" w:hAnsi="Arial" w:cs="Arial"/>
                <w:b/>
                <w:color w:val="FFFFFF" w:themeColor="background1"/>
                <w:sz w:val="18"/>
                <w:szCs w:val="18"/>
              </w:rPr>
            </w:pPr>
            <w:r w:rsidRPr="000D7E7A">
              <w:rPr>
                <w:rFonts w:ascii="Arial" w:hAnsi="Arial" w:cs="Arial"/>
                <w:b/>
                <w:color w:val="FFFFFF" w:themeColor="background1"/>
                <w:sz w:val="18"/>
                <w:szCs w:val="18"/>
              </w:rPr>
              <w:t xml:space="preserve">Sector </w:t>
            </w:r>
          </w:p>
        </w:tc>
        <w:tc>
          <w:tcPr>
            <w:tcW w:w="3858" w:type="pct"/>
            <w:shd w:val="clear" w:color="auto" w:fill="1F497D" w:themeFill="text2"/>
            <w:vAlign w:val="center"/>
          </w:tcPr>
          <w:p w:rsidR="00A23C41" w:rsidRPr="000D7E7A" w:rsidRDefault="00A23C41" w:rsidP="00A23C41">
            <w:pPr>
              <w:spacing w:before="0" w:after="0"/>
              <w:jc w:val="left"/>
              <w:rPr>
                <w:rFonts w:ascii="Arial" w:hAnsi="Arial" w:cs="Arial"/>
                <w:b/>
                <w:color w:val="FFFFFF" w:themeColor="background1"/>
                <w:sz w:val="18"/>
                <w:szCs w:val="18"/>
              </w:rPr>
            </w:pPr>
            <w:r w:rsidRPr="000D7E7A">
              <w:rPr>
                <w:rFonts w:ascii="Arial" w:hAnsi="Arial" w:cs="Arial"/>
                <w:b/>
                <w:color w:val="FFFFFF" w:themeColor="background1"/>
                <w:sz w:val="18"/>
                <w:szCs w:val="18"/>
              </w:rPr>
              <w:t>Description</w:t>
            </w:r>
          </w:p>
        </w:tc>
      </w:tr>
      <w:tr w:rsidR="00A23C41" w:rsidRPr="000D7E7A" w:rsidTr="00A23C41">
        <w:trPr>
          <w:trHeight w:val="319"/>
        </w:trPr>
        <w:tc>
          <w:tcPr>
            <w:tcW w:w="1142" w:type="pct"/>
            <w:shd w:val="clear" w:color="auto" w:fill="DBE5F1" w:themeFill="accent1" w:themeFillTint="33"/>
            <w:vAlign w:val="center"/>
          </w:tcPr>
          <w:p w:rsidR="00A23C41" w:rsidRPr="000D7E7A" w:rsidRDefault="00A23C41" w:rsidP="00A23C41">
            <w:pPr>
              <w:spacing w:before="0" w:after="0"/>
              <w:jc w:val="left"/>
              <w:rPr>
                <w:rFonts w:ascii="Arial" w:hAnsi="Arial" w:cs="Arial"/>
                <w:b/>
                <w:color w:val="000000"/>
                <w:sz w:val="18"/>
                <w:szCs w:val="18"/>
              </w:rPr>
            </w:pPr>
            <w:r w:rsidRPr="000D7E7A">
              <w:rPr>
                <w:rFonts w:ascii="Arial" w:hAnsi="Arial" w:cs="Arial"/>
                <w:b/>
                <w:color w:val="000000"/>
                <w:sz w:val="18"/>
                <w:szCs w:val="18"/>
              </w:rPr>
              <w:t>Children</w:t>
            </w:r>
          </w:p>
        </w:tc>
        <w:tc>
          <w:tcPr>
            <w:tcW w:w="3858" w:type="pct"/>
            <w:vAlign w:val="center"/>
          </w:tcPr>
          <w:p w:rsidR="00A23C41" w:rsidRPr="000D7E7A" w:rsidRDefault="00A23C41" w:rsidP="00A23C41">
            <w:pPr>
              <w:spacing w:before="0" w:after="0"/>
              <w:jc w:val="left"/>
              <w:rPr>
                <w:rFonts w:ascii="Arial" w:hAnsi="Arial" w:cs="Arial"/>
                <w:sz w:val="18"/>
                <w:szCs w:val="18"/>
              </w:rPr>
            </w:pPr>
            <w:r w:rsidRPr="000D7E7A">
              <w:rPr>
                <w:rFonts w:ascii="Arial" w:hAnsi="Arial" w:cs="Arial"/>
                <w:sz w:val="18"/>
                <w:szCs w:val="18"/>
              </w:rPr>
              <w:t>Emergency assistance to children: psychosocial support, post trauma rehabilitation</w:t>
            </w:r>
          </w:p>
        </w:tc>
      </w:tr>
      <w:tr w:rsidR="00A23C41" w:rsidRPr="000D7E7A" w:rsidTr="00A23C41">
        <w:trPr>
          <w:trHeight w:val="319"/>
        </w:trPr>
        <w:tc>
          <w:tcPr>
            <w:tcW w:w="1142" w:type="pct"/>
            <w:shd w:val="clear" w:color="auto" w:fill="DBE5F1" w:themeFill="accent1" w:themeFillTint="33"/>
            <w:vAlign w:val="center"/>
          </w:tcPr>
          <w:p w:rsidR="00A23C41" w:rsidRPr="000D7E7A" w:rsidRDefault="00A23C41" w:rsidP="00A23C41">
            <w:pPr>
              <w:spacing w:before="0" w:after="0"/>
              <w:jc w:val="left"/>
              <w:rPr>
                <w:rFonts w:ascii="Arial" w:hAnsi="Arial" w:cs="Arial"/>
                <w:b/>
                <w:color w:val="000000"/>
                <w:sz w:val="18"/>
                <w:szCs w:val="18"/>
              </w:rPr>
            </w:pPr>
            <w:r w:rsidRPr="000D7E7A">
              <w:rPr>
                <w:rFonts w:ascii="Arial" w:hAnsi="Arial" w:cs="Arial"/>
                <w:b/>
                <w:color w:val="000000"/>
                <w:sz w:val="18"/>
                <w:szCs w:val="18"/>
              </w:rPr>
              <w:t>Health</w:t>
            </w:r>
          </w:p>
        </w:tc>
        <w:tc>
          <w:tcPr>
            <w:tcW w:w="3858" w:type="pct"/>
            <w:vAlign w:val="center"/>
          </w:tcPr>
          <w:p w:rsidR="00A23C41" w:rsidRPr="000D7E7A" w:rsidRDefault="00A23C41" w:rsidP="00A23C41">
            <w:pPr>
              <w:spacing w:before="0" w:after="0"/>
              <w:jc w:val="left"/>
              <w:rPr>
                <w:rFonts w:ascii="Arial" w:hAnsi="Arial" w:cs="Arial"/>
                <w:sz w:val="18"/>
                <w:szCs w:val="18"/>
              </w:rPr>
            </w:pPr>
            <w:r w:rsidRPr="000D7E7A">
              <w:rPr>
                <w:rFonts w:ascii="Arial" w:hAnsi="Arial" w:cs="Arial"/>
                <w:sz w:val="18"/>
                <w:szCs w:val="18"/>
              </w:rPr>
              <w:t xml:space="preserve">Health, psychosocial support and rehabilitation services </w:t>
            </w:r>
          </w:p>
        </w:tc>
      </w:tr>
      <w:tr w:rsidR="00A23C41" w:rsidRPr="000D7E7A" w:rsidTr="00A23C41">
        <w:trPr>
          <w:trHeight w:val="319"/>
        </w:trPr>
        <w:tc>
          <w:tcPr>
            <w:tcW w:w="1142" w:type="pct"/>
            <w:shd w:val="clear" w:color="auto" w:fill="DBE5F1" w:themeFill="accent1" w:themeFillTint="33"/>
            <w:vAlign w:val="center"/>
          </w:tcPr>
          <w:p w:rsidR="00A23C41" w:rsidRPr="000D7E7A" w:rsidRDefault="00A23C41" w:rsidP="00A23C41">
            <w:pPr>
              <w:spacing w:before="0" w:after="0"/>
              <w:jc w:val="left"/>
              <w:rPr>
                <w:rFonts w:ascii="Arial" w:hAnsi="Arial" w:cs="Arial"/>
                <w:b/>
                <w:color w:val="000000"/>
                <w:sz w:val="18"/>
                <w:szCs w:val="18"/>
              </w:rPr>
            </w:pPr>
            <w:r w:rsidRPr="000D7E7A">
              <w:rPr>
                <w:rFonts w:ascii="Arial" w:hAnsi="Arial" w:cs="Arial"/>
                <w:b/>
                <w:color w:val="000000"/>
                <w:sz w:val="18"/>
                <w:szCs w:val="18"/>
              </w:rPr>
              <w:t>Food</w:t>
            </w:r>
          </w:p>
        </w:tc>
        <w:tc>
          <w:tcPr>
            <w:tcW w:w="3858" w:type="pct"/>
            <w:vAlign w:val="center"/>
          </w:tcPr>
          <w:p w:rsidR="00A23C41" w:rsidRPr="000D7E7A" w:rsidRDefault="00A23C41" w:rsidP="00A23C41">
            <w:pPr>
              <w:spacing w:before="0" w:after="0"/>
              <w:jc w:val="left"/>
              <w:rPr>
                <w:rFonts w:ascii="Arial" w:hAnsi="Arial" w:cs="Arial"/>
                <w:sz w:val="18"/>
                <w:szCs w:val="18"/>
              </w:rPr>
            </w:pPr>
            <w:r w:rsidRPr="000D7E7A">
              <w:rPr>
                <w:rFonts w:ascii="Arial" w:hAnsi="Arial" w:cs="Arial"/>
                <w:sz w:val="18"/>
                <w:szCs w:val="18"/>
              </w:rPr>
              <w:t>Food security assistance</w:t>
            </w:r>
          </w:p>
        </w:tc>
      </w:tr>
      <w:tr w:rsidR="00A23C41" w:rsidRPr="000D7E7A" w:rsidTr="00A23C41">
        <w:trPr>
          <w:trHeight w:val="319"/>
        </w:trPr>
        <w:tc>
          <w:tcPr>
            <w:tcW w:w="1142" w:type="pct"/>
            <w:shd w:val="clear" w:color="auto" w:fill="DBE5F1" w:themeFill="accent1" w:themeFillTint="33"/>
            <w:vAlign w:val="center"/>
          </w:tcPr>
          <w:p w:rsidR="00A23C41" w:rsidRPr="000D7E7A" w:rsidRDefault="00A23C41" w:rsidP="00A23C41">
            <w:pPr>
              <w:spacing w:before="0" w:after="0"/>
              <w:jc w:val="left"/>
              <w:rPr>
                <w:rFonts w:ascii="Arial" w:hAnsi="Arial" w:cs="Arial"/>
                <w:b/>
                <w:color w:val="000000"/>
                <w:sz w:val="18"/>
                <w:szCs w:val="18"/>
              </w:rPr>
            </w:pPr>
            <w:r w:rsidRPr="000D7E7A">
              <w:rPr>
                <w:rFonts w:ascii="Arial" w:hAnsi="Arial" w:cs="Arial"/>
                <w:b/>
                <w:color w:val="000000"/>
                <w:sz w:val="18"/>
                <w:szCs w:val="18"/>
              </w:rPr>
              <w:t>Water &amp; sanitation</w:t>
            </w:r>
          </w:p>
        </w:tc>
        <w:tc>
          <w:tcPr>
            <w:tcW w:w="3858" w:type="pct"/>
            <w:vAlign w:val="center"/>
          </w:tcPr>
          <w:p w:rsidR="00A23C41" w:rsidRPr="000D7E7A" w:rsidRDefault="00A23C41" w:rsidP="00A23C41">
            <w:pPr>
              <w:spacing w:before="0" w:after="0"/>
              <w:jc w:val="left"/>
              <w:rPr>
                <w:rFonts w:ascii="Arial" w:hAnsi="Arial" w:cs="Arial"/>
                <w:sz w:val="18"/>
                <w:szCs w:val="18"/>
              </w:rPr>
            </w:pPr>
            <w:r w:rsidRPr="000D7E7A">
              <w:rPr>
                <w:rFonts w:ascii="Arial" w:hAnsi="Arial" w:cs="Arial"/>
                <w:sz w:val="18"/>
                <w:szCs w:val="18"/>
              </w:rPr>
              <w:t>Emergency Water Assistance</w:t>
            </w:r>
          </w:p>
        </w:tc>
      </w:tr>
      <w:tr w:rsidR="00A23C41" w:rsidRPr="000D7E7A" w:rsidTr="00A23C41">
        <w:trPr>
          <w:trHeight w:val="319"/>
        </w:trPr>
        <w:tc>
          <w:tcPr>
            <w:tcW w:w="1142" w:type="pct"/>
            <w:shd w:val="clear" w:color="auto" w:fill="DBE5F1" w:themeFill="accent1" w:themeFillTint="33"/>
            <w:vAlign w:val="center"/>
          </w:tcPr>
          <w:p w:rsidR="00A23C41" w:rsidRPr="000D7E7A" w:rsidRDefault="00A23C41" w:rsidP="00A23C41">
            <w:pPr>
              <w:spacing w:before="0" w:after="0"/>
              <w:jc w:val="left"/>
              <w:rPr>
                <w:rFonts w:ascii="Arial" w:hAnsi="Arial" w:cs="Arial"/>
                <w:b/>
                <w:color w:val="000000"/>
                <w:sz w:val="18"/>
                <w:szCs w:val="18"/>
              </w:rPr>
            </w:pPr>
            <w:r w:rsidRPr="000D7E7A">
              <w:rPr>
                <w:rFonts w:ascii="Arial" w:hAnsi="Arial" w:cs="Arial"/>
                <w:b/>
                <w:color w:val="000000"/>
                <w:sz w:val="18"/>
                <w:szCs w:val="18"/>
              </w:rPr>
              <w:t>Social Protection</w:t>
            </w:r>
          </w:p>
        </w:tc>
        <w:tc>
          <w:tcPr>
            <w:tcW w:w="3858" w:type="pct"/>
            <w:vAlign w:val="center"/>
          </w:tcPr>
          <w:p w:rsidR="00A23C41" w:rsidRPr="000D7E7A" w:rsidRDefault="00A23C41" w:rsidP="00A23C41">
            <w:pPr>
              <w:spacing w:before="0" w:after="0"/>
              <w:jc w:val="left"/>
              <w:rPr>
                <w:rFonts w:ascii="Arial" w:hAnsi="Arial" w:cs="Arial"/>
                <w:sz w:val="18"/>
                <w:szCs w:val="18"/>
              </w:rPr>
            </w:pPr>
            <w:r w:rsidRPr="000D7E7A">
              <w:rPr>
                <w:rFonts w:ascii="Arial" w:hAnsi="Arial" w:cs="Arial"/>
                <w:sz w:val="18"/>
                <w:szCs w:val="18"/>
              </w:rPr>
              <w:t>Emergency shelter, Economic relief, Emergency livelihoods recovery, Protection activities, Support to livestock-based livelihoods</w:t>
            </w:r>
          </w:p>
        </w:tc>
      </w:tr>
      <w:tr w:rsidR="00A23C41" w:rsidRPr="000D7E7A" w:rsidTr="00A23C41">
        <w:trPr>
          <w:trHeight w:val="319"/>
        </w:trPr>
        <w:tc>
          <w:tcPr>
            <w:tcW w:w="1142" w:type="pct"/>
            <w:shd w:val="clear" w:color="auto" w:fill="DBE5F1" w:themeFill="accent1" w:themeFillTint="33"/>
            <w:vAlign w:val="center"/>
          </w:tcPr>
          <w:p w:rsidR="00A23C41" w:rsidRPr="000D7E7A" w:rsidRDefault="00A23C41" w:rsidP="00A23C41">
            <w:pPr>
              <w:spacing w:before="0" w:after="0"/>
              <w:jc w:val="left"/>
              <w:rPr>
                <w:rFonts w:ascii="Arial" w:hAnsi="Arial" w:cs="Arial"/>
                <w:b/>
                <w:color w:val="000000"/>
                <w:sz w:val="18"/>
                <w:szCs w:val="18"/>
              </w:rPr>
            </w:pPr>
            <w:r w:rsidRPr="000D7E7A">
              <w:rPr>
                <w:rFonts w:ascii="Arial" w:hAnsi="Arial" w:cs="Arial"/>
                <w:b/>
                <w:color w:val="000000"/>
                <w:sz w:val="18"/>
                <w:szCs w:val="18"/>
              </w:rPr>
              <w:t>Technical Assistance</w:t>
            </w:r>
          </w:p>
        </w:tc>
        <w:tc>
          <w:tcPr>
            <w:tcW w:w="3858" w:type="pct"/>
            <w:vAlign w:val="center"/>
          </w:tcPr>
          <w:p w:rsidR="00A23C41" w:rsidRPr="000D7E7A" w:rsidRDefault="00A23C41" w:rsidP="00A23C41">
            <w:pPr>
              <w:spacing w:before="0" w:after="0"/>
              <w:jc w:val="left"/>
              <w:rPr>
                <w:rFonts w:ascii="Arial" w:hAnsi="Arial" w:cs="Arial"/>
                <w:sz w:val="18"/>
                <w:szCs w:val="18"/>
              </w:rPr>
            </w:pPr>
            <w:r w:rsidRPr="000D7E7A">
              <w:rPr>
                <w:rFonts w:ascii="Arial" w:hAnsi="Arial" w:cs="Arial"/>
                <w:sz w:val="18"/>
                <w:szCs w:val="18"/>
              </w:rPr>
              <w:t>Information, Counseling and legal assistance, Humanitarian coordination</w:t>
            </w:r>
          </w:p>
        </w:tc>
      </w:tr>
      <w:tr w:rsidR="00A23C41" w:rsidRPr="000D7E7A" w:rsidTr="00A23C41">
        <w:trPr>
          <w:trHeight w:val="319"/>
        </w:trPr>
        <w:tc>
          <w:tcPr>
            <w:tcW w:w="1142" w:type="pct"/>
            <w:shd w:val="clear" w:color="auto" w:fill="DBE5F1" w:themeFill="accent1" w:themeFillTint="33"/>
            <w:vAlign w:val="center"/>
          </w:tcPr>
          <w:p w:rsidR="00A23C41" w:rsidRPr="000D7E7A" w:rsidRDefault="00A23C41" w:rsidP="00A23C41">
            <w:pPr>
              <w:spacing w:before="0" w:after="0"/>
              <w:jc w:val="left"/>
              <w:rPr>
                <w:rFonts w:ascii="Arial" w:hAnsi="Arial" w:cs="Arial"/>
                <w:b/>
                <w:color w:val="000000"/>
                <w:sz w:val="18"/>
                <w:szCs w:val="18"/>
              </w:rPr>
            </w:pPr>
            <w:r w:rsidRPr="000D7E7A">
              <w:rPr>
                <w:rFonts w:ascii="Arial" w:hAnsi="Arial" w:cs="Arial"/>
                <w:b/>
                <w:color w:val="000000"/>
                <w:sz w:val="18"/>
                <w:szCs w:val="18"/>
              </w:rPr>
              <w:t>Na</w:t>
            </w:r>
          </w:p>
        </w:tc>
        <w:tc>
          <w:tcPr>
            <w:tcW w:w="3858" w:type="pct"/>
            <w:vAlign w:val="center"/>
          </w:tcPr>
          <w:p w:rsidR="00A23C41" w:rsidRPr="000D7E7A" w:rsidRDefault="00A23C41" w:rsidP="00A23C41">
            <w:pPr>
              <w:spacing w:before="0" w:after="0"/>
              <w:jc w:val="left"/>
              <w:rPr>
                <w:rFonts w:ascii="Arial" w:hAnsi="Arial" w:cs="Arial"/>
                <w:sz w:val="18"/>
                <w:szCs w:val="18"/>
              </w:rPr>
            </w:pPr>
            <w:r w:rsidRPr="000D7E7A">
              <w:rPr>
                <w:rFonts w:ascii="Arial" w:hAnsi="Arial" w:cs="Arial"/>
                <w:sz w:val="18"/>
                <w:szCs w:val="18"/>
              </w:rPr>
              <w:t>Title not available</w:t>
            </w:r>
          </w:p>
        </w:tc>
      </w:tr>
    </w:tbl>
    <w:p w:rsidR="00A23C41" w:rsidRPr="00EF09A2" w:rsidRDefault="00A23C41" w:rsidP="00A23C41">
      <w:pPr>
        <w:spacing w:before="0" w:after="0"/>
        <w:rPr>
          <w:rFonts w:ascii="Arial" w:hAnsi="Arial" w:cs="Arial"/>
          <w:b/>
          <w:color w:val="1F497D" w:themeColor="text2"/>
          <w:sz w:val="20"/>
        </w:rPr>
      </w:pPr>
    </w:p>
    <w:tbl>
      <w:tblPr>
        <w:tblStyle w:val="Grigliatabella"/>
        <w:tblpPr w:leftFromText="141" w:rightFromText="141" w:vertAnchor="text" w:horzAnchor="margin" w:tblpY="270"/>
        <w:tblW w:w="4966"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Look w:val="04A0"/>
      </w:tblPr>
      <w:tblGrid>
        <w:gridCol w:w="2235"/>
        <w:gridCol w:w="7552"/>
      </w:tblGrid>
      <w:tr w:rsidR="00A23C41" w:rsidRPr="000D7E7A" w:rsidTr="00A23C41">
        <w:tc>
          <w:tcPr>
            <w:tcW w:w="1142" w:type="pct"/>
            <w:shd w:val="clear" w:color="auto" w:fill="1F497D" w:themeFill="text2"/>
          </w:tcPr>
          <w:p w:rsidR="00A23C41" w:rsidRPr="000D7E7A" w:rsidRDefault="00A23C41" w:rsidP="00A23C41">
            <w:pPr>
              <w:spacing w:before="0" w:after="0"/>
              <w:rPr>
                <w:rFonts w:ascii="Arial" w:hAnsi="Arial" w:cs="Arial"/>
                <w:b/>
                <w:color w:val="FFFFFF" w:themeColor="background1"/>
                <w:sz w:val="18"/>
                <w:szCs w:val="18"/>
              </w:rPr>
            </w:pPr>
            <w:r w:rsidRPr="000D7E7A">
              <w:rPr>
                <w:rFonts w:ascii="Arial" w:hAnsi="Arial" w:cs="Arial"/>
                <w:b/>
                <w:color w:val="FFFFFF" w:themeColor="background1"/>
                <w:sz w:val="18"/>
                <w:szCs w:val="18"/>
              </w:rPr>
              <w:t>Type of Partner</w:t>
            </w:r>
          </w:p>
        </w:tc>
        <w:tc>
          <w:tcPr>
            <w:tcW w:w="3858" w:type="pct"/>
            <w:shd w:val="clear" w:color="auto" w:fill="1F497D" w:themeFill="text2"/>
          </w:tcPr>
          <w:p w:rsidR="00A23C41" w:rsidRPr="000D7E7A" w:rsidRDefault="00A23C41" w:rsidP="00A23C41">
            <w:pPr>
              <w:spacing w:before="0" w:after="0"/>
              <w:rPr>
                <w:rFonts w:ascii="Arial" w:hAnsi="Arial" w:cs="Arial"/>
                <w:b/>
                <w:color w:val="FFFFFF" w:themeColor="background1"/>
                <w:sz w:val="18"/>
                <w:szCs w:val="18"/>
              </w:rPr>
            </w:pPr>
            <w:r w:rsidRPr="000D7E7A">
              <w:rPr>
                <w:rFonts w:ascii="Arial" w:hAnsi="Arial" w:cs="Arial"/>
                <w:b/>
                <w:color w:val="FFFFFF" w:themeColor="background1"/>
                <w:sz w:val="18"/>
                <w:szCs w:val="18"/>
              </w:rPr>
              <w:t>Description</w:t>
            </w:r>
          </w:p>
        </w:tc>
      </w:tr>
      <w:tr w:rsidR="00A23C41" w:rsidRPr="000D7E7A" w:rsidTr="00A23C41">
        <w:tc>
          <w:tcPr>
            <w:tcW w:w="1142" w:type="pct"/>
            <w:shd w:val="clear" w:color="auto" w:fill="DBE5F1" w:themeFill="accent1" w:themeFillTint="33"/>
          </w:tcPr>
          <w:p w:rsidR="00A23C41" w:rsidRPr="000D7E7A" w:rsidRDefault="00A23C41" w:rsidP="00A23C41">
            <w:pPr>
              <w:spacing w:before="0" w:after="0"/>
              <w:rPr>
                <w:rFonts w:ascii="Arial" w:hAnsi="Arial" w:cs="Arial"/>
                <w:b/>
                <w:sz w:val="18"/>
                <w:szCs w:val="18"/>
              </w:rPr>
            </w:pPr>
            <w:r w:rsidRPr="000D7E7A">
              <w:rPr>
                <w:rFonts w:ascii="Arial" w:hAnsi="Arial" w:cs="Arial"/>
                <w:b/>
                <w:sz w:val="18"/>
                <w:szCs w:val="18"/>
              </w:rPr>
              <w:t>NGO/Associations</w:t>
            </w:r>
          </w:p>
        </w:tc>
        <w:tc>
          <w:tcPr>
            <w:tcW w:w="3858" w:type="pct"/>
          </w:tcPr>
          <w:p w:rsidR="00A23C41" w:rsidRPr="000D7E7A" w:rsidRDefault="00A23C41" w:rsidP="00A23C41">
            <w:pPr>
              <w:spacing w:before="0" w:after="0"/>
              <w:rPr>
                <w:rFonts w:ascii="Arial" w:hAnsi="Arial" w:cs="Arial"/>
                <w:sz w:val="18"/>
                <w:szCs w:val="18"/>
              </w:rPr>
            </w:pPr>
            <w:r w:rsidRPr="000D7E7A">
              <w:rPr>
                <w:rFonts w:ascii="Arial" w:hAnsi="Arial" w:cs="Arial"/>
                <w:sz w:val="18"/>
                <w:szCs w:val="18"/>
              </w:rPr>
              <w:t xml:space="preserve">ICRC, OXFAM, Save the Children, Terre Des </w:t>
            </w:r>
            <w:proofErr w:type="spellStart"/>
            <w:r w:rsidRPr="000D7E7A">
              <w:rPr>
                <w:rFonts w:ascii="Arial" w:hAnsi="Arial" w:cs="Arial"/>
                <w:sz w:val="18"/>
                <w:szCs w:val="18"/>
              </w:rPr>
              <w:t>Hommes</w:t>
            </w:r>
            <w:proofErr w:type="spellEnd"/>
            <w:r w:rsidRPr="000D7E7A">
              <w:rPr>
                <w:rFonts w:ascii="Arial" w:hAnsi="Arial" w:cs="Arial"/>
                <w:sz w:val="18"/>
                <w:szCs w:val="18"/>
              </w:rPr>
              <w:t xml:space="preserve"> etc</w:t>
            </w:r>
          </w:p>
        </w:tc>
      </w:tr>
      <w:tr w:rsidR="00A23C41" w:rsidRPr="000D7E7A" w:rsidTr="00A23C41">
        <w:tc>
          <w:tcPr>
            <w:tcW w:w="1142" w:type="pct"/>
            <w:shd w:val="clear" w:color="auto" w:fill="DBE5F1" w:themeFill="accent1" w:themeFillTint="33"/>
          </w:tcPr>
          <w:p w:rsidR="00A23C41" w:rsidRPr="000D7E7A" w:rsidRDefault="00A23C41" w:rsidP="00A23C41">
            <w:pPr>
              <w:spacing w:before="0" w:after="0"/>
              <w:rPr>
                <w:rFonts w:ascii="Arial" w:hAnsi="Arial" w:cs="Arial"/>
                <w:b/>
                <w:sz w:val="18"/>
                <w:szCs w:val="18"/>
              </w:rPr>
            </w:pPr>
            <w:r w:rsidRPr="000D7E7A">
              <w:rPr>
                <w:rFonts w:ascii="Arial" w:hAnsi="Arial" w:cs="Arial"/>
                <w:b/>
                <w:sz w:val="18"/>
                <w:szCs w:val="18"/>
              </w:rPr>
              <w:t>UN</w:t>
            </w:r>
          </w:p>
        </w:tc>
        <w:tc>
          <w:tcPr>
            <w:tcW w:w="3858" w:type="pct"/>
          </w:tcPr>
          <w:p w:rsidR="00A23C41" w:rsidRPr="000D7E7A" w:rsidRDefault="00A23C41" w:rsidP="00A23C41">
            <w:pPr>
              <w:spacing w:before="0" w:after="0"/>
              <w:rPr>
                <w:rFonts w:ascii="Arial" w:hAnsi="Arial" w:cs="Arial"/>
                <w:sz w:val="18"/>
                <w:szCs w:val="18"/>
              </w:rPr>
            </w:pPr>
            <w:r w:rsidRPr="000D7E7A">
              <w:rPr>
                <w:rFonts w:ascii="Arial" w:hAnsi="Arial" w:cs="Arial"/>
                <w:sz w:val="18"/>
                <w:szCs w:val="18"/>
              </w:rPr>
              <w:t>UNRWA; UNICEF; UNOPS; OCHA etc</w:t>
            </w:r>
          </w:p>
        </w:tc>
      </w:tr>
    </w:tbl>
    <w:p w:rsidR="00A23C41" w:rsidRPr="00EF09A2" w:rsidRDefault="00A23C41" w:rsidP="00A23C41">
      <w:pPr>
        <w:spacing w:before="0" w:after="0"/>
        <w:rPr>
          <w:rFonts w:ascii="Arial" w:hAnsi="Arial" w:cs="Arial"/>
          <w:sz w:val="24"/>
          <w:szCs w:val="24"/>
        </w:rPr>
      </w:pPr>
      <w:r w:rsidRPr="00EF09A2">
        <w:rPr>
          <w:rFonts w:ascii="Arial" w:hAnsi="Arial" w:cs="Arial"/>
          <w:b/>
          <w:color w:val="1F497D" w:themeColor="text2"/>
          <w:sz w:val="20"/>
        </w:rPr>
        <w:t>Table 8: Classification by type of partner , ECHO interventions in Palestine</w:t>
      </w:r>
    </w:p>
    <w:p w:rsidR="00A23C41" w:rsidRPr="00EF09A2" w:rsidRDefault="00A23C41" w:rsidP="00A23C41">
      <w:pPr>
        <w:rPr>
          <w:rFonts w:ascii="Arial" w:hAnsi="Arial" w:cs="Arial"/>
          <w:sz w:val="24"/>
          <w:szCs w:val="24"/>
        </w:rPr>
      </w:pPr>
    </w:p>
    <w:p w:rsidR="00A23C41" w:rsidRDefault="00A23C41" w:rsidP="00A23C41">
      <w:pPr>
        <w:spacing w:before="0" w:after="0"/>
        <w:rPr>
          <w:rFonts w:ascii="Arial" w:hAnsi="Arial" w:cs="Arial"/>
          <w:b/>
          <w:smallCaps/>
          <w:color w:val="1F497D" w:themeColor="text2"/>
          <w:sz w:val="24"/>
          <w:szCs w:val="24"/>
          <w:lang w:val="en-GB"/>
        </w:rPr>
      </w:pPr>
      <w:r w:rsidRPr="00EF09A2">
        <w:rPr>
          <w:rFonts w:ascii="Arial" w:hAnsi="Arial" w:cs="Arial"/>
          <w:b/>
          <w:smallCaps/>
          <w:color w:val="1F497D" w:themeColor="text2"/>
          <w:sz w:val="24"/>
          <w:szCs w:val="24"/>
          <w:lang w:val="en-GB"/>
        </w:rPr>
        <w:t xml:space="preserve">Step </w:t>
      </w:r>
      <w:r>
        <w:rPr>
          <w:rFonts w:ascii="Arial" w:hAnsi="Arial" w:cs="Arial"/>
          <w:b/>
          <w:smallCaps/>
          <w:color w:val="1F497D" w:themeColor="text2"/>
          <w:sz w:val="24"/>
          <w:szCs w:val="24"/>
          <w:lang w:val="en-GB"/>
        </w:rPr>
        <w:t>6: Update</w:t>
      </w:r>
    </w:p>
    <w:p w:rsidR="00A23C41" w:rsidRPr="00B30DDF" w:rsidRDefault="00A23C41" w:rsidP="00A23C41">
      <w:pPr>
        <w:spacing w:before="0" w:after="0"/>
        <w:rPr>
          <w:rFonts w:ascii="Arial" w:hAnsi="Arial" w:cs="Arial"/>
          <w:bCs/>
          <w:iCs/>
          <w:sz w:val="22"/>
          <w:szCs w:val="22"/>
          <w:lang w:val="en-GB"/>
        </w:rPr>
      </w:pPr>
      <w:r w:rsidRPr="00B30DDF">
        <w:rPr>
          <w:rFonts w:ascii="Arial" w:hAnsi="Arial" w:cs="Arial"/>
          <w:bCs/>
          <w:iCs/>
          <w:sz w:val="22"/>
          <w:szCs w:val="22"/>
          <w:lang w:val="en-GB"/>
        </w:rPr>
        <w:t>The in</w:t>
      </w:r>
      <w:r>
        <w:rPr>
          <w:rFonts w:ascii="Arial" w:hAnsi="Arial" w:cs="Arial"/>
          <w:bCs/>
          <w:iCs/>
          <w:sz w:val="22"/>
          <w:szCs w:val="22"/>
          <w:lang w:val="en-GB"/>
        </w:rPr>
        <w:t xml:space="preserve">ventory has been updated with data related to interventions committed on 2013. Data for DEVCO interventions have been retrieved from </w:t>
      </w:r>
      <w:proofErr w:type="spellStart"/>
      <w:r>
        <w:rPr>
          <w:rFonts w:ascii="Arial" w:hAnsi="Arial" w:cs="Arial"/>
          <w:bCs/>
          <w:iCs/>
          <w:sz w:val="22"/>
          <w:szCs w:val="22"/>
          <w:lang w:val="en-GB"/>
        </w:rPr>
        <w:t>Datawarehouse</w:t>
      </w:r>
      <w:proofErr w:type="spellEnd"/>
      <w:r>
        <w:rPr>
          <w:rFonts w:ascii="Arial" w:hAnsi="Arial" w:cs="Arial"/>
          <w:bCs/>
          <w:iCs/>
          <w:sz w:val="22"/>
          <w:szCs w:val="22"/>
          <w:lang w:val="en-GB"/>
        </w:rPr>
        <w:t xml:space="preserve"> on January 2014 whereas data for the inventory of ECHO have been received through email by the relevant unit. </w:t>
      </w:r>
    </w:p>
    <w:p w:rsidR="00A23C41" w:rsidRPr="00830358" w:rsidRDefault="00A23C41" w:rsidP="00A23C41">
      <w:pPr>
        <w:spacing w:before="0" w:after="0"/>
        <w:rPr>
          <w:rFonts w:ascii="Arial" w:hAnsi="Arial" w:cs="Arial"/>
          <w:sz w:val="22"/>
          <w:szCs w:val="22"/>
        </w:rPr>
      </w:pPr>
    </w:p>
    <w:p w:rsidR="00A23C41" w:rsidRPr="00830358" w:rsidRDefault="00A23C41" w:rsidP="00A23C41">
      <w:pPr>
        <w:spacing w:before="0" w:after="0"/>
        <w:rPr>
          <w:rFonts w:ascii="Arial" w:hAnsi="Arial" w:cs="Arial"/>
          <w:sz w:val="22"/>
          <w:szCs w:val="22"/>
        </w:rPr>
      </w:pPr>
      <w:r>
        <w:rPr>
          <w:rFonts w:ascii="Arial" w:hAnsi="Arial" w:cs="Arial"/>
          <w:sz w:val="22"/>
          <w:szCs w:val="22"/>
        </w:rPr>
        <w:t xml:space="preserve">The new data have been classified following the same steps described above and then included in the analysis. </w:t>
      </w:r>
    </w:p>
    <w:p w:rsidR="00A23C41" w:rsidRPr="00830358" w:rsidRDefault="00A23C41" w:rsidP="00A23C41">
      <w:pPr>
        <w:spacing w:before="0" w:after="0"/>
        <w:rPr>
          <w:rFonts w:ascii="Arial" w:hAnsi="Arial" w:cs="Arial"/>
          <w:sz w:val="22"/>
          <w:szCs w:val="22"/>
        </w:rPr>
      </w:pPr>
    </w:p>
    <w:p w:rsidR="00A23C41" w:rsidRPr="00EF09A2" w:rsidRDefault="00A23C41" w:rsidP="00A23C41">
      <w:pPr>
        <w:spacing w:before="0" w:after="0"/>
        <w:rPr>
          <w:rFonts w:ascii="Arial" w:hAnsi="Arial" w:cs="Arial"/>
          <w:b/>
          <w:smallCaps/>
          <w:color w:val="1F497D" w:themeColor="text2"/>
          <w:sz w:val="24"/>
          <w:szCs w:val="24"/>
          <w:lang w:val="en-GB"/>
        </w:rPr>
      </w:pPr>
      <w:r w:rsidRPr="00EF09A2">
        <w:rPr>
          <w:rFonts w:ascii="Arial" w:hAnsi="Arial" w:cs="Arial"/>
          <w:b/>
          <w:smallCaps/>
          <w:color w:val="1F497D" w:themeColor="text2"/>
          <w:sz w:val="24"/>
          <w:szCs w:val="24"/>
          <w:lang w:val="en-GB"/>
        </w:rPr>
        <w:t>Challenges and Presentation</w:t>
      </w:r>
    </w:p>
    <w:p w:rsidR="00A23C41" w:rsidRPr="00B30DDF" w:rsidRDefault="00A23C41" w:rsidP="00A23C41">
      <w:pPr>
        <w:tabs>
          <w:tab w:val="left" w:pos="1440"/>
        </w:tabs>
        <w:spacing w:before="0" w:after="0"/>
        <w:rPr>
          <w:rFonts w:ascii="Arial" w:hAnsi="Arial" w:cs="Arial"/>
          <w:bCs/>
          <w:iCs/>
          <w:sz w:val="22"/>
          <w:szCs w:val="22"/>
          <w:lang w:val="en-GB"/>
        </w:rPr>
      </w:pPr>
      <w:r w:rsidRPr="00B30DDF">
        <w:rPr>
          <w:rFonts w:ascii="Arial" w:hAnsi="Arial" w:cs="Arial"/>
          <w:bCs/>
          <w:iCs/>
          <w:sz w:val="22"/>
          <w:szCs w:val="22"/>
          <w:lang w:val="en-GB"/>
        </w:rPr>
        <w:t xml:space="preserve">The analysis of the inventory has presented a number of challenges related to the validation process due to the absence of strategic documents in which </w:t>
      </w:r>
      <w:proofErr w:type="spellStart"/>
      <w:r w:rsidRPr="00B30DDF">
        <w:rPr>
          <w:rFonts w:ascii="Arial" w:hAnsi="Arial" w:cs="Arial"/>
          <w:bCs/>
          <w:iCs/>
          <w:sz w:val="22"/>
          <w:szCs w:val="22"/>
          <w:lang w:val="en-GB"/>
        </w:rPr>
        <w:t>sectoral</w:t>
      </w:r>
      <w:proofErr w:type="spellEnd"/>
      <w:r w:rsidRPr="00B30DDF">
        <w:rPr>
          <w:rFonts w:ascii="Arial" w:hAnsi="Arial" w:cs="Arial"/>
          <w:bCs/>
          <w:iCs/>
          <w:sz w:val="22"/>
          <w:szCs w:val="22"/>
          <w:lang w:val="en-GB"/>
        </w:rPr>
        <w:t xml:space="preserve"> priorities and specific amounts should be specified. Indeed, the </w:t>
      </w:r>
      <w:proofErr w:type="spellStart"/>
      <w:r w:rsidRPr="00B30DDF">
        <w:rPr>
          <w:rFonts w:ascii="Arial" w:hAnsi="Arial" w:cs="Arial"/>
          <w:bCs/>
          <w:iCs/>
          <w:sz w:val="22"/>
          <w:szCs w:val="22"/>
          <w:lang w:val="en-GB"/>
        </w:rPr>
        <w:t>sectoral</w:t>
      </w:r>
      <w:proofErr w:type="spellEnd"/>
      <w:r w:rsidRPr="00B30DDF">
        <w:rPr>
          <w:rFonts w:ascii="Arial" w:hAnsi="Arial" w:cs="Arial"/>
          <w:bCs/>
          <w:iCs/>
          <w:sz w:val="22"/>
          <w:szCs w:val="22"/>
          <w:lang w:val="en-GB"/>
        </w:rPr>
        <w:t xml:space="preserve"> classification carried out for the reconstruction of </w:t>
      </w:r>
      <w:r w:rsidRPr="00B30DDF">
        <w:rPr>
          <w:rFonts w:ascii="Arial" w:hAnsi="Arial" w:cs="Arial"/>
          <w:bCs/>
          <w:iCs/>
          <w:sz w:val="22"/>
          <w:szCs w:val="22"/>
          <w:lang w:val="en-GB"/>
        </w:rPr>
        <w:lastRenderedPageBreak/>
        <w:t>the inventory is based on the Action Plans 2005/2013 and Action Fiches, which however do not present a breakdown of costs involved in the interventions from a strategic point of view.</w:t>
      </w:r>
    </w:p>
    <w:p w:rsidR="00A23C41" w:rsidRPr="00B30DDF" w:rsidRDefault="00A23C41" w:rsidP="00A23C41">
      <w:pPr>
        <w:tabs>
          <w:tab w:val="left" w:pos="1440"/>
        </w:tabs>
        <w:spacing w:before="0" w:after="0"/>
        <w:rPr>
          <w:rFonts w:ascii="Arial" w:hAnsi="Arial" w:cs="Arial"/>
          <w:bCs/>
          <w:iCs/>
          <w:sz w:val="22"/>
          <w:szCs w:val="22"/>
          <w:lang w:val="en-GB"/>
        </w:rPr>
      </w:pPr>
    </w:p>
    <w:p w:rsidR="00A23C41" w:rsidRPr="00B30DDF" w:rsidRDefault="00A23C41" w:rsidP="00A23C41">
      <w:pPr>
        <w:tabs>
          <w:tab w:val="left" w:pos="1440"/>
        </w:tabs>
        <w:spacing w:before="0" w:after="0"/>
        <w:rPr>
          <w:rFonts w:ascii="Arial" w:hAnsi="Arial" w:cs="Arial"/>
          <w:bCs/>
          <w:iCs/>
          <w:sz w:val="22"/>
          <w:szCs w:val="22"/>
          <w:lang w:val="en-GB"/>
        </w:rPr>
      </w:pPr>
      <w:r w:rsidRPr="00B30DDF">
        <w:rPr>
          <w:rFonts w:ascii="Arial" w:hAnsi="Arial" w:cs="Arial"/>
          <w:bCs/>
          <w:iCs/>
          <w:sz w:val="22"/>
          <w:szCs w:val="22"/>
          <w:lang w:val="en-GB"/>
        </w:rPr>
        <w:t xml:space="preserve">Overall, the overview and analysis of the inventory allows to provide information with regard to the </w:t>
      </w:r>
      <w:proofErr w:type="spellStart"/>
      <w:r w:rsidRPr="00B30DDF">
        <w:rPr>
          <w:rFonts w:ascii="Arial" w:hAnsi="Arial" w:cs="Arial"/>
          <w:bCs/>
          <w:iCs/>
          <w:sz w:val="22"/>
          <w:szCs w:val="22"/>
          <w:lang w:val="en-GB"/>
        </w:rPr>
        <w:t>sectoral</w:t>
      </w:r>
      <w:proofErr w:type="spellEnd"/>
      <w:r w:rsidRPr="00B30DDF">
        <w:rPr>
          <w:rFonts w:ascii="Arial" w:hAnsi="Arial" w:cs="Arial"/>
          <w:bCs/>
          <w:iCs/>
          <w:sz w:val="22"/>
          <w:szCs w:val="22"/>
          <w:lang w:val="en-GB"/>
        </w:rPr>
        <w:t xml:space="preserve"> distribution of interventions. In addition, the </w:t>
      </w:r>
      <w:proofErr w:type="spellStart"/>
      <w:r w:rsidRPr="00B30DDF">
        <w:rPr>
          <w:rFonts w:ascii="Arial" w:hAnsi="Arial" w:cs="Arial"/>
          <w:bCs/>
          <w:iCs/>
          <w:sz w:val="22"/>
          <w:szCs w:val="22"/>
          <w:lang w:val="en-GB"/>
        </w:rPr>
        <w:t>sectoral</w:t>
      </w:r>
      <w:proofErr w:type="spellEnd"/>
      <w:r w:rsidRPr="00B30DDF">
        <w:rPr>
          <w:rFonts w:ascii="Arial" w:hAnsi="Arial" w:cs="Arial"/>
          <w:bCs/>
          <w:iCs/>
          <w:sz w:val="22"/>
          <w:szCs w:val="22"/>
          <w:lang w:val="en-GB"/>
        </w:rPr>
        <w:t xml:space="preserve"> distribution of interventions will also be presented with a view to provide information that will feed into the analysis of issues of relevance and coherence, and into the process leading to the selection of country-case studies. </w:t>
      </w:r>
    </w:p>
    <w:p w:rsidR="00A23C41" w:rsidRPr="00B30DDF" w:rsidRDefault="00A23C41" w:rsidP="00A23C41">
      <w:pPr>
        <w:spacing w:before="0" w:after="0"/>
        <w:rPr>
          <w:rFonts w:ascii="Arial" w:hAnsi="Arial" w:cs="Arial"/>
          <w:sz w:val="22"/>
          <w:szCs w:val="22"/>
          <w:lang w:val="en-GB"/>
        </w:rPr>
      </w:pPr>
    </w:p>
    <w:p w:rsidR="00A23C41" w:rsidRPr="00B30DDF" w:rsidRDefault="00A23C41" w:rsidP="00A23C41">
      <w:pPr>
        <w:spacing w:before="0" w:after="0"/>
        <w:rPr>
          <w:rFonts w:ascii="Arial" w:hAnsi="Arial" w:cs="Arial"/>
          <w:sz w:val="22"/>
          <w:szCs w:val="22"/>
          <w:lang w:val="en-GB"/>
        </w:rPr>
      </w:pPr>
      <w:r w:rsidRPr="00B30DDF">
        <w:rPr>
          <w:rFonts w:ascii="Arial" w:hAnsi="Arial" w:cs="Arial"/>
          <w:sz w:val="22"/>
          <w:szCs w:val="22"/>
          <w:lang w:val="en-GB"/>
        </w:rPr>
        <w:t xml:space="preserve">The evaluation team has built the inventory on a number of selected fields available in the </w:t>
      </w:r>
      <w:proofErr w:type="spellStart"/>
      <w:r w:rsidRPr="00B30DDF">
        <w:rPr>
          <w:rFonts w:ascii="Arial" w:hAnsi="Arial" w:cs="Arial"/>
          <w:sz w:val="22"/>
          <w:szCs w:val="22"/>
          <w:lang w:val="en-GB"/>
        </w:rPr>
        <w:t>Datawarehouse</w:t>
      </w:r>
      <w:proofErr w:type="spellEnd"/>
      <w:r w:rsidRPr="00B30DDF">
        <w:rPr>
          <w:rFonts w:ascii="Arial" w:hAnsi="Arial" w:cs="Arial"/>
          <w:sz w:val="22"/>
          <w:szCs w:val="22"/>
          <w:lang w:val="en-GB"/>
        </w:rPr>
        <w:t xml:space="preserve"> database</w:t>
      </w:r>
      <w:r w:rsidRPr="00B30DDF">
        <w:rPr>
          <w:rFonts w:ascii="Arial" w:hAnsi="Arial" w:cs="Arial"/>
          <w:sz w:val="22"/>
          <w:szCs w:val="22"/>
          <w:vertAlign w:val="superscript"/>
          <w:lang w:val="en-GB"/>
        </w:rPr>
        <w:footnoteReference w:id="67"/>
      </w:r>
      <w:r w:rsidRPr="00B30DDF">
        <w:rPr>
          <w:rFonts w:ascii="Arial" w:hAnsi="Arial" w:cs="Arial"/>
          <w:sz w:val="22"/>
          <w:szCs w:val="22"/>
          <w:lang w:val="en-GB"/>
        </w:rPr>
        <w:t xml:space="preserve">. The fields are the following: </w:t>
      </w:r>
    </w:p>
    <w:p w:rsidR="00A23C41" w:rsidRPr="00B30DDF" w:rsidRDefault="00A23C41" w:rsidP="00A23C41">
      <w:pPr>
        <w:pStyle w:val="Paragrafoelenco"/>
        <w:spacing w:before="0" w:after="0"/>
        <w:ind w:left="0"/>
        <w:rPr>
          <w:rFonts w:ascii="Arial" w:hAnsi="Arial" w:cs="Arial"/>
          <w:sz w:val="22"/>
          <w:szCs w:val="22"/>
          <w:lang w:val="en-GB"/>
        </w:rPr>
      </w:pPr>
    </w:p>
    <w:p w:rsidR="00A23C41" w:rsidRPr="00B30DDF" w:rsidRDefault="00A23C41" w:rsidP="00A23C41">
      <w:pPr>
        <w:pStyle w:val="Paragrafoelenco"/>
        <w:numPr>
          <w:ilvl w:val="0"/>
          <w:numId w:val="7"/>
        </w:numPr>
        <w:spacing w:before="0" w:after="0"/>
        <w:contextualSpacing w:val="0"/>
        <w:rPr>
          <w:rFonts w:ascii="Arial" w:hAnsi="Arial" w:cs="Arial"/>
          <w:sz w:val="22"/>
          <w:szCs w:val="22"/>
          <w:lang w:val="en-GB"/>
        </w:rPr>
      </w:pPr>
      <w:r w:rsidRPr="00B30DDF">
        <w:rPr>
          <w:rFonts w:ascii="Arial" w:hAnsi="Arial" w:cs="Arial"/>
          <w:sz w:val="22"/>
          <w:szCs w:val="22"/>
          <w:lang w:val="en-GB"/>
        </w:rPr>
        <w:t>Contract Year: from 2008 to 2012</w:t>
      </w:r>
    </w:p>
    <w:p w:rsidR="00A23C41" w:rsidRPr="00B30DDF" w:rsidRDefault="00A23C41" w:rsidP="00A23C41">
      <w:pPr>
        <w:pStyle w:val="Paragrafoelenco"/>
        <w:numPr>
          <w:ilvl w:val="0"/>
          <w:numId w:val="7"/>
        </w:numPr>
        <w:spacing w:before="0" w:after="0"/>
        <w:contextualSpacing w:val="0"/>
        <w:rPr>
          <w:rFonts w:ascii="Arial" w:hAnsi="Arial" w:cs="Arial"/>
          <w:sz w:val="22"/>
          <w:szCs w:val="22"/>
          <w:lang w:val="en-GB"/>
        </w:rPr>
      </w:pPr>
      <w:r w:rsidRPr="00B30DDF">
        <w:rPr>
          <w:rFonts w:ascii="Arial" w:hAnsi="Arial" w:cs="Arial"/>
          <w:sz w:val="22"/>
          <w:szCs w:val="22"/>
          <w:lang w:val="en-GB"/>
        </w:rPr>
        <w:t>Funding instrument: DCI (ENV, FOOD, GENRE, HUM, NSA, NSAPVD, EIDHR), ENPI, IFS-RRM. MED</w:t>
      </w:r>
    </w:p>
    <w:p w:rsidR="00A23C41" w:rsidRPr="00B30DDF" w:rsidRDefault="00A23C41" w:rsidP="00A23C41">
      <w:pPr>
        <w:pStyle w:val="Paragrafoelenco"/>
        <w:numPr>
          <w:ilvl w:val="0"/>
          <w:numId w:val="7"/>
        </w:numPr>
        <w:spacing w:before="0" w:after="0"/>
        <w:contextualSpacing w:val="0"/>
        <w:rPr>
          <w:rFonts w:ascii="Arial" w:hAnsi="Arial" w:cs="Arial"/>
          <w:sz w:val="22"/>
          <w:szCs w:val="22"/>
          <w:lang w:val="en-GB"/>
        </w:rPr>
      </w:pPr>
      <w:r w:rsidRPr="00B30DDF">
        <w:rPr>
          <w:rFonts w:ascii="Arial" w:hAnsi="Arial" w:cs="Arial"/>
          <w:sz w:val="22"/>
          <w:szCs w:val="22"/>
          <w:lang w:val="en-GB"/>
        </w:rPr>
        <w:t>Contract Reference Number;</w:t>
      </w:r>
    </w:p>
    <w:p w:rsidR="00A23C41" w:rsidRPr="00B30DDF" w:rsidRDefault="00A23C41" w:rsidP="00A23C41">
      <w:pPr>
        <w:pStyle w:val="Paragrafoelenco"/>
        <w:numPr>
          <w:ilvl w:val="0"/>
          <w:numId w:val="7"/>
        </w:numPr>
        <w:spacing w:before="0" w:after="0"/>
        <w:contextualSpacing w:val="0"/>
        <w:rPr>
          <w:rFonts w:ascii="Arial" w:hAnsi="Arial" w:cs="Arial"/>
          <w:sz w:val="22"/>
          <w:szCs w:val="22"/>
          <w:lang w:val="en-GB"/>
        </w:rPr>
      </w:pPr>
      <w:r w:rsidRPr="00B30DDF">
        <w:rPr>
          <w:rFonts w:ascii="Arial" w:hAnsi="Arial" w:cs="Arial"/>
          <w:sz w:val="22"/>
          <w:szCs w:val="22"/>
          <w:lang w:val="en-GB"/>
        </w:rPr>
        <w:t>Status: Ongoing (O) / Closed (C)/ Provisional (P);</w:t>
      </w:r>
    </w:p>
    <w:p w:rsidR="00A23C41" w:rsidRPr="00B30DDF" w:rsidRDefault="00A23C41" w:rsidP="00A23C41">
      <w:pPr>
        <w:pStyle w:val="Paragrafoelenco"/>
        <w:numPr>
          <w:ilvl w:val="0"/>
          <w:numId w:val="7"/>
        </w:numPr>
        <w:spacing w:before="0" w:after="0"/>
        <w:contextualSpacing w:val="0"/>
        <w:rPr>
          <w:rFonts w:ascii="Arial" w:hAnsi="Arial" w:cs="Arial"/>
          <w:sz w:val="22"/>
          <w:szCs w:val="22"/>
          <w:lang w:val="en-GB"/>
        </w:rPr>
      </w:pPr>
      <w:r w:rsidRPr="00B30DDF">
        <w:rPr>
          <w:rFonts w:ascii="Arial" w:hAnsi="Arial" w:cs="Arial"/>
          <w:sz w:val="22"/>
          <w:szCs w:val="22"/>
          <w:lang w:val="en-GB"/>
        </w:rPr>
        <w:t>Title;</w:t>
      </w:r>
    </w:p>
    <w:p w:rsidR="00A23C41" w:rsidRPr="00B30DDF" w:rsidRDefault="00A23C41" w:rsidP="00A23C41">
      <w:pPr>
        <w:pStyle w:val="Paragrafoelenco"/>
        <w:numPr>
          <w:ilvl w:val="0"/>
          <w:numId w:val="7"/>
        </w:numPr>
        <w:spacing w:before="0" w:after="0"/>
        <w:contextualSpacing w:val="0"/>
        <w:rPr>
          <w:rFonts w:ascii="Arial" w:hAnsi="Arial" w:cs="Arial"/>
          <w:sz w:val="22"/>
          <w:szCs w:val="22"/>
          <w:lang w:val="en-GB"/>
        </w:rPr>
      </w:pPr>
      <w:r w:rsidRPr="00B30DDF">
        <w:rPr>
          <w:rFonts w:ascii="Arial" w:hAnsi="Arial" w:cs="Arial"/>
          <w:sz w:val="22"/>
          <w:szCs w:val="22"/>
          <w:lang w:val="en-GB"/>
        </w:rPr>
        <w:t>Zone Benefiting from the action; (only for regional level contracts);</w:t>
      </w:r>
    </w:p>
    <w:p w:rsidR="00A23C41" w:rsidRPr="00B30DDF" w:rsidRDefault="005D72C2" w:rsidP="00A23C41">
      <w:pPr>
        <w:pStyle w:val="Paragrafoelenco"/>
        <w:numPr>
          <w:ilvl w:val="0"/>
          <w:numId w:val="7"/>
        </w:numPr>
        <w:spacing w:before="0" w:after="0"/>
        <w:contextualSpacing w:val="0"/>
        <w:rPr>
          <w:rFonts w:ascii="Arial" w:hAnsi="Arial" w:cs="Arial"/>
          <w:sz w:val="22"/>
          <w:szCs w:val="22"/>
          <w:lang w:val="en-GB"/>
        </w:rPr>
      </w:pPr>
      <w:r>
        <w:rPr>
          <w:rFonts w:ascii="Arial" w:hAnsi="Arial" w:cs="Arial"/>
          <w:sz w:val="22"/>
          <w:szCs w:val="22"/>
          <w:lang w:val="en-GB"/>
        </w:rPr>
        <w:t>Committed</w:t>
      </w:r>
      <w:r w:rsidR="00A23C41" w:rsidRPr="00B30DDF">
        <w:rPr>
          <w:rFonts w:ascii="Arial" w:hAnsi="Arial" w:cs="Arial"/>
          <w:sz w:val="22"/>
          <w:szCs w:val="22"/>
          <w:lang w:val="en-GB"/>
        </w:rPr>
        <w:t xml:space="preserve"> Amount;</w:t>
      </w:r>
    </w:p>
    <w:p w:rsidR="00A23C41" w:rsidRPr="00B30DDF" w:rsidRDefault="005D72C2" w:rsidP="00A23C41">
      <w:pPr>
        <w:pStyle w:val="Paragrafoelenco"/>
        <w:numPr>
          <w:ilvl w:val="0"/>
          <w:numId w:val="7"/>
        </w:numPr>
        <w:spacing w:before="0" w:after="0"/>
        <w:contextualSpacing w:val="0"/>
        <w:rPr>
          <w:rFonts w:ascii="Arial" w:hAnsi="Arial" w:cs="Arial"/>
          <w:sz w:val="22"/>
          <w:szCs w:val="22"/>
          <w:lang w:val="en-GB"/>
        </w:rPr>
      </w:pPr>
      <w:r>
        <w:rPr>
          <w:rFonts w:ascii="Arial" w:hAnsi="Arial" w:cs="Arial"/>
          <w:sz w:val="22"/>
          <w:szCs w:val="22"/>
          <w:lang w:val="en-GB"/>
        </w:rPr>
        <w:t>Disbursed</w:t>
      </w:r>
      <w:r w:rsidR="00A23C41" w:rsidRPr="00B30DDF">
        <w:rPr>
          <w:rFonts w:ascii="Arial" w:hAnsi="Arial" w:cs="Arial"/>
          <w:sz w:val="22"/>
          <w:szCs w:val="22"/>
          <w:lang w:val="en-GB"/>
        </w:rPr>
        <w:t xml:space="preserve"> Amount;</w:t>
      </w:r>
    </w:p>
    <w:p w:rsidR="00A23C41" w:rsidRPr="00B30DDF" w:rsidRDefault="00A23C41" w:rsidP="00A23C41">
      <w:pPr>
        <w:pStyle w:val="Paragrafoelenco"/>
        <w:numPr>
          <w:ilvl w:val="0"/>
          <w:numId w:val="7"/>
        </w:numPr>
        <w:spacing w:before="0" w:after="0"/>
        <w:contextualSpacing w:val="0"/>
        <w:rPr>
          <w:rFonts w:ascii="Arial" w:hAnsi="Arial" w:cs="Arial"/>
          <w:sz w:val="22"/>
          <w:szCs w:val="22"/>
          <w:lang w:val="en-GB"/>
        </w:rPr>
      </w:pPr>
      <w:r w:rsidRPr="00B30DDF">
        <w:rPr>
          <w:rFonts w:ascii="Arial" w:hAnsi="Arial" w:cs="Arial"/>
          <w:sz w:val="22"/>
          <w:szCs w:val="22"/>
          <w:lang w:val="en-GB"/>
        </w:rPr>
        <w:t xml:space="preserve">Starting date of activities </w:t>
      </w:r>
    </w:p>
    <w:p w:rsidR="00A23C41" w:rsidRPr="00B30DDF" w:rsidRDefault="00A23C41" w:rsidP="00A23C41">
      <w:pPr>
        <w:pStyle w:val="Paragrafoelenco"/>
        <w:numPr>
          <w:ilvl w:val="0"/>
          <w:numId w:val="7"/>
        </w:numPr>
        <w:spacing w:before="0" w:after="0"/>
        <w:contextualSpacing w:val="0"/>
        <w:rPr>
          <w:rFonts w:ascii="Arial" w:hAnsi="Arial" w:cs="Arial"/>
          <w:sz w:val="22"/>
          <w:szCs w:val="22"/>
          <w:lang w:val="en-GB"/>
        </w:rPr>
      </w:pPr>
      <w:r w:rsidRPr="00B30DDF">
        <w:rPr>
          <w:rFonts w:ascii="Arial" w:hAnsi="Arial" w:cs="Arial"/>
          <w:sz w:val="22"/>
          <w:szCs w:val="22"/>
          <w:lang w:val="en-GB"/>
        </w:rPr>
        <w:t>End date of activities</w:t>
      </w:r>
    </w:p>
    <w:p w:rsidR="00A23C41" w:rsidRPr="00B30DDF" w:rsidRDefault="00A23C41" w:rsidP="00A23C41">
      <w:pPr>
        <w:pStyle w:val="Paragrafoelenco"/>
        <w:numPr>
          <w:ilvl w:val="0"/>
          <w:numId w:val="7"/>
        </w:numPr>
        <w:spacing w:before="0" w:after="0"/>
        <w:contextualSpacing w:val="0"/>
        <w:rPr>
          <w:rFonts w:ascii="Arial" w:hAnsi="Arial" w:cs="Arial"/>
          <w:sz w:val="22"/>
          <w:szCs w:val="22"/>
          <w:lang w:val="en-GB"/>
        </w:rPr>
      </w:pPr>
      <w:r w:rsidRPr="00B30DDF">
        <w:rPr>
          <w:rFonts w:ascii="Arial" w:hAnsi="Arial" w:cs="Arial"/>
          <w:sz w:val="22"/>
          <w:szCs w:val="22"/>
          <w:lang w:val="en-GB"/>
        </w:rPr>
        <w:t>Nature</w:t>
      </w:r>
    </w:p>
    <w:p w:rsidR="00A23C41" w:rsidRPr="00B30DDF" w:rsidRDefault="00A23C41" w:rsidP="00A23C41">
      <w:pPr>
        <w:pStyle w:val="Paragrafoelenco"/>
        <w:numPr>
          <w:ilvl w:val="0"/>
          <w:numId w:val="7"/>
        </w:numPr>
        <w:spacing w:before="0" w:after="0"/>
        <w:contextualSpacing w:val="0"/>
        <w:rPr>
          <w:rFonts w:ascii="Arial" w:hAnsi="Arial" w:cs="Arial"/>
          <w:sz w:val="22"/>
          <w:szCs w:val="22"/>
          <w:lang w:val="en-GB"/>
        </w:rPr>
      </w:pPr>
      <w:r w:rsidRPr="00B30DDF">
        <w:rPr>
          <w:rFonts w:ascii="Arial" w:hAnsi="Arial" w:cs="Arial"/>
          <w:sz w:val="22"/>
          <w:szCs w:val="22"/>
          <w:lang w:val="en-GB"/>
        </w:rPr>
        <w:t>Type of Aid</w:t>
      </w:r>
    </w:p>
    <w:p w:rsidR="00A23C41" w:rsidRPr="00B30DDF" w:rsidRDefault="00A23C41" w:rsidP="00A23C41">
      <w:pPr>
        <w:pStyle w:val="Paragrafoelenco"/>
        <w:spacing w:before="0" w:after="0"/>
        <w:ind w:left="0"/>
        <w:rPr>
          <w:rFonts w:ascii="Arial" w:hAnsi="Arial" w:cs="Arial"/>
          <w:sz w:val="22"/>
          <w:szCs w:val="22"/>
          <w:lang w:val="en-GB"/>
        </w:rPr>
      </w:pPr>
    </w:p>
    <w:p w:rsidR="00A23C41" w:rsidRPr="00B30DDF" w:rsidRDefault="00A23C41" w:rsidP="00A23C41">
      <w:pPr>
        <w:pStyle w:val="Paragrafoelenco"/>
        <w:spacing w:before="0" w:after="0"/>
        <w:ind w:left="0"/>
        <w:rPr>
          <w:rFonts w:ascii="Arial" w:hAnsi="Arial" w:cs="Arial"/>
          <w:sz w:val="22"/>
          <w:szCs w:val="22"/>
          <w:lang w:val="en-GB"/>
        </w:rPr>
      </w:pPr>
      <w:r w:rsidRPr="00B30DDF">
        <w:rPr>
          <w:rFonts w:ascii="Arial" w:hAnsi="Arial" w:cs="Arial"/>
          <w:sz w:val="22"/>
          <w:szCs w:val="22"/>
          <w:lang w:val="en-GB"/>
        </w:rPr>
        <w:t xml:space="preserve">A number of </w:t>
      </w:r>
      <w:r w:rsidRPr="00B30DDF">
        <w:rPr>
          <w:rFonts w:ascii="Arial" w:hAnsi="Arial" w:cs="Arial"/>
          <w:b/>
          <w:sz w:val="22"/>
          <w:szCs w:val="22"/>
          <w:lang w:val="en-GB"/>
        </w:rPr>
        <w:t>additional fields</w:t>
      </w:r>
      <w:r w:rsidRPr="00B30DDF">
        <w:rPr>
          <w:rFonts w:ascii="Arial" w:hAnsi="Arial" w:cs="Arial"/>
          <w:sz w:val="22"/>
          <w:szCs w:val="22"/>
          <w:lang w:val="en-GB"/>
        </w:rPr>
        <w:t xml:space="preserve"> were then added by the evaluation team in order to increase responsiveness of the inventory to the needs of the evaluation, with particular attention to the </w:t>
      </w:r>
      <w:proofErr w:type="spellStart"/>
      <w:r w:rsidRPr="00B30DDF">
        <w:rPr>
          <w:rFonts w:ascii="Arial" w:hAnsi="Arial" w:cs="Arial"/>
          <w:sz w:val="22"/>
          <w:szCs w:val="22"/>
          <w:lang w:val="en-GB"/>
        </w:rPr>
        <w:t>sectoral</w:t>
      </w:r>
      <w:proofErr w:type="spellEnd"/>
      <w:r w:rsidRPr="00B30DDF">
        <w:rPr>
          <w:rFonts w:ascii="Arial" w:hAnsi="Arial" w:cs="Arial"/>
          <w:sz w:val="22"/>
          <w:szCs w:val="22"/>
          <w:lang w:val="en-GB"/>
        </w:rPr>
        <w:t xml:space="preserve"> classification of the interventions and to the main tracks to which they belong. Accordingly, these fields are: </w:t>
      </w:r>
    </w:p>
    <w:p w:rsidR="00A23C41" w:rsidRPr="00B30DDF" w:rsidRDefault="00A23C41" w:rsidP="00A23C41">
      <w:pPr>
        <w:pStyle w:val="Paragrafoelenco"/>
        <w:spacing w:before="0" w:after="0"/>
        <w:ind w:left="0"/>
        <w:rPr>
          <w:rFonts w:ascii="Arial" w:hAnsi="Arial" w:cs="Arial"/>
          <w:sz w:val="22"/>
          <w:szCs w:val="22"/>
          <w:lang w:val="en-GB"/>
        </w:rPr>
      </w:pPr>
    </w:p>
    <w:p w:rsidR="00A23C41" w:rsidRPr="00B30DDF" w:rsidRDefault="00A23C41" w:rsidP="00A23C41">
      <w:pPr>
        <w:pStyle w:val="Paragrafoelenco"/>
        <w:numPr>
          <w:ilvl w:val="0"/>
          <w:numId w:val="7"/>
        </w:numPr>
        <w:spacing w:before="0" w:after="0"/>
        <w:contextualSpacing w:val="0"/>
        <w:rPr>
          <w:rFonts w:ascii="Arial" w:hAnsi="Arial" w:cs="Arial"/>
          <w:sz w:val="22"/>
          <w:szCs w:val="22"/>
          <w:lang w:val="en-GB"/>
        </w:rPr>
      </w:pPr>
      <w:r w:rsidRPr="00B30DDF">
        <w:rPr>
          <w:rFonts w:ascii="Arial" w:hAnsi="Arial" w:cs="Arial"/>
          <w:sz w:val="22"/>
          <w:szCs w:val="22"/>
          <w:lang w:val="en-GB"/>
        </w:rPr>
        <w:t>Sector as presented in table 2;</w:t>
      </w:r>
    </w:p>
    <w:p w:rsidR="00A23C41" w:rsidRPr="00B30DDF" w:rsidRDefault="00A23C41" w:rsidP="00A23C41">
      <w:pPr>
        <w:pStyle w:val="Paragrafoelenco"/>
        <w:numPr>
          <w:ilvl w:val="0"/>
          <w:numId w:val="7"/>
        </w:numPr>
        <w:spacing w:before="0" w:after="0"/>
        <w:contextualSpacing w:val="0"/>
        <w:rPr>
          <w:rFonts w:ascii="Arial" w:hAnsi="Arial" w:cs="Arial"/>
          <w:sz w:val="22"/>
          <w:szCs w:val="22"/>
          <w:lang w:val="en-GB"/>
        </w:rPr>
      </w:pPr>
      <w:r w:rsidRPr="00B30DDF">
        <w:rPr>
          <w:rFonts w:ascii="Arial" w:hAnsi="Arial" w:cs="Arial"/>
          <w:sz w:val="22"/>
          <w:szCs w:val="22"/>
          <w:lang w:val="en-GB"/>
        </w:rPr>
        <w:t>Sub-sector as presented in table 2;</w:t>
      </w:r>
    </w:p>
    <w:p w:rsidR="00A23C41" w:rsidRPr="00B30DDF" w:rsidRDefault="00A23C41" w:rsidP="00A23C41">
      <w:pPr>
        <w:pStyle w:val="Paragrafoelenco"/>
        <w:numPr>
          <w:ilvl w:val="0"/>
          <w:numId w:val="7"/>
        </w:numPr>
        <w:spacing w:before="0" w:after="0"/>
        <w:contextualSpacing w:val="0"/>
        <w:rPr>
          <w:rFonts w:ascii="Arial" w:hAnsi="Arial" w:cs="Arial"/>
          <w:sz w:val="22"/>
          <w:szCs w:val="22"/>
          <w:lang w:val="en-GB"/>
        </w:rPr>
      </w:pPr>
      <w:r w:rsidRPr="00B30DDF">
        <w:rPr>
          <w:rFonts w:ascii="Arial" w:hAnsi="Arial" w:cs="Arial"/>
          <w:sz w:val="22"/>
          <w:szCs w:val="22"/>
          <w:lang w:val="en-GB"/>
        </w:rPr>
        <w:t>Mechanism as presented in table 1;</w:t>
      </w:r>
    </w:p>
    <w:p w:rsidR="00A23C41" w:rsidRPr="00B30DDF" w:rsidRDefault="00A23C41" w:rsidP="00A23C41">
      <w:pPr>
        <w:pStyle w:val="Paragrafoelenco"/>
        <w:numPr>
          <w:ilvl w:val="0"/>
          <w:numId w:val="7"/>
        </w:numPr>
        <w:spacing w:before="0" w:after="0"/>
        <w:contextualSpacing w:val="0"/>
        <w:rPr>
          <w:rFonts w:ascii="Arial" w:hAnsi="Arial" w:cs="Arial"/>
          <w:sz w:val="22"/>
          <w:szCs w:val="22"/>
          <w:lang w:val="en-GB"/>
        </w:rPr>
      </w:pPr>
      <w:r w:rsidRPr="00B30DDF">
        <w:rPr>
          <w:rFonts w:ascii="Arial" w:hAnsi="Arial" w:cs="Arial"/>
          <w:sz w:val="22"/>
          <w:szCs w:val="22"/>
          <w:lang w:val="en-GB"/>
        </w:rPr>
        <w:t>Contracting party</w:t>
      </w:r>
    </w:p>
    <w:p w:rsidR="00A23C41" w:rsidRPr="00B30DDF" w:rsidRDefault="00A23C41" w:rsidP="00A23C41">
      <w:pPr>
        <w:pStyle w:val="Paragrafoelenco"/>
        <w:numPr>
          <w:ilvl w:val="0"/>
          <w:numId w:val="7"/>
        </w:numPr>
        <w:spacing w:before="0" w:after="0"/>
        <w:contextualSpacing w:val="0"/>
        <w:rPr>
          <w:rFonts w:ascii="Arial" w:hAnsi="Arial" w:cs="Arial"/>
          <w:sz w:val="22"/>
          <w:szCs w:val="22"/>
          <w:lang w:val="en-GB"/>
        </w:rPr>
      </w:pPr>
      <w:r w:rsidRPr="00B30DDF">
        <w:rPr>
          <w:rFonts w:ascii="Arial" w:hAnsi="Arial" w:cs="Arial"/>
          <w:sz w:val="22"/>
          <w:szCs w:val="22"/>
          <w:lang w:val="en-GB"/>
        </w:rPr>
        <w:t>Type of cooperation</w:t>
      </w:r>
    </w:p>
    <w:p w:rsidR="00A23C41" w:rsidRPr="00B30DDF" w:rsidRDefault="00A23C41" w:rsidP="00A23C41">
      <w:pPr>
        <w:pStyle w:val="Paragrafoelenco"/>
        <w:numPr>
          <w:ilvl w:val="0"/>
          <w:numId w:val="7"/>
        </w:numPr>
        <w:spacing w:before="0" w:after="0"/>
        <w:contextualSpacing w:val="0"/>
        <w:rPr>
          <w:rFonts w:ascii="Arial" w:hAnsi="Arial" w:cs="Arial"/>
          <w:sz w:val="22"/>
          <w:szCs w:val="22"/>
          <w:lang w:val="en-GB"/>
        </w:rPr>
      </w:pPr>
      <w:r w:rsidRPr="00B30DDF">
        <w:rPr>
          <w:rFonts w:ascii="Arial" w:hAnsi="Arial" w:cs="Arial"/>
          <w:sz w:val="22"/>
          <w:szCs w:val="22"/>
          <w:lang w:val="en-GB"/>
        </w:rPr>
        <w:t xml:space="preserve">Geographic destination </w:t>
      </w:r>
    </w:p>
    <w:p w:rsidR="00A23C41" w:rsidRPr="00B30DDF" w:rsidRDefault="00A23C41" w:rsidP="00A23C41">
      <w:pPr>
        <w:rPr>
          <w:rFonts w:ascii="Arial" w:hAnsi="Arial" w:cs="Arial"/>
          <w:sz w:val="22"/>
          <w:szCs w:val="22"/>
        </w:rPr>
      </w:pPr>
    </w:p>
    <w:p w:rsidR="00A23C41" w:rsidRPr="00EF09A2" w:rsidRDefault="00A23C41" w:rsidP="00A23C41">
      <w:pPr>
        <w:rPr>
          <w:rFonts w:ascii="Arial" w:hAnsi="Arial" w:cs="Arial"/>
        </w:rPr>
        <w:sectPr w:rsidR="00A23C41" w:rsidRPr="00EF09A2" w:rsidSect="00A23C41">
          <w:pgSz w:w="11906" w:h="16838"/>
          <w:pgMar w:top="1417" w:right="1134" w:bottom="1134" w:left="1134" w:header="708" w:footer="708" w:gutter="0"/>
          <w:cols w:space="708"/>
          <w:docGrid w:linePitch="360"/>
        </w:sectPr>
      </w:pPr>
    </w:p>
    <w:p w:rsidR="00A23C41" w:rsidRPr="00A23C41" w:rsidRDefault="00A23C41" w:rsidP="00B54C8F">
      <w:pPr>
        <w:pStyle w:val="Paragrafoelenco"/>
        <w:numPr>
          <w:ilvl w:val="0"/>
          <w:numId w:val="44"/>
        </w:numPr>
        <w:spacing w:before="0" w:after="0"/>
        <w:ind w:hanging="720"/>
        <w:jc w:val="left"/>
        <w:rPr>
          <w:rFonts w:ascii="Arial" w:hAnsi="Arial" w:cs="Arial"/>
          <w:b/>
          <w:color w:val="1F497D" w:themeColor="text2"/>
          <w:sz w:val="24"/>
          <w:szCs w:val="24"/>
        </w:rPr>
      </w:pPr>
      <w:bookmarkStart w:id="77" w:name="_Toc367291878"/>
      <w:r w:rsidRPr="00A23C41">
        <w:rPr>
          <w:rFonts w:ascii="Arial" w:hAnsi="Arial" w:cs="Arial"/>
          <w:b/>
          <w:color w:val="1F497D" w:themeColor="text2"/>
          <w:sz w:val="24"/>
          <w:szCs w:val="24"/>
        </w:rPr>
        <w:lastRenderedPageBreak/>
        <w:t>INVENTORY ANALYSIS</w:t>
      </w:r>
    </w:p>
    <w:p w:rsidR="00A23C41" w:rsidRPr="00EF09A2" w:rsidRDefault="00A23C41" w:rsidP="00A23C41">
      <w:pPr>
        <w:spacing w:before="0" w:after="0"/>
        <w:rPr>
          <w:rFonts w:ascii="Arial" w:hAnsi="Arial" w:cs="Arial"/>
        </w:rPr>
      </w:pPr>
    </w:p>
    <w:p w:rsidR="00A23C41" w:rsidRPr="00EF09A2" w:rsidRDefault="00A23C41" w:rsidP="0013435C">
      <w:pPr>
        <w:spacing w:before="0" w:after="0"/>
        <w:rPr>
          <w:rFonts w:ascii="Arial" w:hAnsi="Arial" w:cs="Arial"/>
          <w:b/>
          <w:caps/>
          <w:color w:val="1F497D" w:themeColor="text2"/>
          <w:sz w:val="24"/>
          <w:szCs w:val="24"/>
        </w:rPr>
      </w:pPr>
      <w:r w:rsidRPr="00EF09A2">
        <w:rPr>
          <w:rFonts w:ascii="Arial" w:hAnsi="Arial" w:cs="Arial"/>
          <w:b/>
          <w:caps/>
          <w:color w:val="1F497D" w:themeColor="text2"/>
          <w:sz w:val="24"/>
          <w:szCs w:val="24"/>
        </w:rPr>
        <w:t xml:space="preserve">2.1 </w:t>
      </w:r>
      <w:r w:rsidRPr="00EF09A2">
        <w:rPr>
          <w:rFonts w:ascii="Arial" w:hAnsi="Arial" w:cs="Arial"/>
          <w:b/>
          <w:caps/>
          <w:color w:val="1F497D" w:themeColor="text2"/>
          <w:sz w:val="24"/>
          <w:szCs w:val="24"/>
        </w:rPr>
        <w:tab/>
      </w:r>
      <w:r w:rsidRPr="00A23C41">
        <w:rPr>
          <w:rFonts w:ascii="Arial" w:hAnsi="Arial" w:cs="Arial"/>
          <w:b/>
          <w:color w:val="1F497D" w:themeColor="text2"/>
          <w:sz w:val="24"/>
          <w:szCs w:val="24"/>
        </w:rPr>
        <w:t>Overall Amounts</w:t>
      </w:r>
      <w:bookmarkEnd w:id="77"/>
      <w:r w:rsidRPr="00A23C41">
        <w:rPr>
          <w:rFonts w:ascii="Arial" w:hAnsi="Arial" w:cs="Arial"/>
          <w:b/>
          <w:color w:val="1F497D" w:themeColor="text2"/>
          <w:sz w:val="24"/>
          <w:szCs w:val="24"/>
        </w:rPr>
        <w:t xml:space="preserve"> - DEVCO and ECHO</w:t>
      </w:r>
    </w:p>
    <w:p w:rsidR="00A23C41" w:rsidRPr="007E794E" w:rsidRDefault="00A23C41" w:rsidP="0013435C">
      <w:pPr>
        <w:spacing w:before="0" w:after="0"/>
        <w:rPr>
          <w:rFonts w:ascii="Arial" w:hAnsi="Arial" w:cs="Arial"/>
          <w:sz w:val="22"/>
          <w:szCs w:val="22"/>
        </w:rPr>
      </w:pPr>
      <w:r w:rsidRPr="007E794E">
        <w:rPr>
          <w:rFonts w:ascii="Arial" w:hAnsi="Arial" w:cs="Arial"/>
          <w:sz w:val="22"/>
          <w:szCs w:val="22"/>
        </w:rPr>
        <w:t>The analysis covers all contracts being implemented during the period January 2008 – December 201</w:t>
      </w:r>
      <w:r>
        <w:rPr>
          <w:rFonts w:ascii="Arial" w:hAnsi="Arial" w:cs="Arial"/>
          <w:sz w:val="22"/>
          <w:szCs w:val="22"/>
        </w:rPr>
        <w:t>3</w:t>
      </w:r>
      <w:r w:rsidRPr="007E794E">
        <w:rPr>
          <w:rFonts w:ascii="Arial" w:hAnsi="Arial" w:cs="Arial"/>
          <w:sz w:val="22"/>
          <w:szCs w:val="22"/>
        </w:rPr>
        <w:t xml:space="preserve"> by DEVCO and ECHO. This section summarizes amounts allocated in Palestine by the EC during the evaluation period (2008-201</w:t>
      </w:r>
      <w:r>
        <w:rPr>
          <w:rFonts w:ascii="Arial" w:hAnsi="Arial" w:cs="Arial"/>
          <w:sz w:val="22"/>
          <w:szCs w:val="22"/>
        </w:rPr>
        <w:t>3</w:t>
      </w:r>
      <w:r w:rsidRPr="007E794E">
        <w:rPr>
          <w:rFonts w:ascii="Arial" w:hAnsi="Arial" w:cs="Arial"/>
          <w:sz w:val="22"/>
          <w:szCs w:val="22"/>
        </w:rPr>
        <w:t xml:space="preserve">); in the subsequent sections details for the DEVCO and ECHO interventions will be provided. </w:t>
      </w:r>
    </w:p>
    <w:p w:rsidR="00A23C41" w:rsidRPr="007E794E" w:rsidRDefault="00A23C41" w:rsidP="0013435C">
      <w:pPr>
        <w:shd w:val="clear" w:color="auto" w:fill="FFFFFF" w:themeFill="background1"/>
        <w:spacing w:before="0" w:after="0"/>
        <w:rPr>
          <w:rFonts w:ascii="Arial" w:hAnsi="Arial" w:cs="Arial"/>
          <w:sz w:val="22"/>
          <w:szCs w:val="22"/>
        </w:rPr>
      </w:pPr>
    </w:p>
    <w:tbl>
      <w:tblPr>
        <w:tblStyle w:val="Grigliatabella"/>
        <w:tblpPr w:leftFromText="141" w:rightFromText="141" w:vertAnchor="text" w:horzAnchor="margin" w:tblpXSpec="center" w:tblpY="1386"/>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587"/>
      </w:tblGrid>
      <w:tr w:rsidR="005D72C2" w:rsidRPr="00EF09A2" w:rsidTr="005D72C2">
        <w:trPr>
          <w:trHeight w:val="2410"/>
        </w:trPr>
        <w:tc>
          <w:tcPr>
            <w:tcW w:w="8859" w:type="dxa"/>
          </w:tcPr>
          <w:p w:rsidR="005D72C2" w:rsidRPr="002A09B4" w:rsidRDefault="005D72C2" w:rsidP="005D72C2">
            <w:pPr>
              <w:pStyle w:val="Didascalia"/>
              <w:framePr w:hSpace="0" w:wrap="auto" w:vAnchor="margin" w:hAnchor="text" w:xAlign="left" w:yAlign="inline"/>
            </w:pPr>
            <w:bookmarkStart w:id="78" w:name="_Toc364076630"/>
            <w:r w:rsidRPr="002A09B4">
              <w:t>Table 1</w:t>
            </w:r>
            <w:r>
              <w:t>0</w:t>
            </w:r>
            <w:r w:rsidRPr="002A09B4">
              <w:t>:  DEVCO and ECHO Amount to PS (2008-201</w:t>
            </w:r>
            <w:r>
              <w:t>3</w:t>
            </w:r>
            <w:r w:rsidRPr="002A09B4">
              <w:t>) and Country data</w:t>
            </w:r>
            <w:bookmarkEnd w:id="78"/>
          </w:p>
          <w:tbl>
            <w:tblPr>
              <w:tblW w:w="9341" w:type="dxa"/>
              <w:tblCellMar>
                <w:left w:w="70" w:type="dxa"/>
                <w:right w:w="70" w:type="dxa"/>
              </w:tblCellMar>
              <w:tblLook w:val="04A0"/>
            </w:tblPr>
            <w:tblGrid>
              <w:gridCol w:w="4238"/>
              <w:gridCol w:w="1417"/>
              <w:gridCol w:w="1843"/>
              <w:gridCol w:w="1843"/>
            </w:tblGrid>
            <w:tr w:rsidR="005D72C2" w:rsidRPr="0024556C" w:rsidTr="009D7E2C">
              <w:trPr>
                <w:trHeight w:val="270"/>
              </w:trPr>
              <w:tc>
                <w:tcPr>
                  <w:tcW w:w="4238" w:type="dxa"/>
                  <w:tcBorders>
                    <w:top w:val="nil"/>
                    <w:left w:val="single" w:sz="12" w:space="0" w:color="17375D"/>
                    <w:bottom w:val="nil"/>
                    <w:right w:val="single" w:sz="12" w:space="0" w:color="17375D"/>
                  </w:tcBorders>
                  <w:shd w:val="clear" w:color="auto" w:fill="1F497D" w:themeFill="text2"/>
                  <w:noWrap/>
                  <w:vAlign w:val="center"/>
                  <w:hideMark/>
                </w:tcPr>
                <w:p w:rsidR="005D72C2" w:rsidRPr="0024556C" w:rsidRDefault="005D72C2" w:rsidP="005D72C2">
                  <w:pPr>
                    <w:framePr w:hSpace="141" w:wrap="around" w:vAnchor="text" w:hAnchor="margin" w:xAlign="center" w:y="1386"/>
                    <w:spacing w:before="0" w:after="0"/>
                    <w:suppressOverlap/>
                    <w:jc w:val="center"/>
                    <w:rPr>
                      <w:rFonts w:ascii="Arial" w:hAnsi="Arial" w:cs="Arial"/>
                      <w:b/>
                      <w:bCs/>
                      <w:sz w:val="18"/>
                      <w:szCs w:val="18"/>
                    </w:rPr>
                  </w:pPr>
                </w:p>
              </w:tc>
              <w:tc>
                <w:tcPr>
                  <w:tcW w:w="1417" w:type="dxa"/>
                  <w:tcBorders>
                    <w:top w:val="nil"/>
                    <w:left w:val="nil"/>
                    <w:bottom w:val="nil"/>
                    <w:right w:val="single" w:sz="12" w:space="0" w:color="17375D"/>
                  </w:tcBorders>
                  <w:shd w:val="clear" w:color="auto" w:fill="1F497D" w:themeFill="text2"/>
                  <w:noWrap/>
                  <w:vAlign w:val="center"/>
                  <w:hideMark/>
                </w:tcPr>
                <w:p w:rsidR="005D72C2" w:rsidRPr="0024556C" w:rsidRDefault="005D72C2" w:rsidP="005D72C2">
                  <w:pPr>
                    <w:framePr w:hSpace="141" w:wrap="around" w:vAnchor="text" w:hAnchor="margin" w:xAlign="center" w:y="1386"/>
                    <w:spacing w:before="0" w:after="0"/>
                    <w:suppressOverlap/>
                    <w:jc w:val="center"/>
                    <w:rPr>
                      <w:rFonts w:ascii="Arial" w:hAnsi="Arial" w:cs="Arial"/>
                      <w:b/>
                      <w:bCs/>
                      <w:color w:val="FFFFFF" w:themeColor="background1"/>
                      <w:sz w:val="18"/>
                      <w:szCs w:val="18"/>
                    </w:rPr>
                  </w:pPr>
                  <w:r w:rsidRPr="0024556C">
                    <w:rPr>
                      <w:rFonts w:ascii="Arial" w:hAnsi="Arial" w:cs="Arial"/>
                      <w:b/>
                      <w:color w:val="FFFFFF" w:themeColor="background1"/>
                      <w:sz w:val="18"/>
                      <w:szCs w:val="18"/>
                    </w:rPr>
                    <w:t>Total amounts</w:t>
                  </w:r>
                </w:p>
              </w:tc>
              <w:tc>
                <w:tcPr>
                  <w:tcW w:w="1843" w:type="dxa"/>
                  <w:tcBorders>
                    <w:top w:val="nil"/>
                    <w:left w:val="nil"/>
                    <w:bottom w:val="nil"/>
                    <w:right w:val="single" w:sz="2" w:space="0" w:color="17375D"/>
                  </w:tcBorders>
                  <w:shd w:val="clear" w:color="auto" w:fill="1F497D" w:themeFill="text2"/>
                </w:tcPr>
                <w:p w:rsidR="005D72C2" w:rsidRDefault="005D72C2" w:rsidP="005D72C2">
                  <w:pPr>
                    <w:framePr w:hSpace="141" w:wrap="around" w:vAnchor="text" w:hAnchor="margin" w:xAlign="center" w:y="1386"/>
                    <w:spacing w:before="0" w:after="0"/>
                    <w:suppressOverlap/>
                    <w:jc w:val="center"/>
                    <w:rPr>
                      <w:rFonts w:ascii="Arial" w:hAnsi="Arial" w:cs="Arial"/>
                      <w:b/>
                      <w:color w:val="FFFFFF" w:themeColor="background1"/>
                      <w:sz w:val="18"/>
                      <w:szCs w:val="18"/>
                    </w:rPr>
                  </w:pPr>
                  <w:r w:rsidRPr="0024556C">
                    <w:rPr>
                      <w:rFonts w:ascii="Arial" w:hAnsi="Arial" w:cs="Arial"/>
                      <w:b/>
                      <w:color w:val="FFFFFF" w:themeColor="background1"/>
                      <w:sz w:val="18"/>
                      <w:szCs w:val="18"/>
                    </w:rPr>
                    <w:t>DEVCO</w:t>
                  </w:r>
                </w:p>
                <w:p w:rsidR="005D72C2" w:rsidRPr="0024556C" w:rsidRDefault="005D72C2" w:rsidP="005D72C2">
                  <w:pPr>
                    <w:framePr w:hSpace="141" w:wrap="around" w:vAnchor="text" w:hAnchor="margin" w:xAlign="center" w:y="1386"/>
                    <w:spacing w:before="0" w:after="0"/>
                    <w:suppressOverlap/>
                    <w:jc w:val="center"/>
                    <w:rPr>
                      <w:rFonts w:ascii="Arial" w:hAnsi="Arial" w:cs="Arial"/>
                      <w:b/>
                      <w:color w:val="FFFFFF" w:themeColor="background1"/>
                      <w:sz w:val="18"/>
                      <w:szCs w:val="18"/>
                    </w:rPr>
                  </w:pPr>
                  <w:r>
                    <w:rPr>
                      <w:rFonts w:ascii="Arial" w:hAnsi="Arial" w:cs="Arial"/>
                      <w:b/>
                      <w:color w:val="FFFFFF" w:themeColor="background1"/>
                      <w:sz w:val="18"/>
                      <w:szCs w:val="18"/>
                    </w:rPr>
                    <w:t>Allocated amount</w:t>
                  </w:r>
                </w:p>
              </w:tc>
              <w:tc>
                <w:tcPr>
                  <w:tcW w:w="1843" w:type="dxa"/>
                  <w:tcBorders>
                    <w:top w:val="nil"/>
                    <w:left w:val="single" w:sz="2" w:space="0" w:color="17375D"/>
                    <w:bottom w:val="nil"/>
                    <w:right w:val="single" w:sz="12" w:space="0" w:color="17375D"/>
                  </w:tcBorders>
                  <w:shd w:val="clear" w:color="auto" w:fill="1F497D" w:themeFill="text2"/>
                </w:tcPr>
                <w:p w:rsidR="005D72C2" w:rsidRDefault="005D72C2" w:rsidP="005D72C2">
                  <w:pPr>
                    <w:framePr w:hSpace="141" w:wrap="around" w:vAnchor="text" w:hAnchor="margin" w:xAlign="center" w:y="1386"/>
                    <w:spacing w:before="0" w:after="0"/>
                    <w:suppressOverlap/>
                    <w:jc w:val="center"/>
                    <w:rPr>
                      <w:rFonts w:ascii="Arial" w:hAnsi="Arial" w:cs="Arial"/>
                      <w:b/>
                      <w:color w:val="FFFFFF" w:themeColor="background1"/>
                      <w:sz w:val="18"/>
                      <w:szCs w:val="18"/>
                    </w:rPr>
                  </w:pPr>
                  <w:r w:rsidRPr="0024556C">
                    <w:rPr>
                      <w:rFonts w:ascii="Arial" w:hAnsi="Arial" w:cs="Arial"/>
                      <w:b/>
                      <w:color w:val="FFFFFF" w:themeColor="background1"/>
                      <w:sz w:val="18"/>
                      <w:szCs w:val="18"/>
                    </w:rPr>
                    <w:t>ECHO</w:t>
                  </w:r>
                </w:p>
                <w:p w:rsidR="005D72C2" w:rsidRPr="0024556C" w:rsidRDefault="005D72C2" w:rsidP="005D72C2">
                  <w:pPr>
                    <w:framePr w:hSpace="141" w:wrap="around" w:vAnchor="text" w:hAnchor="margin" w:xAlign="center" w:y="1386"/>
                    <w:spacing w:before="0" w:after="0"/>
                    <w:suppressOverlap/>
                    <w:jc w:val="center"/>
                    <w:rPr>
                      <w:rFonts w:ascii="Arial" w:hAnsi="Arial" w:cs="Arial"/>
                      <w:b/>
                      <w:color w:val="FFFFFF" w:themeColor="background1"/>
                      <w:sz w:val="18"/>
                      <w:szCs w:val="18"/>
                    </w:rPr>
                  </w:pPr>
                  <w:r>
                    <w:rPr>
                      <w:rFonts w:ascii="Arial" w:hAnsi="Arial" w:cs="Arial"/>
                      <w:b/>
                      <w:color w:val="FFFFFF" w:themeColor="background1"/>
                      <w:sz w:val="18"/>
                      <w:szCs w:val="18"/>
                    </w:rPr>
                    <w:t>Committed Amount</w:t>
                  </w:r>
                </w:p>
              </w:tc>
            </w:tr>
            <w:tr w:rsidR="005D72C2" w:rsidRPr="0024556C" w:rsidTr="009D7E2C">
              <w:trPr>
                <w:trHeight w:val="270"/>
              </w:trPr>
              <w:tc>
                <w:tcPr>
                  <w:tcW w:w="4238" w:type="dxa"/>
                  <w:tcBorders>
                    <w:top w:val="nil"/>
                    <w:left w:val="single" w:sz="12" w:space="0" w:color="17375D"/>
                    <w:bottom w:val="nil"/>
                    <w:right w:val="single" w:sz="12" w:space="0" w:color="17375D"/>
                  </w:tcBorders>
                  <w:shd w:val="clear" w:color="000000" w:fill="DBE5F1"/>
                  <w:noWrap/>
                  <w:vAlign w:val="center"/>
                  <w:hideMark/>
                </w:tcPr>
                <w:p w:rsidR="005D72C2" w:rsidRPr="0024556C" w:rsidRDefault="005D72C2" w:rsidP="005D72C2">
                  <w:pPr>
                    <w:framePr w:hSpace="141" w:wrap="around" w:vAnchor="text" w:hAnchor="margin" w:xAlign="center" w:y="1386"/>
                    <w:spacing w:before="0" w:after="0"/>
                    <w:suppressOverlap/>
                    <w:jc w:val="left"/>
                    <w:rPr>
                      <w:rFonts w:ascii="Arial" w:hAnsi="Arial" w:cs="Arial"/>
                      <w:b/>
                      <w:bCs/>
                      <w:sz w:val="18"/>
                      <w:szCs w:val="18"/>
                    </w:rPr>
                  </w:pPr>
                  <w:r w:rsidRPr="0024556C">
                    <w:rPr>
                      <w:rFonts w:ascii="Arial" w:hAnsi="Arial" w:cs="Arial"/>
                      <w:b/>
                      <w:bCs/>
                      <w:sz w:val="18"/>
                      <w:szCs w:val="18"/>
                    </w:rPr>
                    <w:t>GDP nominal 2011 - current prices €</w:t>
                  </w:r>
                </w:p>
              </w:tc>
              <w:tc>
                <w:tcPr>
                  <w:tcW w:w="1417" w:type="dxa"/>
                  <w:tcBorders>
                    <w:top w:val="nil"/>
                    <w:left w:val="nil"/>
                    <w:bottom w:val="nil"/>
                    <w:right w:val="single" w:sz="12" w:space="0" w:color="17375D"/>
                  </w:tcBorders>
                  <w:shd w:val="clear" w:color="000000" w:fill="DBE5F1"/>
                  <w:noWrap/>
                  <w:vAlign w:val="center"/>
                  <w:hideMark/>
                </w:tcPr>
                <w:p w:rsidR="005D72C2" w:rsidRPr="0024556C" w:rsidRDefault="005D72C2" w:rsidP="005D72C2">
                  <w:pPr>
                    <w:framePr w:hSpace="141" w:wrap="around" w:vAnchor="text" w:hAnchor="margin" w:xAlign="center" w:y="1386"/>
                    <w:spacing w:before="0" w:after="0"/>
                    <w:suppressOverlap/>
                    <w:jc w:val="center"/>
                    <w:rPr>
                      <w:rFonts w:ascii="Arial" w:hAnsi="Arial" w:cs="Arial"/>
                      <w:b/>
                      <w:bCs/>
                      <w:sz w:val="18"/>
                      <w:szCs w:val="18"/>
                    </w:rPr>
                  </w:pPr>
                  <w:r w:rsidRPr="0024556C">
                    <w:rPr>
                      <w:rFonts w:ascii="Arial" w:hAnsi="Arial" w:cs="Arial"/>
                      <w:b/>
                      <w:bCs/>
                      <w:sz w:val="18"/>
                      <w:szCs w:val="18"/>
                    </w:rPr>
                    <w:t>7,409,100,000</w:t>
                  </w:r>
                </w:p>
              </w:tc>
              <w:tc>
                <w:tcPr>
                  <w:tcW w:w="1843" w:type="dxa"/>
                  <w:tcBorders>
                    <w:top w:val="nil"/>
                    <w:left w:val="nil"/>
                    <w:bottom w:val="nil"/>
                    <w:right w:val="single" w:sz="2" w:space="0" w:color="17375D"/>
                  </w:tcBorders>
                  <w:shd w:val="clear" w:color="000000" w:fill="DBE5F1"/>
                  <w:vAlign w:val="center"/>
                </w:tcPr>
                <w:p w:rsidR="005D72C2" w:rsidRPr="0024556C" w:rsidRDefault="005D72C2" w:rsidP="005D72C2">
                  <w:pPr>
                    <w:framePr w:hSpace="141" w:wrap="around" w:vAnchor="text" w:hAnchor="margin" w:xAlign="center" w:y="1386"/>
                    <w:spacing w:before="0" w:after="0"/>
                    <w:suppressOverlap/>
                    <w:jc w:val="center"/>
                    <w:rPr>
                      <w:rFonts w:ascii="Arial" w:hAnsi="Arial" w:cs="Arial"/>
                      <w:b/>
                      <w:bCs/>
                      <w:sz w:val="18"/>
                      <w:szCs w:val="18"/>
                    </w:rPr>
                  </w:pPr>
                </w:p>
              </w:tc>
              <w:tc>
                <w:tcPr>
                  <w:tcW w:w="1843" w:type="dxa"/>
                  <w:tcBorders>
                    <w:top w:val="nil"/>
                    <w:left w:val="single" w:sz="2" w:space="0" w:color="17375D"/>
                    <w:bottom w:val="nil"/>
                    <w:right w:val="single" w:sz="12" w:space="0" w:color="17375D"/>
                  </w:tcBorders>
                  <w:shd w:val="clear" w:color="000000" w:fill="DBE5F1"/>
                  <w:vAlign w:val="center"/>
                </w:tcPr>
                <w:p w:rsidR="005D72C2" w:rsidRPr="0024556C" w:rsidRDefault="005D72C2" w:rsidP="005D72C2">
                  <w:pPr>
                    <w:framePr w:hSpace="141" w:wrap="around" w:vAnchor="text" w:hAnchor="margin" w:xAlign="center" w:y="1386"/>
                    <w:spacing w:before="0" w:after="0"/>
                    <w:suppressOverlap/>
                    <w:jc w:val="center"/>
                    <w:rPr>
                      <w:rFonts w:ascii="Arial" w:hAnsi="Arial" w:cs="Arial"/>
                      <w:b/>
                      <w:bCs/>
                      <w:sz w:val="18"/>
                      <w:szCs w:val="18"/>
                    </w:rPr>
                  </w:pPr>
                </w:p>
              </w:tc>
            </w:tr>
            <w:tr w:rsidR="005D72C2" w:rsidRPr="0024556C" w:rsidTr="009D7E2C">
              <w:trPr>
                <w:trHeight w:val="270"/>
              </w:trPr>
              <w:tc>
                <w:tcPr>
                  <w:tcW w:w="4238" w:type="dxa"/>
                  <w:tcBorders>
                    <w:top w:val="nil"/>
                    <w:left w:val="single" w:sz="12" w:space="0" w:color="17375D"/>
                    <w:bottom w:val="nil"/>
                    <w:right w:val="single" w:sz="12" w:space="0" w:color="17375D"/>
                  </w:tcBorders>
                  <w:shd w:val="clear" w:color="000000" w:fill="DBE5F1"/>
                  <w:noWrap/>
                  <w:vAlign w:val="center"/>
                  <w:hideMark/>
                </w:tcPr>
                <w:p w:rsidR="005D72C2" w:rsidRPr="0024556C" w:rsidRDefault="005D72C2" w:rsidP="005D72C2">
                  <w:pPr>
                    <w:framePr w:hSpace="141" w:wrap="around" w:vAnchor="text" w:hAnchor="margin" w:xAlign="center" w:y="1386"/>
                    <w:spacing w:before="0" w:after="0"/>
                    <w:suppressOverlap/>
                    <w:jc w:val="left"/>
                    <w:rPr>
                      <w:rFonts w:ascii="Arial" w:hAnsi="Arial" w:cs="Arial"/>
                      <w:b/>
                      <w:bCs/>
                      <w:sz w:val="18"/>
                      <w:szCs w:val="18"/>
                    </w:rPr>
                  </w:pPr>
                  <w:r w:rsidRPr="0024556C">
                    <w:rPr>
                      <w:rFonts w:ascii="Arial" w:hAnsi="Arial" w:cs="Arial"/>
                      <w:b/>
                      <w:bCs/>
                      <w:sz w:val="18"/>
                      <w:szCs w:val="18"/>
                    </w:rPr>
                    <w:t>Population tot in 2012</w:t>
                  </w:r>
                </w:p>
              </w:tc>
              <w:tc>
                <w:tcPr>
                  <w:tcW w:w="1417" w:type="dxa"/>
                  <w:tcBorders>
                    <w:top w:val="nil"/>
                    <w:left w:val="nil"/>
                    <w:bottom w:val="nil"/>
                    <w:right w:val="single" w:sz="12" w:space="0" w:color="17375D"/>
                  </w:tcBorders>
                  <w:shd w:val="clear" w:color="000000" w:fill="DBE5F1"/>
                  <w:noWrap/>
                  <w:vAlign w:val="center"/>
                  <w:hideMark/>
                </w:tcPr>
                <w:p w:rsidR="005D72C2" w:rsidRPr="0024556C" w:rsidRDefault="005D72C2" w:rsidP="005D72C2">
                  <w:pPr>
                    <w:framePr w:hSpace="141" w:wrap="around" w:vAnchor="text" w:hAnchor="margin" w:xAlign="center" w:y="1386"/>
                    <w:spacing w:before="0" w:after="0"/>
                    <w:suppressOverlap/>
                    <w:jc w:val="center"/>
                    <w:rPr>
                      <w:rFonts w:ascii="Arial" w:hAnsi="Arial" w:cs="Arial"/>
                      <w:b/>
                      <w:bCs/>
                      <w:sz w:val="18"/>
                      <w:szCs w:val="18"/>
                    </w:rPr>
                  </w:pPr>
                  <w:r w:rsidRPr="0024556C">
                    <w:rPr>
                      <w:rFonts w:ascii="Arial" w:hAnsi="Arial" w:cs="Arial"/>
                      <w:b/>
                      <w:bCs/>
                      <w:sz w:val="18"/>
                      <w:szCs w:val="18"/>
                    </w:rPr>
                    <w:t>4,293,313</w:t>
                  </w:r>
                </w:p>
              </w:tc>
              <w:tc>
                <w:tcPr>
                  <w:tcW w:w="1843" w:type="dxa"/>
                  <w:tcBorders>
                    <w:top w:val="nil"/>
                    <w:left w:val="nil"/>
                    <w:bottom w:val="nil"/>
                    <w:right w:val="single" w:sz="2" w:space="0" w:color="17375D"/>
                  </w:tcBorders>
                  <w:shd w:val="clear" w:color="000000" w:fill="DBE5F1"/>
                  <w:vAlign w:val="center"/>
                </w:tcPr>
                <w:p w:rsidR="005D72C2" w:rsidRPr="0024556C" w:rsidRDefault="005D72C2" w:rsidP="005D72C2">
                  <w:pPr>
                    <w:framePr w:hSpace="141" w:wrap="around" w:vAnchor="text" w:hAnchor="margin" w:xAlign="center" w:y="1386"/>
                    <w:spacing w:before="0" w:after="0"/>
                    <w:suppressOverlap/>
                    <w:jc w:val="center"/>
                    <w:rPr>
                      <w:rFonts w:ascii="Arial" w:hAnsi="Arial" w:cs="Arial"/>
                      <w:b/>
                      <w:bCs/>
                      <w:sz w:val="18"/>
                      <w:szCs w:val="18"/>
                    </w:rPr>
                  </w:pPr>
                </w:p>
              </w:tc>
              <w:tc>
                <w:tcPr>
                  <w:tcW w:w="1843" w:type="dxa"/>
                  <w:tcBorders>
                    <w:top w:val="nil"/>
                    <w:left w:val="single" w:sz="2" w:space="0" w:color="17375D"/>
                    <w:bottom w:val="nil"/>
                    <w:right w:val="single" w:sz="12" w:space="0" w:color="17375D"/>
                  </w:tcBorders>
                  <w:shd w:val="clear" w:color="000000" w:fill="DBE5F1"/>
                  <w:vAlign w:val="center"/>
                </w:tcPr>
                <w:p w:rsidR="005D72C2" w:rsidRPr="0024556C" w:rsidRDefault="005D72C2" w:rsidP="005D72C2">
                  <w:pPr>
                    <w:framePr w:hSpace="141" w:wrap="around" w:vAnchor="text" w:hAnchor="margin" w:xAlign="center" w:y="1386"/>
                    <w:spacing w:before="0" w:after="0"/>
                    <w:suppressOverlap/>
                    <w:jc w:val="center"/>
                    <w:rPr>
                      <w:rFonts w:ascii="Arial" w:hAnsi="Arial" w:cs="Arial"/>
                      <w:b/>
                      <w:bCs/>
                      <w:sz w:val="18"/>
                      <w:szCs w:val="18"/>
                    </w:rPr>
                  </w:pPr>
                </w:p>
              </w:tc>
            </w:tr>
            <w:tr w:rsidR="005D72C2" w:rsidRPr="0024556C" w:rsidTr="009D7E2C">
              <w:trPr>
                <w:trHeight w:val="381"/>
              </w:trPr>
              <w:tc>
                <w:tcPr>
                  <w:tcW w:w="4238" w:type="dxa"/>
                  <w:tcBorders>
                    <w:top w:val="nil"/>
                    <w:left w:val="single" w:sz="12" w:space="0" w:color="17375D"/>
                    <w:bottom w:val="nil"/>
                    <w:right w:val="single" w:sz="12" w:space="0" w:color="17375D"/>
                  </w:tcBorders>
                  <w:shd w:val="clear" w:color="000000" w:fill="BFBFBF"/>
                  <w:noWrap/>
                  <w:vAlign w:val="center"/>
                  <w:hideMark/>
                </w:tcPr>
                <w:p w:rsidR="005D72C2" w:rsidRPr="0024556C" w:rsidRDefault="005D72C2" w:rsidP="005D72C2">
                  <w:pPr>
                    <w:framePr w:hSpace="141" w:wrap="around" w:vAnchor="text" w:hAnchor="margin" w:xAlign="center" w:y="1386"/>
                    <w:spacing w:before="0" w:after="0"/>
                    <w:suppressOverlap/>
                    <w:jc w:val="left"/>
                    <w:rPr>
                      <w:rFonts w:ascii="Arial" w:hAnsi="Arial" w:cs="Arial"/>
                      <w:b/>
                      <w:bCs/>
                      <w:sz w:val="18"/>
                      <w:szCs w:val="18"/>
                    </w:rPr>
                  </w:pPr>
                  <w:r w:rsidRPr="0024556C">
                    <w:rPr>
                      <w:rFonts w:ascii="Arial" w:hAnsi="Arial" w:cs="Arial"/>
                      <w:b/>
                      <w:bCs/>
                      <w:sz w:val="18"/>
                      <w:szCs w:val="18"/>
                    </w:rPr>
                    <w:t>EC total allocated amount (euro)</w:t>
                  </w:r>
                </w:p>
              </w:tc>
              <w:tc>
                <w:tcPr>
                  <w:tcW w:w="1417" w:type="dxa"/>
                  <w:tcBorders>
                    <w:top w:val="nil"/>
                    <w:left w:val="nil"/>
                    <w:bottom w:val="nil"/>
                    <w:right w:val="single" w:sz="12" w:space="0" w:color="17375D"/>
                  </w:tcBorders>
                  <w:shd w:val="clear" w:color="000000" w:fill="BFBFBF"/>
                  <w:noWrap/>
                  <w:vAlign w:val="center"/>
                  <w:hideMark/>
                </w:tcPr>
                <w:p w:rsidR="005D72C2" w:rsidRPr="0024556C" w:rsidRDefault="005D72C2" w:rsidP="005D72C2">
                  <w:pPr>
                    <w:framePr w:hSpace="141" w:wrap="around" w:vAnchor="text" w:hAnchor="margin" w:xAlign="center" w:y="1386"/>
                    <w:spacing w:before="0" w:after="0"/>
                    <w:suppressOverlap/>
                    <w:jc w:val="center"/>
                    <w:rPr>
                      <w:rFonts w:ascii="Arial" w:hAnsi="Arial" w:cs="Arial"/>
                      <w:b/>
                      <w:bCs/>
                      <w:color w:val="000000"/>
                      <w:sz w:val="18"/>
                      <w:szCs w:val="18"/>
                    </w:rPr>
                  </w:pPr>
                  <w:r w:rsidRPr="0024556C">
                    <w:rPr>
                      <w:rFonts w:ascii="Arial" w:hAnsi="Arial" w:cs="Arial"/>
                      <w:b/>
                      <w:bCs/>
                      <w:color w:val="000000"/>
                      <w:sz w:val="18"/>
                      <w:szCs w:val="18"/>
                    </w:rPr>
                    <w:t>2,530,998,102</w:t>
                  </w:r>
                </w:p>
              </w:tc>
              <w:tc>
                <w:tcPr>
                  <w:tcW w:w="1843" w:type="dxa"/>
                  <w:tcBorders>
                    <w:top w:val="nil"/>
                    <w:left w:val="nil"/>
                    <w:bottom w:val="nil"/>
                    <w:right w:val="single" w:sz="2" w:space="0" w:color="17375D"/>
                  </w:tcBorders>
                  <w:shd w:val="clear" w:color="000000" w:fill="BFBFBF"/>
                  <w:vAlign w:val="center"/>
                </w:tcPr>
                <w:p w:rsidR="005D72C2" w:rsidRPr="0024556C" w:rsidRDefault="005D72C2" w:rsidP="005D72C2">
                  <w:pPr>
                    <w:framePr w:hSpace="141" w:wrap="around" w:vAnchor="text" w:hAnchor="margin" w:xAlign="center" w:y="1386"/>
                    <w:spacing w:before="0" w:after="0"/>
                    <w:suppressOverlap/>
                    <w:jc w:val="center"/>
                    <w:rPr>
                      <w:rFonts w:ascii="Arial" w:hAnsi="Arial" w:cs="Arial"/>
                      <w:b/>
                      <w:bCs/>
                      <w:color w:val="000000"/>
                      <w:sz w:val="18"/>
                      <w:szCs w:val="18"/>
                    </w:rPr>
                  </w:pPr>
                  <w:r w:rsidRPr="0024556C">
                    <w:rPr>
                      <w:rFonts w:ascii="Arial" w:hAnsi="Arial" w:cs="Arial"/>
                      <w:b/>
                      <w:bCs/>
                      <w:color w:val="000000"/>
                      <w:sz w:val="18"/>
                      <w:szCs w:val="18"/>
                    </w:rPr>
                    <w:t>2,220,202,160</w:t>
                  </w:r>
                </w:p>
              </w:tc>
              <w:tc>
                <w:tcPr>
                  <w:tcW w:w="1843" w:type="dxa"/>
                  <w:tcBorders>
                    <w:top w:val="nil"/>
                    <w:left w:val="single" w:sz="2" w:space="0" w:color="17375D"/>
                    <w:bottom w:val="nil"/>
                    <w:right w:val="single" w:sz="12" w:space="0" w:color="17375D"/>
                  </w:tcBorders>
                  <w:shd w:val="clear" w:color="000000" w:fill="BFBFBF"/>
                  <w:vAlign w:val="center"/>
                </w:tcPr>
                <w:p w:rsidR="005D72C2" w:rsidRPr="0024556C" w:rsidRDefault="005D72C2" w:rsidP="005D72C2">
                  <w:pPr>
                    <w:framePr w:hSpace="141" w:wrap="around" w:vAnchor="text" w:hAnchor="margin" w:xAlign="center" w:y="1386"/>
                    <w:spacing w:before="0" w:after="0"/>
                    <w:suppressOverlap/>
                    <w:jc w:val="center"/>
                    <w:rPr>
                      <w:rFonts w:ascii="Arial" w:hAnsi="Arial" w:cs="Arial"/>
                      <w:b/>
                      <w:bCs/>
                      <w:color w:val="000000"/>
                      <w:sz w:val="18"/>
                      <w:szCs w:val="18"/>
                    </w:rPr>
                  </w:pPr>
                  <w:r w:rsidRPr="0024556C">
                    <w:rPr>
                      <w:rFonts w:ascii="Arial" w:hAnsi="Arial" w:cs="Arial"/>
                      <w:b/>
                      <w:bCs/>
                      <w:color w:val="000000"/>
                      <w:sz w:val="18"/>
                      <w:szCs w:val="18"/>
                    </w:rPr>
                    <w:t>310,795,942</w:t>
                  </w:r>
                </w:p>
              </w:tc>
            </w:tr>
            <w:tr w:rsidR="005D72C2" w:rsidRPr="0024556C" w:rsidTr="009D7E2C">
              <w:trPr>
                <w:trHeight w:val="270"/>
              </w:trPr>
              <w:tc>
                <w:tcPr>
                  <w:tcW w:w="4238" w:type="dxa"/>
                  <w:tcBorders>
                    <w:top w:val="single" w:sz="8" w:space="0" w:color="17375D"/>
                    <w:left w:val="single" w:sz="12" w:space="0" w:color="17375D"/>
                    <w:bottom w:val="nil"/>
                    <w:right w:val="single" w:sz="12" w:space="0" w:color="17375D"/>
                  </w:tcBorders>
                  <w:shd w:val="clear" w:color="000000" w:fill="F2F2F2"/>
                  <w:noWrap/>
                  <w:vAlign w:val="center"/>
                  <w:hideMark/>
                </w:tcPr>
                <w:p w:rsidR="005D72C2" w:rsidRPr="0024556C" w:rsidRDefault="005D72C2" w:rsidP="005D72C2">
                  <w:pPr>
                    <w:framePr w:hSpace="141" w:wrap="around" w:vAnchor="text" w:hAnchor="margin" w:xAlign="center" w:y="1386"/>
                    <w:spacing w:before="0" w:after="0"/>
                    <w:suppressOverlap/>
                    <w:jc w:val="left"/>
                    <w:rPr>
                      <w:rFonts w:ascii="Arial" w:hAnsi="Arial" w:cs="Arial"/>
                      <w:sz w:val="18"/>
                      <w:szCs w:val="18"/>
                    </w:rPr>
                  </w:pPr>
                  <w:r w:rsidRPr="0024556C">
                    <w:rPr>
                      <w:rFonts w:ascii="Arial" w:hAnsi="Arial" w:cs="Arial"/>
                      <w:sz w:val="18"/>
                      <w:szCs w:val="18"/>
                    </w:rPr>
                    <w:t>EC average allocated amount per year €</w:t>
                  </w:r>
                </w:p>
              </w:tc>
              <w:tc>
                <w:tcPr>
                  <w:tcW w:w="1417" w:type="dxa"/>
                  <w:tcBorders>
                    <w:top w:val="single" w:sz="8" w:space="0" w:color="17375D"/>
                    <w:left w:val="nil"/>
                    <w:bottom w:val="nil"/>
                    <w:right w:val="single" w:sz="12" w:space="0" w:color="17375D"/>
                  </w:tcBorders>
                  <w:shd w:val="clear" w:color="000000" w:fill="F2F2F2"/>
                  <w:noWrap/>
                  <w:vAlign w:val="center"/>
                  <w:hideMark/>
                </w:tcPr>
                <w:p w:rsidR="005D72C2" w:rsidRPr="0024556C" w:rsidRDefault="005D72C2" w:rsidP="005D72C2">
                  <w:pPr>
                    <w:framePr w:hSpace="141" w:wrap="around" w:vAnchor="text" w:hAnchor="margin" w:xAlign="center" w:y="1386"/>
                    <w:spacing w:before="0" w:after="0"/>
                    <w:suppressOverlap/>
                    <w:jc w:val="center"/>
                    <w:rPr>
                      <w:rFonts w:ascii="Arial" w:hAnsi="Arial" w:cs="Arial"/>
                      <w:color w:val="000000"/>
                      <w:sz w:val="18"/>
                      <w:szCs w:val="18"/>
                    </w:rPr>
                  </w:pPr>
                  <w:r w:rsidRPr="0024556C">
                    <w:rPr>
                      <w:rFonts w:ascii="Arial" w:hAnsi="Arial" w:cs="Arial"/>
                      <w:color w:val="000000"/>
                      <w:sz w:val="18"/>
                      <w:szCs w:val="18"/>
                    </w:rPr>
                    <w:t>421,833,017</w:t>
                  </w:r>
                </w:p>
              </w:tc>
              <w:tc>
                <w:tcPr>
                  <w:tcW w:w="1843" w:type="dxa"/>
                  <w:tcBorders>
                    <w:top w:val="single" w:sz="8" w:space="0" w:color="17375D"/>
                    <w:left w:val="nil"/>
                    <w:bottom w:val="nil"/>
                    <w:right w:val="single" w:sz="2" w:space="0" w:color="17375D"/>
                  </w:tcBorders>
                  <w:shd w:val="clear" w:color="000000" w:fill="F2F2F2"/>
                  <w:vAlign w:val="center"/>
                </w:tcPr>
                <w:p w:rsidR="005D72C2" w:rsidRPr="0024556C" w:rsidRDefault="005D72C2" w:rsidP="005D72C2">
                  <w:pPr>
                    <w:framePr w:hSpace="141" w:wrap="around" w:vAnchor="text" w:hAnchor="margin" w:xAlign="center" w:y="1386"/>
                    <w:spacing w:before="0" w:after="0"/>
                    <w:suppressOverlap/>
                    <w:jc w:val="center"/>
                    <w:rPr>
                      <w:rFonts w:ascii="Arial" w:hAnsi="Arial" w:cs="Arial"/>
                      <w:color w:val="000000"/>
                      <w:sz w:val="18"/>
                      <w:szCs w:val="18"/>
                    </w:rPr>
                  </w:pPr>
                  <w:r w:rsidRPr="0024556C">
                    <w:rPr>
                      <w:rFonts w:ascii="Arial" w:hAnsi="Arial" w:cs="Arial"/>
                      <w:color w:val="000000"/>
                      <w:sz w:val="18"/>
                      <w:szCs w:val="18"/>
                    </w:rPr>
                    <w:t>370,033,693</w:t>
                  </w:r>
                </w:p>
              </w:tc>
              <w:tc>
                <w:tcPr>
                  <w:tcW w:w="1843" w:type="dxa"/>
                  <w:tcBorders>
                    <w:top w:val="single" w:sz="8" w:space="0" w:color="17375D"/>
                    <w:left w:val="single" w:sz="2" w:space="0" w:color="17375D"/>
                    <w:bottom w:val="nil"/>
                    <w:right w:val="single" w:sz="12" w:space="0" w:color="17375D"/>
                  </w:tcBorders>
                  <w:shd w:val="clear" w:color="000000" w:fill="F2F2F2"/>
                  <w:vAlign w:val="center"/>
                </w:tcPr>
                <w:p w:rsidR="005D72C2" w:rsidRPr="0024556C" w:rsidRDefault="005D72C2" w:rsidP="005D72C2">
                  <w:pPr>
                    <w:framePr w:hSpace="141" w:wrap="around" w:vAnchor="text" w:hAnchor="margin" w:xAlign="center" w:y="1386"/>
                    <w:spacing w:before="0" w:after="0"/>
                    <w:suppressOverlap/>
                    <w:jc w:val="center"/>
                    <w:rPr>
                      <w:rFonts w:ascii="Arial" w:hAnsi="Arial" w:cs="Arial"/>
                      <w:color w:val="000000"/>
                      <w:sz w:val="18"/>
                      <w:szCs w:val="18"/>
                    </w:rPr>
                  </w:pPr>
                  <w:r w:rsidRPr="0024556C">
                    <w:rPr>
                      <w:rFonts w:ascii="Arial" w:hAnsi="Arial" w:cs="Arial"/>
                      <w:color w:val="000000"/>
                      <w:sz w:val="18"/>
                      <w:szCs w:val="18"/>
                    </w:rPr>
                    <w:t>51,799,324</w:t>
                  </w:r>
                </w:p>
              </w:tc>
            </w:tr>
            <w:tr w:rsidR="005D72C2" w:rsidRPr="0024556C" w:rsidTr="009D7E2C">
              <w:trPr>
                <w:trHeight w:val="270"/>
              </w:trPr>
              <w:tc>
                <w:tcPr>
                  <w:tcW w:w="4238" w:type="dxa"/>
                  <w:tcBorders>
                    <w:top w:val="nil"/>
                    <w:left w:val="single" w:sz="12" w:space="0" w:color="17375D"/>
                    <w:bottom w:val="nil"/>
                    <w:right w:val="single" w:sz="12" w:space="0" w:color="17375D"/>
                  </w:tcBorders>
                  <w:shd w:val="clear" w:color="000000" w:fill="F2F2F2"/>
                  <w:noWrap/>
                  <w:vAlign w:val="center"/>
                  <w:hideMark/>
                </w:tcPr>
                <w:p w:rsidR="005D72C2" w:rsidRPr="0024556C" w:rsidRDefault="005D72C2" w:rsidP="005D72C2">
                  <w:pPr>
                    <w:framePr w:hSpace="141" w:wrap="around" w:vAnchor="text" w:hAnchor="margin" w:xAlign="center" w:y="1386"/>
                    <w:spacing w:before="0" w:after="0"/>
                    <w:suppressOverlap/>
                    <w:jc w:val="left"/>
                    <w:rPr>
                      <w:rFonts w:ascii="Arial" w:hAnsi="Arial" w:cs="Arial"/>
                      <w:sz w:val="18"/>
                      <w:szCs w:val="18"/>
                    </w:rPr>
                  </w:pPr>
                  <w:r w:rsidRPr="0024556C">
                    <w:rPr>
                      <w:rFonts w:ascii="Arial" w:hAnsi="Arial" w:cs="Arial"/>
                      <w:sz w:val="18"/>
                      <w:szCs w:val="18"/>
                    </w:rPr>
                    <w:t>EC total contribution per year as % of GDP</w:t>
                  </w:r>
                </w:p>
              </w:tc>
              <w:tc>
                <w:tcPr>
                  <w:tcW w:w="1417" w:type="dxa"/>
                  <w:tcBorders>
                    <w:top w:val="nil"/>
                    <w:left w:val="nil"/>
                    <w:bottom w:val="nil"/>
                    <w:right w:val="single" w:sz="12" w:space="0" w:color="17375D"/>
                  </w:tcBorders>
                  <w:shd w:val="clear" w:color="000000" w:fill="F2F2F2"/>
                  <w:noWrap/>
                  <w:vAlign w:val="center"/>
                  <w:hideMark/>
                </w:tcPr>
                <w:p w:rsidR="005D72C2" w:rsidRPr="0024556C" w:rsidRDefault="005D72C2" w:rsidP="005D72C2">
                  <w:pPr>
                    <w:framePr w:hSpace="141" w:wrap="around" w:vAnchor="text" w:hAnchor="margin" w:xAlign="center" w:y="1386"/>
                    <w:spacing w:before="0" w:after="0"/>
                    <w:suppressOverlap/>
                    <w:jc w:val="center"/>
                    <w:rPr>
                      <w:rFonts w:ascii="Arial" w:hAnsi="Arial" w:cs="Arial"/>
                      <w:color w:val="000000"/>
                      <w:sz w:val="18"/>
                      <w:szCs w:val="18"/>
                    </w:rPr>
                  </w:pPr>
                  <w:r w:rsidRPr="0024556C">
                    <w:rPr>
                      <w:rFonts w:ascii="Arial" w:hAnsi="Arial" w:cs="Arial"/>
                      <w:color w:val="000000"/>
                      <w:sz w:val="18"/>
                      <w:szCs w:val="18"/>
                    </w:rPr>
                    <w:t>5.7%</w:t>
                  </w:r>
                </w:p>
              </w:tc>
              <w:tc>
                <w:tcPr>
                  <w:tcW w:w="1843" w:type="dxa"/>
                  <w:tcBorders>
                    <w:top w:val="nil"/>
                    <w:left w:val="nil"/>
                    <w:bottom w:val="nil"/>
                    <w:right w:val="single" w:sz="2" w:space="0" w:color="17375D"/>
                  </w:tcBorders>
                  <w:shd w:val="clear" w:color="000000" w:fill="F2F2F2"/>
                  <w:vAlign w:val="center"/>
                </w:tcPr>
                <w:p w:rsidR="005D72C2" w:rsidRPr="0024556C" w:rsidRDefault="005D72C2" w:rsidP="005D72C2">
                  <w:pPr>
                    <w:framePr w:hSpace="141" w:wrap="around" w:vAnchor="text" w:hAnchor="margin" w:xAlign="center" w:y="1386"/>
                    <w:spacing w:before="0" w:after="0"/>
                    <w:suppressOverlap/>
                    <w:jc w:val="center"/>
                    <w:rPr>
                      <w:rFonts w:ascii="Arial" w:hAnsi="Arial" w:cs="Arial"/>
                      <w:color w:val="000000"/>
                      <w:sz w:val="18"/>
                      <w:szCs w:val="18"/>
                    </w:rPr>
                  </w:pPr>
                  <w:r w:rsidRPr="0024556C">
                    <w:rPr>
                      <w:rFonts w:ascii="Arial" w:hAnsi="Arial" w:cs="Arial"/>
                      <w:color w:val="000000"/>
                      <w:sz w:val="18"/>
                      <w:szCs w:val="18"/>
                    </w:rPr>
                    <w:t>5.0%</w:t>
                  </w:r>
                </w:p>
              </w:tc>
              <w:tc>
                <w:tcPr>
                  <w:tcW w:w="1843" w:type="dxa"/>
                  <w:tcBorders>
                    <w:top w:val="nil"/>
                    <w:left w:val="single" w:sz="2" w:space="0" w:color="17375D"/>
                    <w:bottom w:val="nil"/>
                    <w:right w:val="single" w:sz="12" w:space="0" w:color="17375D"/>
                  </w:tcBorders>
                  <w:shd w:val="clear" w:color="000000" w:fill="F2F2F2"/>
                  <w:vAlign w:val="center"/>
                </w:tcPr>
                <w:p w:rsidR="005D72C2" w:rsidRPr="0024556C" w:rsidRDefault="005D72C2" w:rsidP="005D72C2">
                  <w:pPr>
                    <w:framePr w:hSpace="141" w:wrap="around" w:vAnchor="text" w:hAnchor="margin" w:xAlign="center" w:y="1386"/>
                    <w:spacing w:before="0" w:after="0"/>
                    <w:suppressOverlap/>
                    <w:jc w:val="center"/>
                    <w:rPr>
                      <w:rFonts w:ascii="Arial" w:hAnsi="Arial" w:cs="Arial"/>
                      <w:color w:val="000000"/>
                      <w:sz w:val="18"/>
                      <w:szCs w:val="18"/>
                    </w:rPr>
                  </w:pPr>
                  <w:r w:rsidRPr="0024556C">
                    <w:rPr>
                      <w:rFonts w:ascii="Arial" w:hAnsi="Arial" w:cs="Arial"/>
                      <w:color w:val="000000"/>
                      <w:sz w:val="18"/>
                      <w:szCs w:val="18"/>
                    </w:rPr>
                    <w:t>0.7%</w:t>
                  </w:r>
                </w:p>
              </w:tc>
            </w:tr>
            <w:tr w:rsidR="005D72C2" w:rsidRPr="0024556C" w:rsidTr="009D7E2C">
              <w:trPr>
                <w:trHeight w:val="270"/>
              </w:trPr>
              <w:tc>
                <w:tcPr>
                  <w:tcW w:w="4238" w:type="dxa"/>
                  <w:tcBorders>
                    <w:top w:val="nil"/>
                    <w:left w:val="single" w:sz="12" w:space="0" w:color="17375D"/>
                    <w:bottom w:val="nil"/>
                    <w:right w:val="single" w:sz="12" w:space="0" w:color="17375D"/>
                  </w:tcBorders>
                  <w:shd w:val="clear" w:color="000000" w:fill="F2F2F2"/>
                  <w:noWrap/>
                  <w:vAlign w:val="center"/>
                  <w:hideMark/>
                </w:tcPr>
                <w:p w:rsidR="005D72C2" w:rsidRPr="0024556C" w:rsidRDefault="005D72C2" w:rsidP="005D72C2">
                  <w:pPr>
                    <w:framePr w:hSpace="141" w:wrap="around" w:vAnchor="text" w:hAnchor="margin" w:xAlign="center" w:y="1386"/>
                    <w:spacing w:before="0" w:after="0"/>
                    <w:suppressOverlap/>
                    <w:jc w:val="left"/>
                    <w:rPr>
                      <w:rFonts w:ascii="Arial" w:hAnsi="Arial" w:cs="Arial"/>
                      <w:sz w:val="18"/>
                      <w:szCs w:val="18"/>
                    </w:rPr>
                  </w:pPr>
                  <w:r w:rsidRPr="0024556C">
                    <w:rPr>
                      <w:rFonts w:ascii="Arial" w:hAnsi="Arial" w:cs="Arial"/>
                      <w:sz w:val="18"/>
                      <w:szCs w:val="18"/>
                    </w:rPr>
                    <w:t>EC total allocated amount per capita €</w:t>
                  </w:r>
                </w:p>
              </w:tc>
              <w:tc>
                <w:tcPr>
                  <w:tcW w:w="1417" w:type="dxa"/>
                  <w:tcBorders>
                    <w:top w:val="nil"/>
                    <w:left w:val="nil"/>
                    <w:bottom w:val="nil"/>
                    <w:right w:val="single" w:sz="12" w:space="0" w:color="17375D"/>
                  </w:tcBorders>
                  <w:shd w:val="clear" w:color="000000" w:fill="F2F2F2"/>
                  <w:noWrap/>
                  <w:vAlign w:val="center"/>
                  <w:hideMark/>
                </w:tcPr>
                <w:p w:rsidR="005D72C2" w:rsidRPr="0024556C" w:rsidRDefault="005D72C2" w:rsidP="005D72C2">
                  <w:pPr>
                    <w:framePr w:hSpace="141" w:wrap="around" w:vAnchor="text" w:hAnchor="margin" w:xAlign="center" w:y="1386"/>
                    <w:spacing w:before="0" w:after="0"/>
                    <w:suppressOverlap/>
                    <w:jc w:val="center"/>
                    <w:rPr>
                      <w:rFonts w:ascii="Arial" w:hAnsi="Arial" w:cs="Arial"/>
                      <w:color w:val="000000"/>
                      <w:sz w:val="18"/>
                      <w:szCs w:val="18"/>
                    </w:rPr>
                  </w:pPr>
                  <w:r w:rsidRPr="0024556C">
                    <w:rPr>
                      <w:rFonts w:ascii="Arial" w:hAnsi="Arial" w:cs="Arial"/>
                      <w:color w:val="000000"/>
                      <w:sz w:val="18"/>
                      <w:szCs w:val="18"/>
                    </w:rPr>
                    <w:t>590</w:t>
                  </w:r>
                </w:p>
              </w:tc>
              <w:tc>
                <w:tcPr>
                  <w:tcW w:w="1843" w:type="dxa"/>
                  <w:tcBorders>
                    <w:top w:val="nil"/>
                    <w:left w:val="nil"/>
                    <w:bottom w:val="nil"/>
                    <w:right w:val="single" w:sz="2" w:space="0" w:color="17375D"/>
                  </w:tcBorders>
                  <w:shd w:val="clear" w:color="000000" w:fill="F2F2F2"/>
                  <w:vAlign w:val="center"/>
                </w:tcPr>
                <w:p w:rsidR="005D72C2" w:rsidRPr="0024556C" w:rsidRDefault="005D72C2" w:rsidP="005D72C2">
                  <w:pPr>
                    <w:framePr w:hSpace="141" w:wrap="around" w:vAnchor="text" w:hAnchor="margin" w:xAlign="center" w:y="1386"/>
                    <w:spacing w:before="0" w:after="0"/>
                    <w:suppressOverlap/>
                    <w:jc w:val="center"/>
                    <w:rPr>
                      <w:rFonts w:ascii="Arial" w:hAnsi="Arial" w:cs="Arial"/>
                      <w:color w:val="000000"/>
                      <w:sz w:val="18"/>
                      <w:szCs w:val="18"/>
                    </w:rPr>
                  </w:pPr>
                  <w:r w:rsidRPr="0024556C">
                    <w:rPr>
                      <w:rFonts w:ascii="Arial" w:hAnsi="Arial" w:cs="Arial"/>
                      <w:color w:val="000000"/>
                      <w:sz w:val="18"/>
                      <w:szCs w:val="18"/>
                    </w:rPr>
                    <w:t>517</w:t>
                  </w:r>
                </w:p>
              </w:tc>
              <w:tc>
                <w:tcPr>
                  <w:tcW w:w="1843" w:type="dxa"/>
                  <w:tcBorders>
                    <w:top w:val="nil"/>
                    <w:left w:val="single" w:sz="2" w:space="0" w:color="17375D"/>
                    <w:bottom w:val="nil"/>
                    <w:right w:val="single" w:sz="12" w:space="0" w:color="17375D"/>
                  </w:tcBorders>
                  <w:shd w:val="clear" w:color="000000" w:fill="F2F2F2"/>
                  <w:vAlign w:val="center"/>
                </w:tcPr>
                <w:p w:rsidR="005D72C2" w:rsidRPr="0024556C" w:rsidRDefault="005D72C2" w:rsidP="005D72C2">
                  <w:pPr>
                    <w:framePr w:hSpace="141" w:wrap="around" w:vAnchor="text" w:hAnchor="margin" w:xAlign="center" w:y="1386"/>
                    <w:spacing w:before="0" w:after="0"/>
                    <w:suppressOverlap/>
                    <w:jc w:val="center"/>
                    <w:rPr>
                      <w:rFonts w:ascii="Arial" w:hAnsi="Arial" w:cs="Arial"/>
                      <w:color w:val="000000"/>
                      <w:sz w:val="18"/>
                      <w:szCs w:val="18"/>
                    </w:rPr>
                  </w:pPr>
                  <w:r w:rsidRPr="0024556C">
                    <w:rPr>
                      <w:rFonts w:ascii="Arial" w:hAnsi="Arial" w:cs="Arial"/>
                      <w:color w:val="000000"/>
                      <w:sz w:val="18"/>
                      <w:szCs w:val="18"/>
                    </w:rPr>
                    <w:t>72</w:t>
                  </w:r>
                </w:p>
              </w:tc>
            </w:tr>
            <w:tr w:rsidR="005D72C2" w:rsidRPr="0024556C" w:rsidTr="009D7E2C">
              <w:trPr>
                <w:trHeight w:val="270"/>
              </w:trPr>
              <w:tc>
                <w:tcPr>
                  <w:tcW w:w="4238" w:type="dxa"/>
                  <w:tcBorders>
                    <w:top w:val="nil"/>
                    <w:left w:val="single" w:sz="12" w:space="0" w:color="17375D"/>
                    <w:bottom w:val="single" w:sz="12" w:space="0" w:color="17375D"/>
                    <w:right w:val="single" w:sz="12" w:space="0" w:color="17375D"/>
                  </w:tcBorders>
                  <w:shd w:val="clear" w:color="000000" w:fill="F2F2F2"/>
                  <w:noWrap/>
                  <w:vAlign w:val="center"/>
                  <w:hideMark/>
                </w:tcPr>
                <w:p w:rsidR="005D72C2" w:rsidRPr="0024556C" w:rsidRDefault="005D72C2" w:rsidP="005D72C2">
                  <w:pPr>
                    <w:framePr w:hSpace="141" w:wrap="around" w:vAnchor="text" w:hAnchor="margin" w:xAlign="center" w:y="1386"/>
                    <w:spacing w:before="0" w:after="0"/>
                    <w:suppressOverlap/>
                    <w:jc w:val="left"/>
                    <w:rPr>
                      <w:rFonts w:ascii="Arial" w:hAnsi="Arial" w:cs="Arial"/>
                      <w:sz w:val="18"/>
                      <w:szCs w:val="18"/>
                    </w:rPr>
                  </w:pPr>
                  <w:r w:rsidRPr="0024556C">
                    <w:rPr>
                      <w:rFonts w:ascii="Arial" w:hAnsi="Arial" w:cs="Arial"/>
                      <w:sz w:val="18"/>
                      <w:szCs w:val="18"/>
                    </w:rPr>
                    <w:t>EC average allocated amount per year per capita €</w:t>
                  </w:r>
                </w:p>
              </w:tc>
              <w:tc>
                <w:tcPr>
                  <w:tcW w:w="1417" w:type="dxa"/>
                  <w:tcBorders>
                    <w:top w:val="nil"/>
                    <w:left w:val="nil"/>
                    <w:bottom w:val="single" w:sz="12" w:space="0" w:color="17375D"/>
                    <w:right w:val="single" w:sz="12" w:space="0" w:color="17375D"/>
                  </w:tcBorders>
                  <w:shd w:val="clear" w:color="000000" w:fill="F2F2F2"/>
                  <w:noWrap/>
                  <w:vAlign w:val="center"/>
                  <w:hideMark/>
                </w:tcPr>
                <w:p w:rsidR="005D72C2" w:rsidRPr="0024556C" w:rsidRDefault="005D72C2" w:rsidP="005D72C2">
                  <w:pPr>
                    <w:framePr w:hSpace="141" w:wrap="around" w:vAnchor="text" w:hAnchor="margin" w:xAlign="center" w:y="1386"/>
                    <w:spacing w:before="0" w:after="0"/>
                    <w:suppressOverlap/>
                    <w:jc w:val="center"/>
                    <w:rPr>
                      <w:rFonts w:ascii="Arial" w:hAnsi="Arial" w:cs="Arial"/>
                      <w:color w:val="000000"/>
                      <w:sz w:val="18"/>
                      <w:szCs w:val="18"/>
                    </w:rPr>
                  </w:pPr>
                  <w:r w:rsidRPr="0024556C">
                    <w:rPr>
                      <w:rFonts w:ascii="Arial" w:hAnsi="Arial" w:cs="Arial"/>
                      <w:color w:val="000000"/>
                      <w:sz w:val="18"/>
                      <w:szCs w:val="18"/>
                    </w:rPr>
                    <w:t>98</w:t>
                  </w:r>
                </w:p>
              </w:tc>
              <w:tc>
                <w:tcPr>
                  <w:tcW w:w="1843" w:type="dxa"/>
                  <w:tcBorders>
                    <w:top w:val="nil"/>
                    <w:left w:val="nil"/>
                    <w:bottom w:val="single" w:sz="12" w:space="0" w:color="17375D"/>
                    <w:right w:val="single" w:sz="2" w:space="0" w:color="17375D"/>
                  </w:tcBorders>
                  <w:shd w:val="clear" w:color="000000" w:fill="F2F2F2"/>
                  <w:vAlign w:val="center"/>
                </w:tcPr>
                <w:p w:rsidR="005D72C2" w:rsidRPr="0024556C" w:rsidRDefault="005D72C2" w:rsidP="005D72C2">
                  <w:pPr>
                    <w:framePr w:hSpace="141" w:wrap="around" w:vAnchor="text" w:hAnchor="margin" w:xAlign="center" w:y="1386"/>
                    <w:spacing w:before="0" w:after="0"/>
                    <w:suppressOverlap/>
                    <w:jc w:val="center"/>
                    <w:rPr>
                      <w:rFonts w:ascii="Arial" w:hAnsi="Arial" w:cs="Arial"/>
                      <w:color w:val="000000"/>
                      <w:sz w:val="18"/>
                      <w:szCs w:val="18"/>
                    </w:rPr>
                  </w:pPr>
                  <w:r w:rsidRPr="0024556C">
                    <w:rPr>
                      <w:rFonts w:ascii="Arial" w:hAnsi="Arial" w:cs="Arial"/>
                      <w:color w:val="000000"/>
                      <w:sz w:val="18"/>
                      <w:szCs w:val="18"/>
                    </w:rPr>
                    <w:t>86</w:t>
                  </w:r>
                </w:p>
              </w:tc>
              <w:tc>
                <w:tcPr>
                  <w:tcW w:w="1843" w:type="dxa"/>
                  <w:tcBorders>
                    <w:top w:val="nil"/>
                    <w:left w:val="single" w:sz="2" w:space="0" w:color="17375D"/>
                    <w:bottom w:val="single" w:sz="12" w:space="0" w:color="17375D"/>
                    <w:right w:val="single" w:sz="12" w:space="0" w:color="17375D"/>
                  </w:tcBorders>
                  <w:shd w:val="clear" w:color="000000" w:fill="F2F2F2"/>
                  <w:vAlign w:val="center"/>
                </w:tcPr>
                <w:p w:rsidR="005D72C2" w:rsidRPr="0024556C" w:rsidRDefault="005D72C2" w:rsidP="005D72C2">
                  <w:pPr>
                    <w:framePr w:hSpace="141" w:wrap="around" w:vAnchor="text" w:hAnchor="margin" w:xAlign="center" w:y="1386"/>
                    <w:spacing w:before="0" w:after="0"/>
                    <w:suppressOverlap/>
                    <w:jc w:val="center"/>
                    <w:rPr>
                      <w:rFonts w:ascii="Arial" w:hAnsi="Arial" w:cs="Arial"/>
                      <w:color w:val="000000"/>
                      <w:sz w:val="18"/>
                      <w:szCs w:val="18"/>
                    </w:rPr>
                  </w:pPr>
                  <w:r w:rsidRPr="0024556C">
                    <w:rPr>
                      <w:rFonts w:ascii="Arial" w:hAnsi="Arial" w:cs="Arial"/>
                      <w:color w:val="000000"/>
                      <w:sz w:val="18"/>
                      <w:szCs w:val="18"/>
                    </w:rPr>
                    <w:t>12</w:t>
                  </w:r>
                </w:p>
              </w:tc>
            </w:tr>
          </w:tbl>
          <w:p w:rsidR="005D72C2" w:rsidRPr="002A09B4" w:rsidRDefault="005D72C2" w:rsidP="005D72C2">
            <w:pPr>
              <w:spacing w:before="0" w:after="0"/>
              <w:jc w:val="center"/>
              <w:rPr>
                <w:rFonts w:ascii="Arial" w:hAnsi="Arial" w:cs="Arial"/>
                <w:b/>
                <w:bCs/>
                <w:sz w:val="16"/>
                <w:szCs w:val="16"/>
              </w:rPr>
            </w:pPr>
            <w:r w:rsidRPr="002A09B4">
              <w:rPr>
                <w:rFonts w:ascii="Arial" w:hAnsi="Arial" w:cs="Arial"/>
                <w:i/>
                <w:sz w:val="16"/>
                <w:szCs w:val="16"/>
              </w:rPr>
              <w:t xml:space="preserve">Source: Palestinian Central Bureau of Statistics </w:t>
            </w:r>
            <w:hyperlink r:id="rId143" w:history="1">
              <w:r w:rsidRPr="002A09B4">
                <w:rPr>
                  <w:rStyle w:val="Collegamentoipertestuale"/>
                  <w:rFonts w:ascii="Arial" w:hAnsi="Arial" w:cs="Arial"/>
                  <w:i/>
                  <w:sz w:val="16"/>
                  <w:szCs w:val="16"/>
                </w:rPr>
                <w:t>www.pcbs.gov.ps</w:t>
              </w:r>
            </w:hyperlink>
            <w:r w:rsidRPr="002A09B4">
              <w:rPr>
                <w:rFonts w:ascii="Arial" w:hAnsi="Arial" w:cs="Arial"/>
                <w:i/>
                <w:sz w:val="16"/>
                <w:szCs w:val="16"/>
              </w:rPr>
              <w:t xml:space="preserve"> and DWH</w:t>
            </w:r>
          </w:p>
        </w:tc>
      </w:tr>
    </w:tbl>
    <w:p w:rsidR="00A23C41" w:rsidRPr="007E794E" w:rsidRDefault="0013435C" w:rsidP="0013435C">
      <w:pPr>
        <w:spacing w:before="0" w:after="0"/>
        <w:rPr>
          <w:rFonts w:ascii="Arial" w:hAnsi="Arial" w:cs="Arial"/>
          <w:sz w:val="22"/>
          <w:szCs w:val="22"/>
        </w:rPr>
      </w:pPr>
      <w:r w:rsidRPr="006E5D36">
        <w:rPr>
          <w:rFonts w:ascii="Arial" w:hAnsi="Arial" w:cs="Arial"/>
          <w:sz w:val="22"/>
          <w:szCs w:val="22"/>
        </w:rPr>
        <w:t xml:space="preserve">Over the evaluation period the EC </w:t>
      </w:r>
      <w:r w:rsidR="009D7E2C">
        <w:rPr>
          <w:rFonts w:ascii="Arial" w:hAnsi="Arial" w:cs="Arial"/>
          <w:sz w:val="22"/>
          <w:szCs w:val="22"/>
        </w:rPr>
        <w:t>pledged</w:t>
      </w:r>
      <w:r w:rsidRPr="006E5D36">
        <w:rPr>
          <w:rFonts w:ascii="Arial" w:hAnsi="Arial" w:cs="Arial"/>
          <w:sz w:val="22"/>
          <w:szCs w:val="22"/>
        </w:rPr>
        <w:t xml:space="preserve"> </w:t>
      </w:r>
      <w:r w:rsidRPr="006E5D36">
        <w:rPr>
          <w:rFonts w:ascii="Arial" w:hAnsi="Arial" w:cs="Arial"/>
          <w:b/>
          <w:sz w:val="22"/>
          <w:szCs w:val="22"/>
        </w:rPr>
        <w:t>€2.</w:t>
      </w:r>
      <w:r w:rsidR="002D6996">
        <w:rPr>
          <w:rFonts w:ascii="Arial" w:hAnsi="Arial" w:cs="Arial"/>
          <w:b/>
          <w:sz w:val="22"/>
          <w:szCs w:val="22"/>
        </w:rPr>
        <w:t>5</w:t>
      </w:r>
      <w:r w:rsidRPr="006E5D36">
        <w:rPr>
          <w:rFonts w:ascii="Arial" w:hAnsi="Arial" w:cs="Arial"/>
          <w:b/>
          <w:sz w:val="22"/>
          <w:szCs w:val="22"/>
        </w:rPr>
        <w:t>billions</w:t>
      </w:r>
      <w:r w:rsidRPr="006E5D36">
        <w:rPr>
          <w:rStyle w:val="Rimandonotaapidipagina"/>
          <w:rFonts w:cs="Arial"/>
          <w:b/>
        </w:rPr>
        <w:footnoteReference w:id="68"/>
      </w:r>
      <w:r w:rsidRPr="006E5D36">
        <w:rPr>
          <w:rFonts w:ascii="Arial" w:hAnsi="Arial" w:cs="Arial"/>
          <w:b/>
          <w:sz w:val="22"/>
          <w:szCs w:val="22"/>
        </w:rPr>
        <w:t xml:space="preserve"> </w:t>
      </w:r>
      <w:r w:rsidR="005D72C2" w:rsidRPr="00636696">
        <w:rPr>
          <w:rFonts w:ascii="Arial" w:hAnsi="Arial" w:cs="Arial"/>
          <w:sz w:val="22"/>
          <w:szCs w:val="22"/>
        </w:rPr>
        <w:t>to Palestine including both DEVCO and ECHO interventions, which amount to €2.2M of Allocated amount</w:t>
      </w:r>
      <w:r w:rsidR="009D7E2C">
        <w:rPr>
          <w:rStyle w:val="Rimandonotaapidipagina"/>
          <w:rFonts w:cs="Arial"/>
        </w:rPr>
        <w:footnoteReference w:id="69"/>
      </w:r>
      <w:r w:rsidR="005D72C2" w:rsidRPr="00636696">
        <w:rPr>
          <w:rFonts w:ascii="Arial" w:hAnsi="Arial" w:cs="Arial"/>
          <w:sz w:val="22"/>
          <w:szCs w:val="22"/>
        </w:rPr>
        <w:t xml:space="preserve"> (88%) and €311M (12%) of Committed amount</w:t>
      </w:r>
      <w:r w:rsidR="005D72C2" w:rsidRPr="00636696">
        <w:rPr>
          <w:rStyle w:val="Rimandonotaapidipagina"/>
          <w:rFonts w:cs="Arial"/>
        </w:rPr>
        <w:footnoteReference w:id="70"/>
      </w:r>
      <w:r w:rsidR="005D72C2" w:rsidRPr="00636696">
        <w:rPr>
          <w:rFonts w:ascii="Arial" w:hAnsi="Arial" w:cs="Arial"/>
          <w:sz w:val="22"/>
          <w:szCs w:val="22"/>
        </w:rPr>
        <w:t xml:space="preserve"> respectively. The EC’s total annual contribution amounts to an average of €422M and represents 5.7% of Palestinian GDP, which corresponds to an average of €98 per capita</w:t>
      </w:r>
      <w:r w:rsidR="00A23C41" w:rsidRPr="007E794E">
        <w:rPr>
          <w:rFonts w:ascii="Arial" w:hAnsi="Arial" w:cs="Arial"/>
          <w:sz w:val="22"/>
          <w:szCs w:val="22"/>
        </w:rPr>
        <w:t xml:space="preserve">. </w:t>
      </w:r>
    </w:p>
    <w:p w:rsidR="009D7E2C" w:rsidRDefault="009D7E2C" w:rsidP="00A23C41">
      <w:pPr>
        <w:spacing w:before="0" w:after="0"/>
        <w:rPr>
          <w:rFonts w:ascii="Arial" w:eastAsia="Times" w:hAnsi="Arial" w:cs="Arial"/>
          <w:b/>
          <w:smallCaps/>
          <w:color w:val="1F497D" w:themeColor="text2"/>
          <w:spacing w:val="-1"/>
          <w:sz w:val="24"/>
          <w:szCs w:val="24"/>
          <w:lang w:val="en-GB"/>
        </w:rPr>
      </w:pPr>
    </w:p>
    <w:p w:rsidR="00A23C41" w:rsidRDefault="00A23C41" w:rsidP="00A23C41">
      <w:pPr>
        <w:spacing w:before="0" w:after="0"/>
        <w:rPr>
          <w:rFonts w:ascii="Arial" w:eastAsia="Times" w:hAnsi="Arial" w:cs="Arial"/>
          <w:b/>
          <w:caps/>
          <w:color w:val="1F497D" w:themeColor="text2"/>
          <w:spacing w:val="-1"/>
          <w:sz w:val="24"/>
          <w:szCs w:val="24"/>
          <w:lang w:val="en-GB"/>
        </w:rPr>
      </w:pPr>
      <w:r w:rsidRPr="00EF09A2">
        <w:rPr>
          <w:rFonts w:ascii="Arial" w:eastAsia="Times" w:hAnsi="Arial" w:cs="Arial"/>
          <w:b/>
          <w:smallCaps/>
          <w:color w:val="1F497D" w:themeColor="text2"/>
          <w:spacing w:val="-1"/>
          <w:sz w:val="24"/>
          <w:szCs w:val="24"/>
          <w:lang w:val="en-GB"/>
        </w:rPr>
        <w:t>2.2</w:t>
      </w:r>
      <w:r w:rsidRPr="00EF09A2">
        <w:rPr>
          <w:rFonts w:ascii="Arial" w:eastAsia="Times" w:hAnsi="Arial" w:cs="Arial"/>
          <w:b/>
          <w:smallCaps/>
          <w:color w:val="1F497D" w:themeColor="text2"/>
          <w:spacing w:val="-1"/>
          <w:sz w:val="24"/>
          <w:szCs w:val="24"/>
          <w:lang w:val="en-GB"/>
        </w:rPr>
        <w:tab/>
      </w:r>
      <w:r w:rsidRPr="00A23C41">
        <w:rPr>
          <w:rFonts w:ascii="Arial" w:eastAsia="Times" w:hAnsi="Arial" w:cs="Arial"/>
          <w:b/>
          <w:color w:val="1F497D" w:themeColor="text2"/>
          <w:spacing w:val="-1"/>
          <w:sz w:val="24"/>
          <w:szCs w:val="24"/>
          <w:lang w:val="en-GB"/>
        </w:rPr>
        <w:t>DEVCO - Interventions</w:t>
      </w:r>
      <w:r w:rsidRPr="00EF09A2">
        <w:rPr>
          <w:rFonts w:ascii="Arial" w:eastAsia="Times" w:hAnsi="Arial" w:cs="Arial"/>
          <w:b/>
          <w:caps/>
          <w:color w:val="1F497D" w:themeColor="text2"/>
          <w:spacing w:val="-1"/>
          <w:sz w:val="24"/>
          <w:szCs w:val="24"/>
          <w:lang w:val="en-GB"/>
        </w:rPr>
        <w:t xml:space="preserve"> </w:t>
      </w:r>
    </w:p>
    <w:p w:rsidR="009D7E2C" w:rsidRPr="00EF09A2" w:rsidRDefault="009D7E2C" w:rsidP="00A23C41">
      <w:pPr>
        <w:spacing w:before="0" w:after="0"/>
        <w:rPr>
          <w:rFonts w:ascii="Arial" w:eastAsia="Times" w:hAnsi="Arial" w:cs="Arial"/>
          <w:b/>
          <w:smallCaps/>
          <w:color w:val="1F497D" w:themeColor="text2"/>
          <w:spacing w:val="-1"/>
          <w:sz w:val="24"/>
          <w:szCs w:val="24"/>
          <w:lang w:val="en-GB"/>
        </w:rPr>
      </w:pPr>
    </w:p>
    <w:p w:rsidR="00A23C41" w:rsidRPr="00EF09A2" w:rsidRDefault="00A23C41" w:rsidP="00A23C41">
      <w:pPr>
        <w:spacing w:before="0" w:after="0"/>
        <w:rPr>
          <w:rFonts w:ascii="Arial" w:eastAsia="Times" w:hAnsi="Arial" w:cs="Arial"/>
          <w:b/>
          <w:smallCaps/>
          <w:color w:val="1F497D" w:themeColor="text2"/>
          <w:spacing w:val="-1"/>
          <w:sz w:val="24"/>
          <w:szCs w:val="24"/>
          <w:lang w:val="en-GB"/>
        </w:rPr>
      </w:pPr>
      <w:r w:rsidRPr="00EF09A2">
        <w:rPr>
          <w:rFonts w:ascii="Arial" w:eastAsia="Times" w:hAnsi="Arial" w:cs="Arial"/>
          <w:b/>
          <w:smallCaps/>
          <w:color w:val="1F497D" w:themeColor="text2"/>
          <w:spacing w:val="-1"/>
          <w:sz w:val="24"/>
          <w:szCs w:val="24"/>
          <w:lang w:val="en-GB"/>
        </w:rPr>
        <w:t>Overall Amounts</w:t>
      </w:r>
    </w:p>
    <w:p w:rsidR="00A23C41" w:rsidRDefault="00A23C41" w:rsidP="00A23C41">
      <w:pPr>
        <w:spacing w:before="0" w:after="0"/>
        <w:rPr>
          <w:rFonts w:ascii="Arial" w:hAnsi="Arial" w:cs="Arial"/>
          <w:sz w:val="24"/>
          <w:szCs w:val="24"/>
        </w:rPr>
      </w:pPr>
      <w:r w:rsidRPr="002A09B4">
        <w:rPr>
          <w:rFonts w:ascii="Arial" w:hAnsi="Arial" w:cs="Arial"/>
          <w:sz w:val="22"/>
          <w:szCs w:val="22"/>
        </w:rPr>
        <w:t xml:space="preserve">Figure 2 describes distribution of </w:t>
      </w:r>
      <w:r w:rsidR="00A96ED2">
        <w:rPr>
          <w:rFonts w:ascii="Arial" w:hAnsi="Arial" w:cs="Arial"/>
          <w:sz w:val="22"/>
          <w:szCs w:val="22"/>
        </w:rPr>
        <w:t>allocated</w:t>
      </w:r>
      <w:r w:rsidRPr="002A09B4">
        <w:rPr>
          <w:rFonts w:ascii="Arial" w:hAnsi="Arial" w:cs="Arial"/>
          <w:sz w:val="22"/>
          <w:szCs w:val="22"/>
        </w:rPr>
        <w:t xml:space="preserve">, </w:t>
      </w:r>
      <w:r w:rsidR="00A96ED2">
        <w:rPr>
          <w:rFonts w:ascii="Arial" w:hAnsi="Arial" w:cs="Arial"/>
          <w:sz w:val="22"/>
          <w:szCs w:val="22"/>
        </w:rPr>
        <w:t>committed</w:t>
      </w:r>
      <w:r w:rsidRPr="002A09B4">
        <w:rPr>
          <w:rFonts w:ascii="Arial" w:hAnsi="Arial" w:cs="Arial"/>
          <w:sz w:val="22"/>
          <w:szCs w:val="22"/>
        </w:rPr>
        <w:t xml:space="preserve"> and </w:t>
      </w:r>
      <w:r w:rsidR="00AE6360">
        <w:rPr>
          <w:rFonts w:ascii="Arial" w:hAnsi="Arial" w:cs="Arial"/>
          <w:sz w:val="22"/>
          <w:szCs w:val="22"/>
        </w:rPr>
        <w:t>disbursed amount</w:t>
      </w:r>
      <w:r w:rsidRPr="002A09B4">
        <w:rPr>
          <w:rFonts w:ascii="Arial" w:hAnsi="Arial" w:cs="Arial"/>
          <w:sz w:val="22"/>
          <w:szCs w:val="22"/>
        </w:rPr>
        <w:t>s throughout the evaluation period 2008 – 201</w:t>
      </w:r>
      <w:r>
        <w:rPr>
          <w:rFonts w:ascii="Arial" w:hAnsi="Arial" w:cs="Arial"/>
          <w:sz w:val="22"/>
          <w:szCs w:val="22"/>
        </w:rPr>
        <w:t>3</w:t>
      </w:r>
      <w:r w:rsidRPr="00EF09A2">
        <w:rPr>
          <w:rFonts w:ascii="Arial" w:hAnsi="Arial" w:cs="Arial"/>
          <w:sz w:val="24"/>
          <w:szCs w:val="24"/>
        </w:rPr>
        <w:t xml:space="preserve">. </w:t>
      </w:r>
    </w:p>
    <w:tbl>
      <w:tblPr>
        <w:tblStyle w:val="Grigliatabella"/>
        <w:tblW w:w="0" w:type="auto"/>
        <w:jc w:val="center"/>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Look w:val="04A0"/>
      </w:tblPr>
      <w:tblGrid>
        <w:gridCol w:w="8525"/>
      </w:tblGrid>
      <w:tr w:rsidR="00A23C41" w:rsidRPr="00EF09A2" w:rsidTr="00A96ED2">
        <w:trPr>
          <w:trHeight w:val="3670"/>
          <w:jc w:val="center"/>
        </w:trPr>
        <w:tc>
          <w:tcPr>
            <w:tcW w:w="8525" w:type="dxa"/>
          </w:tcPr>
          <w:p w:rsidR="00A23C41" w:rsidRPr="00EF09A2" w:rsidRDefault="00A23C41" w:rsidP="00A23C41">
            <w:pPr>
              <w:spacing w:before="0" w:after="0"/>
              <w:jc w:val="center"/>
              <w:rPr>
                <w:rFonts w:ascii="Arial" w:hAnsi="Arial" w:cs="Arial"/>
                <w:b/>
                <w:bCs/>
                <w:color w:val="1F497D" w:themeColor="text2"/>
                <w:sz w:val="20"/>
              </w:rPr>
            </w:pPr>
            <w:bookmarkStart w:id="79" w:name="_Ref363653181"/>
            <w:bookmarkStart w:id="80" w:name="_Toc366744930"/>
            <w:r w:rsidRPr="002A09B4">
              <w:rPr>
                <w:rFonts w:ascii="Arial" w:hAnsi="Arial" w:cs="Arial"/>
                <w:b/>
                <w:bCs/>
                <w:color w:val="1F497D" w:themeColor="text2"/>
                <w:sz w:val="18"/>
                <w:szCs w:val="18"/>
              </w:rPr>
              <w:t>Figure</w:t>
            </w:r>
            <w:bookmarkEnd w:id="79"/>
            <w:r w:rsidRPr="002A09B4">
              <w:rPr>
                <w:rFonts w:ascii="Arial" w:hAnsi="Arial" w:cs="Arial"/>
                <w:b/>
                <w:bCs/>
                <w:color w:val="1F497D" w:themeColor="text2"/>
                <w:sz w:val="18"/>
                <w:szCs w:val="18"/>
              </w:rPr>
              <w:t xml:space="preserve"> 2: </w:t>
            </w:r>
            <w:r w:rsidR="00A96ED2">
              <w:rPr>
                <w:rFonts w:ascii="Arial" w:hAnsi="Arial" w:cs="Arial"/>
                <w:b/>
                <w:bCs/>
                <w:color w:val="1F497D" w:themeColor="text2"/>
                <w:sz w:val="18"/>
                <w:szCs w:val="18"/>
              </w:rPr>
              <w:t>DEVCO</w:t>
            </w:r>
            <w:r w:rsidRPr="002A09B4">
              <w:rPr>
                <w:rFonts w:ascii="Arial" w:hAnsi="Arial" w:cs="Arial"/>
                <w:b/>
                <w:bCs/>
                <w:color w:val="1F497D" w:themeColor="text2"/>
                <w:sz w:val="18"/>
                <w:szCs w:val="18"/>
              </w:rPr>
              <w:t xml:space="preserve"> </w:t>
            </w:r>
            <w:r w:rsidR="00A96ED2">
              <w:rPr>
                <w:rFonts w:ascii="Arial" w:hAnsi="Arial" w:cs="Arial"/>
                <w:b/>
                <w:bCs/>
                <w:color w:val="1F497D" w:themeColor="text2"/>
                <w:sz w:val="18"/>
                <w:szCs w:val="18"/>
              </w:rPr>
              <w:t>Allocated/</w:t>
            </w:r>
            <w:r w:rsidR="00D970D4">
              <w:rPr>
                <w:rFonts w:ascii="Arial" w:hAnsi="Arial" w:cs="Arial"/>
                <w:b/>
                <w:bCs/>
                <w:color w:val="1F497D" w:themeColor="text2"/>
                <w:sz w:val="18"/>
                <w:szCs w:val="18"/>
              </w:rPr>
              <w:t>Committed</w:t>
            </w:r>
            <w:r w:rsidRPr="002A09B4">
              <w:rPr>
                <w:rFonts w:ascii="Arial" w:hAnsi="Arial" w:cs="Arial"/>
                <w:b/>
                <w:bCs/>
                <w:color w:val="1F497D" w:themeColor="text2"/>
                <w:sz w:val="18"/>
                <w:szCs w:val="18"/>
              </w:rPr>
              <w:t>/</w:t>
            </w:r>
            <w:r w:rsidR="00AE6360">
              <w:rPr>
                <w:rFonts w:ascii="Arial" w:hAnsi="Arial" w:cs="Arial"/>
                <w:b/>
                <w:bCs/>
                <w:color w:val="1F497D" w:themeColor="text2"/>
                <w:sz w:val="18"/>
                <w:szCs w:val="18"/>
              </w:rPr>
              <w:t>Disbursed amount</w:t>
            </w:r>
            <w:r w:rsidRPr="002A09B4">
              <w:rPr>
                <w:rFonts w:ascii="Arial" w:hAnsi="Arial" w:cs="Arial"/>
                <w:b/>
                <w:bCs/>
                <w:color w:val="1F497D" w:themeColor="text2"/>
                <w:sz w:val="18"/>
                <w:szCs w:val="18"/>
              </w:rPr>
              <w:t xml:space="preserve"> to Palestine by year, 2008-2013 - €M</w:t>
            </w:r>
            <w:r w:rsidRPr="002A09B4">
              <w:rPr>
                <w:rStyle w:val="Rimandonotaapidipagina"/>
                <w:rFonts w:ascii="Arial" w:hAnsi="Arial" w:cs="Arial"/>
                <w:bCs/>
                <w:color w:val="1F497D" w:themeColor="text2"/>
                <w:sz w:val="18"/>
                <w:szCs w:val="18"/>
              </w:rPr>
              <w:footnoteReference w:id="71"/>
            </w:r>
            <w:bookmarkEnd w:id="80"/>
          </w:p>
          <w:p w:rsidR="00A23C41" w:rsidRPr="00EF09A2" w:rsidRDefault="00A23C41" w:rsidP="00A23C41">
            <w:pPr>
              <w:spacing w:before="0" w:after="0"/>
              <w:jc w:val="center"/>
              <w:rPr>
                <w:rFonts w:ascii="Arial" w:hAnsi="Arial" w:cs="Arial"/>
                <w:b/>
                <w:bCs/>
                <w:color w:val="1F497D" w:themeColor="text2"/>
                <w:sz w:val="20"/>
              </w:rPr>
            </w:pPr>
            <w:r w:rsidRPr="000E5F2C">
              <w:rPr>
                <w:rFonts w:ascii="Arial" w:hAnsi="Arial" w:cs="Arial"/>
                <w:b/>
                <w:bCs/>
                <w:noProof/>
                <w:color w:val="1F497D" w:themeColor="text2"/>
                <w:sz w:val="20"/>
                <w:lang w:val="it-IT" w:eastAsia="it-IT"/>
              </w:rPr>
              <w:drawing>
                <wp:inline distT="0" distB="0" distL="0" distR="0">
                  <wp:extent cx="4848225" cy="2390775"/>
                  <wp:effectExtent l="0" t="0" r="0" b="0"/>
                  <wp:docPr id="107" name="Grafico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
                    </a:graphicData>
                  </a:graphic>
                </wp:inline>
              </w:drawing>
            </w:r>
          </w:p>
        </w:tc>
      </w:tr>
    </w:tbl>
    <w:p w:rsidR="00A23C41" w:rsidRPr="009D24AA" w:rsidRDefault="00A23C41" w:rsidP="00A23C41">
      <w:pPr>
        <w:spacing w:before="0" w:after="0"/>
        <w:jc w:val="center"/>
        <w:rPr>
          <w:rFonts w:ascii="Arial" w:hAnsi="Arial" w:cs="Arial"/>
          <w:sz w:val="16"/>
          <w:szCs w:val="16"/>
        </w:rPr>
      </w:pPr>
      <w:r w:rsidRPr="009D24AA">
        <w:rPr>
          <w:rFonts w:ascii="Arial" w:hAnsi="Arial" w:cs="Arial"/>
          <w:bCs/>
          <w:i/>
          <w:sz w:val="16"/>
          <w:szCs w:val="16"/>
        </w:rPr>
        <w:t>Source: DWH/CRIS and DRN elaboration</w:t>
      </w:r>
    </w:p>
    <w:p w:rsidR="00A23C41" w:rsidRPr="009D24AA" w:rsidRDefault="00A23C41" w:rsidP="00A23C41">
      <w:pPr>
        <w:spacing w:before="0" w:after="0"/>
        <w:rPr>
          <w:rFonts w:ascii="Arial" w:hAnsi="Arial" w:cs="Arial"/>
          <w:sz w:val="22"/>
          <w:szCs w:val="22"/>
        </w:rPr>
      </w:pPr>
      <w:r w:rsidRPr="00FD44AE">
        <w:rPr>
          <w:rFonts w:ascii="Arial" w:hAnsi="Arial" w:cs="Arial"/>
          <w:sz w:val="22"/>
          <w:szCs w:val="22"/>
        </w:rPr>
        <w:lastRenderedPageBreak/>
        <w:t xml:space="preserve">The EC issued a total of 589 contracts for a total </w:t>
      </w:r>
      <w:r w:rsidR="009D7E2C">
        <w:rPr>
          <w:rFonts w:ascii="Arial" w:hAnsi="Arial" w:cs="Arial"/>
          <w:sz w:val="22"/>
          <w:szCs w:val="22"/>
        </w:rPr>
        <w:t>committed amount</w:t>
      </w:r>
      <w:r w:rsidRPr="00FD44AE">
        <w:rPr>
          <w:rFonts w:ascii="Arial" w:hAnsi="Arial" w:cs="Arial"/>
          <w:sz w:val="22"/>
          <w:szCs w:val="22"/>
        </w:rPr>
        <w:t xml:space="preserve"> of €2.1bn </w:t>
      </w:r>
      <w:r w:rsidRPr="00FD44AE">
        <w:rPr>
          <w:rStyle w:val="Rimandonotaapidipagina"/>
          <w:rFonts w:ascii="Arial" w:hAnsi="Arial" w:cs="Arial"/>
          <w:sz w:val="22"/>
          <w:szCs w:val="22"/>
        </w:rPr>
        <w:footnoteReference w:id="72"/>
      </w:r>
      <w:r w:rsidRPr="00FD44AE">
        <w:rPr>
          <w:rFonts w:ascii="Arial" w:hAnsi="Arial" w:cs="Arial"/>
          <w:sz w:val="22"/>
          <w:szCs w:val="22"/>
        </w:rPr>
        <w:t xml:space="preserve"> and the</w:t>
      </w:r>
      <w:r w:rsidRPr="009D24AA">
        <w:rPr>
          <w:rFonts w:ascii="Arial" w:hAnsi="Arial" w:cs="Arial"/>
          <w:sz w:val="22"/>
          <w:szCs w:val="22"/>
        </w:rPr>
        <w:t xml:space="preserve"> figure evidences significant variations in resources distribution through the evaluation period, with a significant drop of 50% of </w:t>
      </w:r>
      <w:r w:rsidR="009D7E2C">
        <w:rPr>
          <w:rFonts w:ascii="Arial" w:hAnsi="Arial" w:cs="Arial"/>
          <w:sz w:val="22"/>
          <w:szCs w:val="22"/>
        </w:rPr>
        <w:t>committed amount</w:t>
      </w:r>
      <w:r w:rsidRPr="009D24AA">
        <w:rPr>
          <w:rFonts w:ascii="Arial" w:hAnsi="Arial" w:cs="Arial"/>
          <w:sz w:val="22"/>
          <w:szCs w:val="22"/>
        </w:rPr>
        <w:t xml:space="preserve"> from €542m in 2008 to €272m in 2012. The trend of cooperation resources needs to be interpreted in the light of:</w:t>
      </w:r>
    </w:p>
    <w:p w:rsidR="00A23C41" w:rsidRPr="009D24AA" w:rsidRDefault="00A23C41" w:rsidP="00A23C41">
      <w:pPr>
        <w:spacing w:before="0" w:after="0"/>
        <w:rPr>
          <w:rFonts w:ascii="Arial" w:hAnsi="Arial" w:cs="Arial"/>
          <w:sz w:val="22"/>
          <w:szCs w:val="22"/>
        </w:rPr>
      </w:pPr>
    </w:p>
    <w:p w:rsidR="00A23C41" w:rsidRPr="009D24AA" w:rsidRDefault="00A23C41" w:rsidP="00B54C8F">
      <w:pPr>
        <w:pStyle w:val="Paragrafoelenco"/>
        <w:numPr>
          <w:ilvl w:val="0"/>
          <w:numId w:val="40"/>
        </w:numPr>
        <w:spacing w:before="0" w:after="0"/>
        <w:ind w:left="284" w:hanging="284"/>
        <w:rPr>
          <w:rFonts w:ascii="Arial" w:hAnsi="Arial" w:cs="Arial"/>
          <w:sz w:val="22"/>
          <w:szCs w:val="22"/>
        </w:rPr>
      </w:pPr>
      <w:r w:rsidRPr="009D24AA">
        <w:rPr>
          <w:rFonts w:ascii="Arial" w:hAnsi="Arial" w:cs="Arial"/>
          <w:sz w:val="22"/>
          <w:szCs w:val="22"/>
        </w:rPr>
        <w:t>A significant peak of allocations in 2008, a result of Paris’ Donors Conference.</w:t>
      </w:r>
    </w:p>
    <w:p w:rsidR="00A23C41" w:rsidRPr="009D24AA" w:rsidRDefault="00A23C41" w:rsidP="00B54C8F">
      <w:pPr>
        <w:pStyle w:val="Paragrafoelenco"/>
        <w:numPr>
          <w:ilvl w:val="0"/>
          <w:numId w:val="40"/>
        </w:numPr>
        <w:spacing w:before="0" w:after="0"/>
        <w:ind w:left="284" w:hanging="284"/>
        <w:rPr>
          <w:rFonts w:ascii="Arial" w:hAnsi="Arial" w:cs="Arial"/>
          <w:sz w:val="22"/>
          <w:szCs w:val="22"/>
        </w:rPr>
      </w:pPr>
      <w:r w:rsidRPr="009D24AA">
        <w:rPr>
          <w:rFonts w:ascii="Arial" w:hAnsi="Arial" w:cs="Arial"/>
          <w:sz w:val="22"/>
          <w:szCs w:val="22"/>
        </w:rPr>
        <w:t>The decreasing trend in cooperation resources between 2010 and 2012, shown by the graph, can be partially explained as on several occasions there have been decisions on DFS at the end of a year to enable money committed in one year to be used in the following year.</w:t>
      </w:r>
    </w:p>
    <w:p w:rsidR="00A23C41" w:rsidRPr="00EF09A2" w:rsidRDefault="00A23C41" w:rsidP="00A23C41">
      <w:pPr>
        <w:spacing w:before="0" w:after="0"/>
        <w:jc w:val="center"/>
        <w:rPr>
          <w:rFonts w:ascii="Arial" w:hAnsi="Arial" w:cs="Arial"/>
          <w:b/>
          <w:bCs/>
          <w:color w:val="1F497D" w:themeColor="text2"/>
          <w:sz w:val="20"/>
        </w:rPr>
      </w:pPr>
    </w:p>
    <w:p w:rsidR="00A23C41" w:rsidRPr="00FD44AE" w:rsidRDefault="00A23C41" w:rsidP="00A23C41">
      <w:pPr>
        <w:spacing w:before="0" w:after="0"/>
        <w:rPr>
          <w:rFonts w:ascii="Arial" w:hAnsi="Arial" w:cs="Arial"/>
          <w:sz w:val="22"/>
          <w:szCs w:val="22"/>
        </w:rPr>
      </w:pPr>
      <w:r w:rsidRPr="00FD44AE">
        <w:rPr>
          <w:rFonts w:ascii="Arial" w:hAnsi="Arial" w:cs="Arial"/>
          <w:sz w:val="22"/>
          <w:szCs w:val="22"/>
        </w:rPr>
        <w:t xml:space="preserve">The overall </w:t>
      </w:r>
      <w:r w:rsidR="00AE6360">
        <w:rPr>
          <w:rFonts w:ascii="Arial" w:hAnsi="Arial" w:cs="Arial"/>
          <w:sz w:val="22"/>
          <w:szCs w:val="22"/>
        </w:rPr>
        <w:t>disbursed amount</w:t>
      </w:r>
      <w:r w:rsidRPr="00FD44AE">
        <w:rPr>
          <w:rFonts w:ascii="Arial" w:hAnsi="Arial" w:cs="Arial"/>
          <w:sz w:val="22"/>
          <w:szCs w:val="22"/>
        </w:rPr>
        <w:t xml:space="preserve"> of €1.9bn accounts for 91% of the overall </w:t>
      </w:r>
      <w:r w:rsidR="009D7E2C">
        <w:rPr>
          <w:rFonts w:ascii="Arial" w:hAnsi="Arial" w:cs="Arial"/>
          <w:sz w:val="22"/>
          <w:szCs w:val="22"/>
        </w:rPr>
        <w:t>committed amount</w:t>
      </w:r>
      <w:r w:rsidRPr="00FD44AE">
        <w:rPr>
          <w:rFonts w:ascii="Arial" w:hAnsi="Arial" w:cs="Arial"/>
          <w:sz w:val="22"/>
          <w:szCs w:val="22"/>
        </w:rPr>
        <w:t xml:space="preserve">. In 2008 the </w:t>
      </w:r>
      <w:r w:rsidR="00AE6360">
        <w:rPr>
          <w:rFonts w:ascii="Arial" w:hAnsi="Arial" w:cs="Arial"/>
          <w:sz w:val="22"/>
          <w:szCs w:val="22"/>
        </w:rPr>
        <w:t>disbursed amount</w:t>
      </w:r>
      <w:r w:rsidRPr="00FD44AE">
        <w:rPr>
          <w:rFonts w:ascii="Arial" w:hAnsi="Arial" w:cs="Arial"/>
          <w:sz w:val="22"/>
          <w:szCs w:val="22"/>
        </w:rPr>
        <w:t xml:space="preserve"> covered 99.9% of the </w:t>
      </w:r>
      <w:r w:rsidR="009D7E2C">
        <w:rPr>
          <w:rFonts w:ascii="Arial" w:hAnsi="Arial" w:cs="Arial"/>
          <w:sz w:val="22"/>
          <w:szCs w:val="22"/>
        </w:rPr>
        <w:t>committed amount</w:t>
      </w:r>
      <w:r w:rsidRPr="00FD44AE">
        <w:rPr>
          <w:rFonts w:ascii="Arial" w:hAnsi="Arial" w:cs="Arial"/>
          <w:sz w:val="22"/>
          <w:szCs w:val="22"/>
        </w:rPr>
        <w:t xml:space="preserve">. Over the years the percentage of the </w:t>
      </w:r>
      <w:r w:rsidR="00AE6360">
        <w:rPr>
          <w:rFonts w:ascii="Arial" w:hAnsi="Arial" w:cs="Arial"/>
          <w:sz w:val="22"/>
          <w:szCs w:val="22"/>
        </w:rPr>
        <w:t>disbursed amount</w:t>
      </w:r>
      <w:r w:rsidRPr="00FD44AE">
        <w:rPr>
          <w:rFonts w:ascii="Arial" w:hAnsi="Arial" w:cs="Arial"/>
          <w:sz w:val="22"/>
          <w:szCs w:val="22"/>
        </w:rPr>
        <w:t xml:space="preserve">s in relation to the </w:t>
      </w:r>
      <w:r w:rsidR="009D7E2C">
        <w:rPr>
          <w:rFonts w:ascii="Arial" w:hAnsi="Arial" w:cs="Arial"/>
          <w:sz w:val="22"/>
          <w:szCs w:val="22"/>
        </w:rPr>
        <w:t>committed amount</w:t>
      </w:r>
      <w:r w:rsidRPr="00FD44AE">
        <w:rPr>
          <w:rFonts w:ascii="Arial" w:hAnsi="Arial" w:cs="Arial"/>
          <w:sz w:val="22"/>
          <w:szCs w:val="22"/>
        </w:rPr>
        <w:t xml:space="preserve">s has decreased somewhat, and in 2012 was 70%.   </w:t>
      </w:r>
    </w:p>
    <w:p w:rsidR="00A23C41" w:rsidRPr="00EF09A2" w:rsidRDefault="00A23C41" w:rsidP="00A23C41">
      <w:pPr>
        <w:spacing w:before="0" w:after="0"/>
        <w:rPr>
          <w:rFonts w:ascii="Arial" w:hAnsi="Arial" w:cs="Arial"/>
          <w:sz w:val="24"/>
          <w:szCs w:val="24"/>
        </w:rPr>
      </w:pPr>
    </w:p>
    <w:p w:rsidR="00A23C41" w:rsidRPr="00EF09A2" w:rsidRDefault="00A23C41" w:rsidP="00A23C41">
      <w:pPr>
        <w:spacing w:before="0" w:after="0"/>
        <w:rPr>
          <w:rFonts w:ascii="Arial" w:hAnsi="Arial" w:cs="Arial"/>
          <w:b/>
          <w:smallCaps/>
          <w:color w:val="1F497D" w:themeColor="text2"/>
          <w:sz w:val="24"/>
          <w:szCs w:val="24"/>
        </w:rPr>
      </w:pPr>
      <w:bookmarkStart w:id="81" w:name="_Toc367291879"/>
      <w:r w:rsidRPr="00EF09A2">
        <w:rPr>
          <w:rFonts w:ascii="Arial" w:hAnsi="Arial" w:cs="Arial"/>
          <w:b/>
          <w:smallCaps/>
          <w:color w:val="1F497D" w:themeColor="text2"/>
          <w:sz w:val="24"/>
          <w:szCs w:val="24"/>
        </w:rPr>
        <w:t>Type of Cooperation</w:t>
      </w:r>
      <w:bookmarkEnd w:id="81"/>
      <w:r w:rsidRPr="00EF09A2">
        <w:rPr>
          <w:rFonts w:ascii="Arial" w:hAnsi="Arial" w:cs="Arial"/>
          <w:b/>
          <w:smallCaps/>
          <w:color w:val="1F497D" w:themeColor="text2"/>
          <w:sz w:val="24"/>
          <w:szCs w:val="24"/>
        </w:rPr>
        <w:t xml:space="preserve"> </w:t>
      </w:r>
    </w:p>
    <w:p w:rsidR="00A23C41" w:rsidRPr="00EF09A2" w:rsidRDefault="00A23C41" w:rsidP="00A23C41">
      <w:pPr>
        <w:spacing w:before="0" w:after="0"/>
        <w:rPr>
          <w:rFonts w:ascii="Arial" w:hAnsi="Arial" w:cs="Arial"/>
          <w:sz w:val="24"/>
          <w:szCs w:val="24"/>
        </w:rPr>
      </w:pPr>
      <w:r w:rsidRPr="00EF09A2">
        <w:rPr>
          <w:rFonts w:ascii="Arial" w:hAnsi="Arial" w:cs="Arial"/>
          <w:sz w:val="24"/>
          <w:szCs w:val="24"/>
        </w:rPr>
        <w:t xml:space="preserve">The EC contracts can be classified by type of cooperation as follows: </w:t>
      </w:r>
    </w:p>
    <w:p w:rsidR="00A23C41" w:rsidRPr="00EF09A2" w:rsidRDefault="00A23C41" w:rsidP="00A23C41">
      <w:pPr>
        <w:spacing w:before="0" w:after="0"/>
        <w:rPr>
          <w:rFonts w:ascii="Arial" w:hAnsi="Arial" w:cs="Arial"/>
          <w:sz w:val="24"/>
          <w:szCs w:val="24"/>
        </w:rPr>
      </w:pPr>
    </w:p>
    <w:p w:rsidR="00A23C41" w:rsidRPr="00A71B5D" w:rsidRDefault="00A23C41" w:rsidP="00B54C8F">
      <w:pPr>
        <w:pStyle w:val="Paragrafoelenco"/>
        <w:numPr>
          <w:ilvl w:val="0"/>
          <w:numId w:val="35"/>
        </w:numPr>
        <w:spacing w:before="0" w:after="0"/>
        <w:ind w:left="284" w:hanging="284"/>
        <w:rPr>
          <w:rFonts w:ascii="Arial" w:hAnsi="Arial" w:cs="Arial"/>
          <w:sz w:val="22"/>
          <w:szCs w:val="22"/>
        </w:rPr>
      </w:pPr>
      <w:r w:rsidRPr="00A71B5D">
        <w:rPr>
          <w:rFonts w:ascii="Arial" w:hAnsi="Arial" w:cs="Arial"/>
          <w:b/>
          <w:sz w:val="22"/>
          <w:szCs w:val="22"/>
        </w:rPr>
        <w:t xml:space="preserve">Bilateral Cooperation </w:t>
      </w:r>
      <w:r w:rsidRPr="00A71B5D">
        <w:rPr>
          <w:rFonts w:ascii="Arial" w:hAnsi="Arial" w:cs="Arial"/>
          <w:sz w:val="22"/>
          <w:szCs w:val="22"/>
        </w:rPr>
        <w:t>– (BIL): including contracts falling under Decisions relating to the EC’s Annual Programs for Palestine and financed through geographical funding instruments (ENPI and MED</w:t>
      </w:r>
      <w:r w:rsidRPr="00A71B5D">
        <w:rPr>
          <w:rStyle w:val="Rimandonotaapidipagina"/>
          <w:rFonts w:ascii="Arial" w:hAnsi="Arial" w:cs="Arial"/>
          <w:sz w:val="22"/>
          <w:szCs w:val="22"/>
        </w:rPr>
        <w:footnoteReference w:id="73"/>
      </w:r>
      <w:r w:rsidRPr="00A71B5D">
        <w:rPr>
          <w:rFonts w:ascii="Arial" w:hAnsi="Arial" w:cs="Arial"/>
          <w:sz w:val="22"/>
          <w:szCs w:val="22"/>
        </w:rPr>
        <w:t xml:space="preserve">); </w:t>
      </w:r>
    </w:p>
    <w:p w:rsidR="00A23C41" w:rsidRPr="00A71B5D" w:rsidRDefault="00A23C41" w:rsidP="00B54C8F">
      <w:pPr>
        <w:pStyle w:val="Paragrafoelenco"/>
        <w:numPr>
          <w:ilvl w:val="0"/>
          <w:numId w:val="35"/>
        </w:numPr>
        <w:spacing w:before="0" w:after="0"/>
        <w:ind w:left="284" w:hanging="284"/>
        <w:rPr>
          <w:rFonts w:ascii="Arial" w:hAnsi="Arial" w:cs="Arial"/>
          <w:sz w:val="22"/>
          <w:szCs w:val="22"/>
        </w:rPr>
      </w:pPr>
      <w:r w:rsidRPr="00A71B5D">
        <w:rPr>
          <w:rFonts w:ascii="Arial" w:hAnsi="Arial" w:cs="Arial"/>
          <w:b/>
          <w:sz w:val="22"/>
          <w:szCs w:val="22"/>
        </w:rPr>
        <w:t xml:space="preserve">Regional Cooperation </w:t>
      </w:r>
      <w:r w:rsidRPr="00A71B5D">
        <w:rPr>
          <w:rFonts w:ascii="Arial" w:hAnsi="Arial" w:cs="Arial"/>
          <w:sz w:val="22"/>
          <w:szCs w:val="22"/>
        </w:rPr>
        <w:t xml:space="preserve">– (REG): interventions belonging to regional programs financed by the ENPI </w:t>
      </w:r>
      <w:r w:rsidRPr="00A71B5D">
        <w:rPr>
          <w:rStyle w:val="Rimandonotaapidipagina"/>
          <w:rFonts w:ascii="Arial" w:hAnsi="Arial" w:cs="Arial"/>
          <w:sz w:val="22"/>
          <w:szCs w:val="22"/>
        </w:rPr>
        <w:footnoteReference w:id="74"/>
      </w:r>
      <w:r w:rsidRPr="00A71B5D">
        <w:rPr>
          <w:rFonts w:ascii="Arial" w:hAnsi="Arial" w:cs="Arial"/>
          <w:sz w:val="22"/>
          <w:szCs w:val="22"/>
        </w:rPr>
        <w:t>;</w:t>
      </w:r>
    </w:p>
    <w:p w:rsidR="00A23C41" w:rsidRPr="00A71B5D" w:rsidRDefault="00A23C41" w:rsidP="00B54C8F">
      <w:pPr>
        <w:pStyle w:val="Paragrafoelenco"/>
        <w:numPr>
          <w:ilvl w:val="0"/>
          <w:numId w:val="35"/>
        </w:numPr>
        <w:spacing w:before="0" w:after="0"/>
        <w:ind w:left="284" w:hanging="284"/>
        <w:rPr>
          <w:rFonts w:ascii="Arial" w:hAnsi="Arial" w:cs="Arial"/>
          <w:sz w:val="22"/>
          <w:szCs w:val="22"/>
        </w:rPr>
      </w:pPr>
      <w:r w:rsidRPr="00A71B5D">
        <w:rPr>
          <w:rFonts w:ascii="Arial" w:hAnsi="Arial" w:cs="Arial"/>
          <w:b/>
          <w:sz w:val="22"/>
          <w:szCs w:val="22"/>
        </w:rPr>
        <w:t>Multi-country Thematic Cooperation</w:t>
      </w:r>
      <w:r w:rsidRPr="00A71B5D">
        <w:rPr>
          <w:rFonts w:ascii="Arial" w:hAnsi="Arial" w:cs="Arial"/>
          <w:sz w:val="22"/>
          <w:szCs w:val="22"/>
        </w:rPr>
        <w:t xml:space="preserve"> (</w:t>
      </w:r>
      <w:r w:rsidRPr="00A71B5D">
        <w:rPr>
          <w:rFonts w:ascii="Arial" w:hAnsi="Arial" w:cs="Arial"/>
          <w:b/>
          <w:sz w:val="22"/>
          <w:szCs w:val="22"/>
        </w:rPr>
        <w:t>THEM</w:t>
      </w:r>
      <w:r w:rsidRPr="00A71B5D">
        <w:rPr>
          <w:rFonts w:ascii="Arial" w:hAnsi="Arial" w:cs="Arial"/>
          <w:sz w:val="22"/>
          <w:szCs w:val="22"/>
        </w:rPr>
        <w:t>)</w:t>
      </w:r>
      <w:r w:rsidRPr="00A71B5D">
        <w:rPr>
          <w:rStyle w:val="Rimandonotaapidipagina"/>
          <w:rFonts w:ascii="Arial" w:hAnsi="Arial" w:cs="Arial"/>
          <w:sz w:val="22"/>
          <w:szCs w:val="22"/>
        </w:rPr>
        <w:footnoteReference w:id="75"/>
      </w:r>
      <w:r w:rsidRPr="00A71B5D">
        <w:rPr>
          <w:rFonts w:ascii="Arial" w:hAnsi="Arial" w:cs="Arial"/>
          <w:sz w:val="22"/>
          <w:szCs w:val="22"/>
        </w:rPr>
        <w:t xml:space="preserve">: interventions falling under multi-country thematic programs and Instruments such as </w:t>
      </w:r>
      <w:r w:rsidRPr="00A71B5D">
        <w:rPr>
          <w:rFonts w:ascii="Arial" w:hAnsi="Arial" w:cs="Arial"/>
          <w:iCs/>
          <w:sz w:val="22"/>
          <w:szCs w:val="22"/>
        </w:rPr>
        <w:t xml:space="preserve">European </w:t>
      </w:r>
      <w:r w:rsidRPr="00A71B5D">
        <w:rPr>
          <w:rFonts w:ascii="Arial" w:hAnsi="Arial" w:cs="Arial"/>
          <w:sz w:val="22"/>
          <w:szCs w:val="22"/>
        </w:rPr>
        <w:t>Instrument for Democracy &amp; Human Rights (EIDHR); Non-State Actors &amp; Local Authorities in Development (NSA&amp;LA) Program; DCI-FOOD</w:t>
      </w:r>
      <w:r w:rsidRPr="00A71B5D">
        <w:rPr>
          <w:rStyle w:val="Rimandonotaapidipagina"/>
          <w:rFonts w:ascii="Arial" w:hAnsi="Arial" w:cs="Arial"/>
          <w:sz w:val="22"/>
          <w:szCs w:val="22"/>
        </w:rPr>
        <w:footnoteReference w:id="76"/>
      </w:r>
      <w:r w:rsidRPr="00A71B5D">
        <w:rPr>
          <w:rFonts w:ascii="Arial" w:hAnsi="Arial" w:cs="Arial"/>
          <w:sz w:val="22"/>
          <w:szCs w:val="22"/>
        </w:rPr>
        <w:t xml:space="preserve"> and IFS-RRM  and Global Commitments. </w:t>
      </w:r>
    </w:p>
    <w:p w:rsidR="00A23C41" w:rsidRPr="00EF09A2" w:rsidRDefault="00A23C41" w:rsidP="00A23C41">
      <w:pPr>
        <w:spacing w:before="0" w:after="0"/>
        <w:rPr>
          <w:rFonts w:ascii="Arial" w:hAnsi="Arial" w:cs="Arial"/>
          <w:b/>
          <w:smallCaps/>
          <w:color w:val="1F497D" w:themeColor="text2"/>
          <w:sz w:val="24"/>
          <w:szCs w:val="24"/>
        </w:rPr>
      </w:pPr>
    </w:p>
    <w:p w:rsidR="00A23C41" w:rsidRPr="00705E17" w:rsidRDefault="00A23C41" w:rsidP="00A23C41">
      <w:pPr>
        <w:spacing w:before="0" w:after="0"/>
        <w:rPr>
          <w:rFonts w:ascii="Arial" w:hAnsi="Arial" w:cs="Arial"/>
          <w:sz w:val="22"/>
          <w:szCs w:val="22"/>
        </w:rPr>
      </w:pPr>
      <w:r w:rsidRPr="00705E17">
        <w:rPr>
          <w:rFonts w:ascii="Arial" w:hAnsi="Arial" w:cs="Arial"/>
          <w:sz w:val="22"/>
          <w:szCs w:val="22"/>
        </w:rPr>
        <w:t xml:space="preserve">Contracts falling under BIL represent the vast majority of the total </w:t>
      </w:r>
      <w:r w:rsidR="009D7E2C">
        <w:rPr>
          <w:rFonts w:ascii="Arial" w:hAnsi="Arial" w:cs="Arial"/>
          <w:sz w:val="22"/>
          <w:szCs w:val="22"/>
        </w:rPr>
        <w:t>committed amount</w:t>
      </w:r>
      <w:r w:rsidRPr="00705E17">
        <w:rPr>
          <w:rFonts w:ascii="Arial" w:hAnsi="Arial" w:cs="Arial"/>
          <w:sz w:val="22"/>
          <w:szCs w:val="22"/>
        </w:rPr>
        <w:t xml:space="preserve">s at €2bn, (90% of the overall amount); see Figure 3. </w:t>
      </w:r>
    </w:p>
    <w:p w:rsidR="00A23C41" w:rsidRPr="00EF09A2" w:rsidRDefault="00A23C41" w:rsidP="00A23C41">
      <w:pPr>
        <w:spacing w:before="0" w:after="0"/>
        <w:rPr>
          <w:rFonts w:ascii="Arial" w:hAnsi="Arial" w:cs="Arial"/>
          <w:sz w:val="24"/>
          <w:szCs w:val="24"/>
        </w:rPr>
      </w:pPr>
    </w:p>
    <w:p w:rsidR="00A23C41" w:rsidRPr="00602950" w:rsidRDefault="00A23C41" w:rsidP="00A23C41">
      <w:pPr>
        <w:spacing w:before="0" w:after="0"/>
        <w:rPr>
          <w:rFonts w:ascii="Arial" w:hAnsi="Arial" w:cs="Arial"/>
          <w:sz w:val="22"/>
          <w:szCs w:val="22"/>
        </w:rPr>
      </w:pPr>
      <w:r w:rsidRPr="00602950">
        <w:rPr>
          <w:rFonts w:ascii="Arial" w:hAnsi="Arial" w:cs="Arial"/>
          <w:sz w:val="22"/>
          <w:szCs w:val="22"/>
        </w:rPr>
        <w:t xml:space="preserve">Contracts supported by Multi-country Thematic Cooperation amount to €183m (9% of the </w:t>
      </w:r>
      <w:r w:rsidR="009D7E2C">
        <w:rPr>
          <w:rFonts w:ascii="Arial" w:hAnsi="Arial" w:cs="Arial"/>
          <w:sz w:val="22"/>
          <w:szCs w:val="22"/>
        </w:rPr>
        <w:t>committed amount</w:t>
      </w:r>
      <w:r w:rsidRPr="00602950">
        <w:rPr>
          <w:rFonts w:ascii="Arial" w:hAnsi="Arial" w:cs="Arial"/>
          <w:sz w:val="22"/>
          <w:szCs w:val="22"/>
        </w:rPr>
        <w:t xml:space="preserve">), including two large contracts relating to implementation of measures to combat soaring food prices in developing countries, for a total </w:t>
      </w:r>
      <w:r w:rsidR="009D7E2C">
        <w:rPr>
          <w:rFonts w:ascii="Arial" w:hAnsi="Arial" w:cs="Arial"/>
          <w:sz w:val="22"/>
          <w:szCs w:val="22"/>
        </w:rPr>
        <w:t>committed amount</w:t>
      </w:r>
      <w:r w:rsidRPr="00602950">
        <w:rPr>
          <w:rFonts w:ascii="Arial" w:hAnsi="Arial" w:cs="Arial"/>
          <w:sz w:val="22"/>
          <w:szCs w:val="22"/>
        </w:rPr>
        <w:t xml:space="preserve"> of €39m, and one contract of €10m, “Support to the UNRWA Social Safety Net </w:t>
      </w:r>
      <w:proofErr w:type="spellStart"/>
      <w:r w:rsidRPr="00602950">
        <w:rPr>
          <w:rFonts w:ascii="Arial" w:hAnsi="Arial" w:cs="Arial"/>
          <w:sz w:val="22"/>
          <w:szCs w:val="22"/>
        </w:rPr>
        <w:t>Programme</w:t>
      </w:r>
      <w:proofErr w:type="spellEnd"/>
      <w:r w:rsidRPr="00602950">
        <w:rPr>
          <w:rFonts w:ascii="Arial" w:hAnsi="Arial" w:cs="Arial"/>
          <w:sz w:val="22"/>
          <w:szCs w:val="22"/>
        </w:rPr>
        <w:t xml:space="preserve"> (SSNP) in the West Bank, Gaza Strip, Jordan, Syria, and Lebanon”, pledged through UNRWA,</w:t>
      </w:r>
    </w:p>
    <w:p w:rsidR="00A23C41" w:rsidRPr="00EF09A2" w:rsidRDefault="00A23C41" w:rsidP="00A23C41">
      <w:pPr>
        <w:spacing w:before="0" w:after="0"/>
        <w:rPr>
          <w:rFonts w:ascii="Arial" w:hAnsi="Arial" w:cs="Arial"/>
          <w:sz w:val="24"/>
          <w:szCs w:val="24"/>
        </w:rPr>
      </w:pPr>
    </w:p>
    <w:p w:rsidR="00A23C41" w:rsidRPr="000459A4" w:rsidRDefault="00A23C41" w:rsidP="00A23C41">
      <w:pPr>
        <w:spacing w:before="0" w:after="0"/>
        <w:rPr>
          <w:rFonts w:ascii="Arial" w:hAnsi="Arial" w:cs="Arial"/>
          <w:sz w:val="22"/>
          <w:szCs w:val="22"/>
        </w:rPr>
      </w:pPr>
      <w:r w:rsidRPr="000459A4">
        <w:rPr>
          <w:rFonts w:ascii="Arial" w:hAnsi="Arial" w:cs="Arial"/>
          <w:sz w:val="22"/>
          <w:szCs w:val="22"/>
        </w:rPr>
        <w:t xml:space="preserve">Regional Cooperation contracts (REG) amount to €25m, accounting for 1% of the total </w:t>
      </w:r>
      <w:r w:rsidR="009D7E2C">
        <w:rPr>
          <w:rFonts w:ascii="Arial" w:hAnsi="Arial" w:cs="Arial"/>
          <w:sz w:val="22"/>
          <w:szCs w:val="22"/>
        </w:rPr>
        <w:t>committed amount</w:t>
      </w:r>
      <w:r w:rsidRPr="000459A4">
        <w:rPr>
          <w:rFonts w:ascii="Arial" w:hAnsi="Arial" w:cs="Arial"/>
          <w:sz w:val="22"/>
          <w:szCs w:val="22"/>
        </w:rPr>
        <w:t>, and include interventions under the “Middle East Peace Projects” (€9m), “EU Partnership for Peace” (€5m), “Global Allocation ENPI South” (€8m), “Euro-Mediterranean Partnership Global Allocation for 2012-2013” (€1.1m) and.</w:t>
      </w:r>
    </w:p>
    <w:tbl>
      <w:tblPr>
        <w:tblStyle w:val="Grigliatabella"/>
        <w:tblpPr w:leftFromText="141" w:rightFromText="141" w:vertAnchor="text" w:horzAnchor="margin" w:tblpY="148"/>
        <w:tblW w:w="0" w:type="auto"/>
        <w:tblBorders>
          <w:top w:val="single" w:sz="4" w:space="0" w:color="1F497D" w:themeColor="text2"/>
          <w:left w:val="single" w:sz="4" w:space="0" w:color="1F497D" w:themeColor="text2"/>
          <w:bottom w:val="single" w:sz="4" w:space="0" w:color="1F497D" w:themeColor="text2"/>
          <w:right w:val="single" w:sz="4" w:space="0" w:color="1F497D" w:themeColor="text2"/>
          <w:insideH w:val="none" w:sz="0" w:space="0" w:color="auto"/>
          <w:insideV w:val="single" w:sz="4" w:space="0" w:color="1F497D" w:themeColor="text2"/>
        </w:tblBorders>
        <w:tblCellMar>
          <w:left w:w="70" w:type="dxa"/>
          <w:right w:w="70" w:type="dxa"/>
        </w:tblCellMar>
        <w:tblLook w:val="04A0"/>
      </w:tblPr>
      <w:tblGrid>
        <w:gridCol w:w="4850"/>
        <w:gridCol w:w="4850"/>
      </w:tblGrid>
      <w:tr w:rsidR="00A23C41" w:rsidRPr="00EF09A2" w:rsidTr="00A23C41">
        <w:trPr>
          <w:trHeight w:val="3757"/>
        </w:trPr>
        <w:tc>
          <w:tcPr>
            <w:tcW w:w="4850" w:type="dxa"/>
          </w:tcPr>
          <w:p w:rsidR="00A23C41" w:rsidRPr="00382329" w:rsidRDefault="00A23C41" w:rsidP="00D714DB">
            <w:pPr>
              <w:pStyle w:val="Didascalia"/>
              <w:framePr w:hSpace="0" w:wrap="auto" w:vAnchor="margin" w:hAnchor="text" w:xAlign="left" w:yAlign="inline"/>
            </w:pPr>
            <w:bookmarkStart w:id="82" w:name="_Toc366744931"/>
            <w:r w:rsidRPr="00382329">
              <w:lastRenderedPageBreak/>
              <w:t xml:space="preserve">Figure 3: </w:t>
            </w:r>
            <w:r w:rsidR="00A96ED2">
              <w:t>DEVCO</w:t>
            </w:r>
            <w:r w:rsidRPr="00382329">
              <w:t xml:space="preserve"> </w:t>
            </w:r>
            <w:r w:rsidR="009D7E2C">
              <w:t>committed amount</w:t>
            </w:r>
            <w:r w:rsidRPr="00382329">
              <w:t xml:space="preserve"> by type of cooperation in Palestine – 2008-201</w:t>
            </w:r>
            <w:bookmarkEnd w:id="82"/>
            <w:r w:rsidRPr="00382329">
              <w:t>3</w:t>
            </w:r>
          </w:p>
          <w:p w:rsidR="00A23C41" w:rsidRPr="00EF09A2" w:rsidRDefault="00A23C41" w:rsidP="00A23C41">
            <w:pPr>
              <w:spacing w:before="0" w:after="0"/>
              <w:jc w:val="center"/>
              <w:rPr>
                <w:rFonts w:ascii="Arial" w:hAnsi="Arial" w:cs="Arial"/>
                <w:sz w:val="24"/>
                <w:szCs w:val="24"/>
              </w:rPr>
            </w:pPr>
            <w:r w:rsidRPr="000459A4">
              <w:rPr>
                <w:rFonts w:ascii="Arial" w:hAnsi="Arial" w:cs="Arial"/>
                <w:noProof/>
                <w:sz w:val="24"/>
                <w:szCs w:val="24"/>
                <w:lang w:val="it-IT" w:eastAsia="it-IT"/>
              </w:rPr>
              <w:drawing>
                <wp:inline distT="0" distB="0" distL="0" distR="0">
                  <wp:extent cx="2571750" cy="1581149"/>
                  <wp:effectExtent l="0" t="0" r="0" b="0"/>
                  <wp:docPr id="108" name="Grafico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45"/>
                    </a:graphicData>
                  </a:graphic>
                </wp:inline>
              </w:drawing>
            </w:r>
          </w:p>
          <w:tbl>
            <w:tblPr>
              <w:tblStyle w:val="Grigliatabella"/>
              <w:tblW w:w="0" w:type="auto"/>
              <w:tblInd w:w="16" w:type="dxa"/>
              <w:tblBorders>
                <w:top w:val="single" w:sz="4" w:space="0" w:color="1F497D" w:themeColor="text2"/>
                <w:left w:val="single" w:sz="4" w:space="0" w:color="1F497D" w:themeColor="text2"/>
                <w:bottom w:val="single" w:sz="4" w:space="0" w:color="1F497D" w:themeColor="text2"/>
                <w:right w:val="single" w:sz="4" w:space="0" w:color="1F497D" w:themeColor="text2"/>
                <w:insideH w:val="none" w:sz="0" w:space="0" w:color="auto"/>
                <w:insideV w:val="none" w:sz="0" w:space="0" w:color="auto"/>
              </w:tblBorders>
              <w:tblLook w:val="04A0"/>
            </w:tblPr>
            <w:tblGrid>
              <w:gridCol w:w="1443"/>
              <w:gridCol w:w="1770"/>
              <w:gridCol w:w="1380"/>
            </w:tblGrid>
            <w:tr w:rsidR="00A23C41" w:rsidRPr="00EF09A2" w:rsidTr="00A23C41">
              <w:trPr>
                <w:trHeight w:val="183"/>
              </w:trPr>
              <w:tc>
                <w:tcPr>
                  <w:tcW w:w="1443" w:type="dxa"/>
                  <w:shd w:val="clear" w:color="auto" w:fill="1F497D" w:themeFill="text2"/>
                  <w:vAlign w:val="center"/>
                </w:tcPr>
                <w:p w:rsidR="00A23C41" w:rsidRPr="00EF09A2" w:rsidRDefault="00A23C41" w:rsidP="005D72C2">
                  <w:pPr>
                    <w:framePr w:hSpace="141" w:wrap="around" w:vAnchor="text" w:hAnchor="margin" w:y="148"/>
                    <w:spacing w:before="0" w:after="0"/>
                    <w:jc w:val="center"/>
                    <w:rPr>
                      <w:rFonts w:ascii="Arial" w:hAnsi="Arial" w:cs="Arial"/>
                      <w:b/>
                      <w:color w:val="FFFFFF" w:themeColor="background1"/>
                      <w:sz w:val="16"/>
                      <w:szCs w:val="16"/>
                    </w:rPr>
                  </w:pPr>
                  <w:r w:rsidRPr="00EF09A2">
                    <w:rPr>
                      <w:rFonts w:ascii="Arial" w:hAnsi="Arial" w:cs="Arial"/>
                      <w:b/>
                      <w:color w:val="FFFFFF" w:themeColor="background1"/>
                      <w:sz w:val="16"/>
                      <w:szCs w:val="16"/>
                    </w:rPr>
                    <w:t>Type of Coop</w:t>
                  </w:r>
                </w:p>
              </w:tc>
              <w:tc>
                <w:tcPr>
                  <w:tcW w:w="1770" w:type="dxa"/>
                  <w:shd w:val="clear" w:color="auto" w:fill="1F497D" w:themeFill="text2"/>
                  <w:vAlign w:val="center"/>
                </w:tcPr>
                <w:p w:rsidR="00A23C41" w:rsidRPr="00EF09A2" w:rsidRDefault="009D7E2C" w:rsidP="005D72C2">
                  <w:pPr>
                    <w:framePr w:hSpace="141" w:wrap="around" w:vAnchor="text" w:hAnchor="margin" w:y="148"/>
                    <w:spacing w:before="0" w:after="0"/>
                    <w:jc w:val="center"/>
                    <w:rPr>
                      <w:rFonts w:ascii="Arial" w:hAnsi="Arial" w:cs="Arial"/>
                      <w:b/>
                      <w:color w:val="FFFFFF" w:themeColor="background1"/>
                      <w:sz w:val="16"/>
                      <w:szCs w:val="16"/>
                    </w:rPr>
                  </w:pPr>
                  <w:r>
                    <w:rPr>
                      <w:rFonts w:ascii="Arial" w:hAnsi="Arial" w:cs="Arial"/>
                      <w:b/>
                      <w:color w:val="FFFFFF" w:themeColor="background1"/>
                      <w:sz w:val="16"/>
                      <w:szCs w:val="16"/>
                    </w:rPr>
                    <w:t>Committed amount</w:t>
                  </w:r>
                </w:p>
              </w:tc>
              <w:tc>
                <w:tcPr>
                  <w:tcW w:w="1380" w:type="dxa"/>
                  <w:shd w:val="clear" w:color="auto" w:fill="1F497D" w:themeFill="text2"/>
                  <w:vAlign w:val="center"/>
                </w:tcPr>
                <w:p w:rsidR="00A23C41" w:rsidRPr="00EF09A2" w:rsidRDefault="00A23C41" w:rsidP="005D72C2">
                  <w:pPr>
                    <w:framePr w:hSpace="141" w:wrap="around" w:vAnchor="text" w:hAnchor="margin" w:y="148"/>
                    <w:spacing w:before="0" w:after="0"/>
                    <w:jc w:val="center"/>
                    <w:rPr>
                      <w:rFonts w:ascii="Arial" w:hAnsi="Arial" w:cs="Arial"/>
                      <w:b/>
                      <w:color w:val="FFFFFF" w:themeColor="background1"/>
                      <w:sz w:val="16"/>
                      <w:szCs w:val="16"/>
                    </w:rPr>
                  </w:pPr>
                  <w:r w:rsidRPr="00EF09A2">
                    <w:rPr>
                      <w:rFonts w:ascii="Arial" w:hAnsi="Arial" w:cs="Arial"/>
                      <w:b/>
                      <w:color w:val="FFFFFF" w:themeColor="background1"/>
                      <w:sz w:val="16"/>
                      <w:szCs w:val="16"/>
                    </w:rPr>
                    <w:t>N. Contracts</w:t>
                  </w:r>
                </w:p>
              </w:tc>
            </w:tr>
            <w:tr w:rsidR="00A23C41" w:rsidRPr="00EF09A2" w:rsidTr="00A23C41">
              <w:trPr>
                <w:trHeight w:val="201"/>
              </w:trPr>
              <w:tc>
                <w:tcPr>
                  <w:tcW w:w="1443" w:type="dxa"/>
                  <w:vAlign w:val="center"/>
                </w:tcPr>
                <w:p w:rsidR="00A23C41" w:rsidRPr="00705E17" w:rsidRDefault="00A23C41" w:rsidP="005D72C2">
                  <w:pPr>
                    <w:framePr w:hSpace="141" w:wrap="around" w:vAnchor="text" w:hAnchor="margin" w:y="148"/>
                    <w:spacing w:before="0" w:after="0"/>
                    <w:jc w:val="center"/>
                    <w:rPr>
                      <w:rFonts w:ascii="Arial" w:hAnsi="Arial" w:cs="Arial"/>
                      <w:sz w:val="16"/>
                      <w:szCs w:val="16"/>
                    </w:rPr>
                  </w:pPr>
                  <w:r w:rsidRPr="00705E17">
                    <w:rPr>
                      <w:rFonts w:ascii="Arial" w:hAnsi="Arial" w:cs="Arial"/>
                      <w:sz w:val="16"/>
                      <w:szCs w:val="16"/>
                    </w:rPr>
                    <w:t>BIL</w:t>
                  </w:r>
                </w:p>
              </w:tc>
              <w:tc>
                <w:tcPr>
                  <w:tcW w:w="1770" w:type="dxa"/>
                  <w:vAlign w:val="bottom"/>
                </w:tcPr>
                <w:p w:rsidR="00A23C41" w:rsidRPr="00705E17" w:rsidRDefault="00A23C41" w:rsidP="005D72C2">
                  <w:pPr>
                    <w:framePr w:hSpace="141" w:wrap="around" w:vAnchor="text" w:hAnchor="margin" w:y="148"/>
                    <w:spacing w:before="0" w:after="0"/>
                    <w:jc w:val="center"/>
                    <w:rPr>
                      <w:rFonts w:ascii="Arial" w:hAnsi="Arial" w:cs="Arial"/>
                      <w:color w:val="000000"/>
                      <w:sz w:val="16"/>
                      <w:szCs w:val="16"/>
                    </w:rPr>
                  </w:pPr>
                  <w:r w:rsidRPr="00705E17">
                    <w:rPr>
                      <w:rFonts w:ascii="Arial" w:hAnsi="Arial" w:cs="Arial"/>
                      <w:color w:val="000000"/>
                      <w:sz w:val="16"/>
                      <w:szCs w:val="16"/>
                    </w:rPr>
                    <w:t>1,878,720,965</w:t>
                  </w:r>
                </w:p>
              </w:tc>
              <w:tc>
                <w:tcPr>
                  <w:tcW w:w="1380" w:type="dxa"/>
                  <w:vAlign w:val="bottom"/>
                </w:tcPr>
                <w:p w:rsidR="00A23C41" w:rsidRPr="00705E17" w:rsidRDefault="00A23C41" w:rsidP="005D72C2">
                  <w:pPr>
                    <w:framePr w:hSpace="141" w:wrap="around" w:vAnchor="text" w:hAnchor="margin" w:y="148"/>
                    <w:spacing w:before="0" w:after="0"/>
                    <w:jc w:val="center"/>
                    <w:rPr>
                      <w:rFonts w:ascii="Arial" w:hAnsi="Arial" w:cs="Arial"/>
                      <w:color w:val="000000"/>
                      <w:sz w:val="16"/>
                      <w:szCs w:val="16"/>
                    </w:rPr>
                  </w:pPr>
                  <w:r w:rsidRPr="00705E17">
                    <w:rPr>
                      <w:rFonts w:ascii="Arial" w:hAnsi="Arial" w:cs="Arial"/>
                      <w:color w:val="000000"/>
                      <w:sz w:val="16"/>
                      <w:szCs w:val="16"/>
                    </w:rPr>
                    <w:t>246</w:t>
                  </w:r>
                </w:p>
              </w:tc>
            </w:tr>
            <w:tr w:rsidR="00A23C41" w:rsidRPr="00EF09A2" w:rsidTr="00A23C41">
              <w:trPr>
                <w:trHeight w:val="201"/>
              </w:trPr>
              <w:tc>
                <w:tcPr>
                  <w:tcW w:w="1443" w:type="dxa"/>
                  <w:vAlign w:val="center"/>
                </w:tcPr>
                <w:p w:rsidR="00A23C41" w:rsidRPr="00705E17" w:rsidRDefault="00A23C41" w:rsidP="005D72C2">
                  <w:pPr>
                    <w:framePr w:hSpace="141" w:wrap="around" w:vAnchor="text" w:hAnchor="margin" w:y="148"/>
                    <w:spacing w:before="0" w:after="0"/>
                    <w:jc w:val="center"/>
                    <w:rPr>
                      <w:rFonts w:ascii="Arial" w:hAnsi="Arial" w:cs="Arial"/>
                      <w:sz w:val="16"/>
                      <w:szCs w:val="16"/>
                    </w:rPr>
                  </w:pPr>
                  <w:r w:rsidRPr="00705E17">
                    <w:rPr>
                      <w:rFonts w:ascii="Arial" w:hAnsi="Arial" w:cs="Arial"/>
                      <w:sz w:val="16"/>
                      <w:szCs w:val="16"/>
                    </w:rPr>
                    <w:t>THEM</w:t>
                  </w:r>
                </w:p>
              </w:tc>
              <w:tc>
                <w:tcPr>
                  <w:tcW w:w="1770" w:type="dxa"/>
                  <w:vAlign w:val="bottom"/>
                </w:tcPr>
                <w:p w:rsidR="00A23C41" w:rsidRPr="00705E17" w:rsidRDefault="00A23C41" w:rsidP="005D72C2">
                  <w:pPr>
                    <w:framePr w:hSpace="141" w:wrap="around" w:vAnchor="text" w:hAnchor="margin" w:y="148"/>
                    <w:spacing w:before="0" w:after="0"/>
                    <w:jc w:val="center"/>
                    <w:rPr>
                      <w:rFonts w:ascii="Arial" w:hAnsi="Arial" w:cs="Arial"/>
                      <w:color w:val="000000"/>
                      <w:sz w:val="16"/>
                      <w:szCs w:val="16"/>
                    </w:rPr>
                  </w:pPr>
                  <w:r w:rsidRPr="00705E17">
                    <w:rPr>
                      <w:rFonts w:ascii="Arial" w:hAnsi="Arial" w:cs="Arial"/>
                      <w:color w:val="000000"/>
                      <w:sz w:val="16"/>
                      <w:szCs w:val="16"/>
                    </w:rPr>
                    <w:t>183,210,838</w:t>
                  </w:r>
                </w:p>
              </w:tc>
              <w:tc>
                <w:tcPr>
                  <w:tcW w:w="1380" w:type="dxa"/>
                  <w:vAlign w:val="bottom"/>
                </w:tcPr>
                <w:p w:rsidR="00A23C41" w:rsidRPr="00705E17" w:rsidRDefault="00A23C41" w:rsidP="005D72C2">
                  <w:pPr>
                    <w:framePr w:hSpace="141" w:wrap="around" w:vAnchor="text" w:hAnchor="margin" w:y="148"/>
                    <w:spacing w:before="0" w:after="0"/>
                    <w:jc w:val="center"/>
                    <w:rPr>
                      <w:rFonts w:ascii="Arial" w:hAnsi="Arial" w:cs="Arial"/>
                      <w:color w:val="000000"/>
                      <w:sz w:val="16"/>
                      <w:szCs w:val="16"/>
                    </w:rPr>
                  </w:pPr>
                  <w:r w:rsidRPr="00705E17">
                    <w:rPr>
                      <w:rFonts w:ascii="Arial" w:hAnsi="Arial" w:cs="Arial"/>
                      <w:color w:val="000000"/>
                      <w:sz w:val="16"/>
                      <w:szCs w:val="16"/>
                    </w:rPr>
                    <w:t>169</w:t>
                  </w:r>
                </w:p>
              </w:tc>
            </w:tr>
            <w:tr w:rsidR="00A23C41" w:rsidRPr="00EF09A2" w:rsidTr="00A23C41">
              <w:trPr>
                <w:trHeight w:val="201"/>
              </w:trPr>
              <w:tc>
                <w:tcPr>
                  <w:tcW w:w="1443" w:type="dxa"/>
                  <w:vAlign w:val="center"/>
                </w:tcPr>
                <w:p w:rsidR="00A23C41" w:rsidRPr="00705E17" w:rsidRDefault="00A23C41" w:rsidP="005D72C2">
                  <w:pPr>
                    <w:framePr w:hSpace="141" w:wrap="around" w:vAnchor="text" w:hAnchor="margin" w:y="148"/>
                    <w:spacing w:before="0" w:after="0"/>
                    <w:jc w:val="center"/>
                    <w:rPr>
                      <w:rFonts w:ascii="Arial" w:hAnsi="Arial" w:cs="Arial"/>
                      <w:sz w:val="16"/>
                      <w:szCs w:val="16"/>
                    </w:rPr>
                  </w:pPr>
                  <w:r w:rsidRPr="00705E17">
                    <w:rPr>
                      <w:rFonts w:ascii="Arial" w:hAnsi="Arial" w:cs="Arial"/>
                      <w:sz w:val="16"/>
                      <w:szCs w:val="16"/>
                    </w:rPr>
                    <w:t>REG</w:t>
                  </w:r>
                </w:p>
              </w:tc>
              <w:tc>
                <w:tcPr>
                  <w:tcW w:w="1770" w:type="dxa"/>
                  <w:vAlign w:val="bottom"/>
                </w:tcPr>
                <w:p w:rsidR="00A23C41" w:rsidRPr="00705E17" w:rsidRDefault="00A23C41" w:rsidP="005D72C2">
                  <w:pPr>
                    <w:framePr w:hSpace="141" w:wrap="around" w:vAnchor="text" w:hAnchor="margin" w:y="148"/>
                    <w:spacing w:before="0" w:after="0"/>
                    <w:jc w:val="center"/>
                    <w:rPr>
                      <w:rFonts w:ascii="Arial" w:hAnsi="Arial" w:cs="Arial"/>
                      <w:color w:val="000000"/>
                      <w:sz w:val="16"/>
                      <w:szCs w:val="16"/>
                    </w:rPr>
                  </w:pPr>
                  <w:r w:rsidRPr="00705E17">
                    <w:rPr>
                      <w:rFonts w:ascii="Arial" w:hAnsi="Arial" w:cs="Arial"/>
                      <w:color w:val="000000"/>
                      <w:sz w:val="16"/>
                      <w:szCs w:val="16"/>
                    </w:rPr>
                    <w:t>25,439,384</w:t>
                  </w:r>
                </w:p>
              </w:tc>
              <w:tc>
                <w:tcPr>
                  <w:tcW w:w="1380" w:type="dxa"/>
                  <w:vAlign w:val="bottom"/>
                </w:tcPr>
                <w:p w:rsidR="00A23C41" w:rsidRPr="00705E17" w:rsidRDefault="00A23C41" w:rsidP="005D72C2">
                  <w:pPr>
                    <w:framePr w:hSpace="141" w:wrap="around" w:vAnchor="text" w:hAnchor="margin" w:y="148"/>
                    <w:spacing w:before="0" w:after="0"/>
                    <w:jc w:val="center"/>
                    <w:rPr>
                      <w:rFonts w:ascii="Arial" w:hAnsi="Arial" w:cs="Arial"/>
                      <w:color w:val="000000"/>
                      <w:sz w:val="16"/>
                      <w:szCs w:val="16"/>
                    </w:rPr>
                  </w:pPr>
                  <w:r w:rsidRPr="00705E17">
                    <w:rPr>
                      <w:rFonts w:ascii="Arial" w:hAnsi="Arial" w:cs="Arial"/>
                      <w:color w:val="000000"/>
                      <w:sz w:val="16"/>
                      <w:szCs w:val="16"/>
                    </w:rPr>
                    <w:t>167</w:t>
                  </w:r>
                </w:p>
              </w:tc>
            </w:tr>
            <w:tr w:rsidR="00A23C41" w:rsidRPr="00EF09A2" w:rsidTr="00A23C41">
              <w:trPr>
                <w:trHeight w:val="201"/>
              </w:trPr>
              <w:tc>
                <w:tcPr>
                  <w:tcW w:w="1443" w:type="dxa"/>
                  <w:vAlign w:val="center"/>
                </w:tcPr>
                <w:p w:rsidR="00A23C41" w:rsidRPr="00705E17" w:rsidRDefault="00A23C41" w:rsidP="005D72C2">
                  <w:pPr>
                    <w:framePr w:hSpace="141" w:wrap="around" w:vAnchor="text" w:hAnchor="margin" w:y="148"/>
                    <w:spacing w:before="0" w:after="0"/>
                    <w:jc w:val="center"/>
                    <w:rPr>
                      <w:rFonts w:ascii="Arial" w:hAnsi="Arial" w:cs="Arial"/>
                      <w:sz w:val="16"/>
                      <w:szCs w:val="16"/>
                    </w:rPr>
                  </w:pPr>
                  <w:proofErr w:type="spellStart"/>
                  <w:r w:rsidRPr="00705E17">
                    <w:rPr>
                      <w:rFonts w:ascii="Arial" w:hAnsi="Arial" w:cs="Arial"/>
                      <w:sz w:val="16"/>
                      <w:szCs w:val="16"/>
                    </w:rPr>
                    <w:t>na</w:t>
                  </w:r>
                  <w:proofErr w:type="spellEnd"/>
                  <w:r w:rsidRPr="00705E17">
                    <w:rPr>
                      <w:rStyle w:val="Rimandonotaapidipagina"/>
                      <w:rFonts w:ascii="Arial" w:hAnsi="Arial" w:cs="Arial"/>
                      <w:sz w:val="16"/>
                      <w:szCs w:val="16"/>
                    </w:rPr>
                    <w:footnoteReference w:id="77"/>
                  </w:r>
                </w:p>
              </w:tc>
              <w:tc>
                <w:tcPr>
                  <w:tcW w:w="1770" w:type="dxa"/>
                  <w:vAlign w:val="bottom"/>
                </w:tcPr>
                <w:p w:rsidR="00A23C41" w:rsidRPr="00705E17" w:rsidRDefault="00A23C41" w:rsidP="005D72C2">
                  <w:pPr>
                    <w:framePr w:hSpace="141" w:wrap="around" w:vAnchor="text" w:hAnchor="margin" w:y="148"/>
                    <w:spacing w:before="0" w:after="0"/>
                    <w:jc w:val="center"/>
                    <w:rPr>
                      <w:rFonts w:ascii="Arial" w:hAnsi="Arial" w:cs="Arial"/>
                      <w:color w:val="000000"/>
                      <w:sz w:val="16"/>
                      <w:szCs w:val="16"/>
                    </w:rPr>
                  </w:pPr>
                  <w:r w:rsidRPr="00705E17">
                    <w:rPr>
                      <w:rFonts w:ascii="Arial" w:hAnsi="Arial" w:cs="Arial"/>
                      <w:color w:val="000000"/>
                      <w:sz w:val="16"/>
                      <w:szCs w:val="16"/>
                    </w:rPr>
                    <w:t>133,553</w:t>
                  </w:r>
                </w:p>
              </w:tc>
              <w:tc>
                <w:tcPr>
                  <w:tcW w:w="1380" w:type="dxa"/>
                  <w:vAlign w:val="bottom"/>
                </w:tcPr>
                <w:p w:rsidR="00A23C41" w:rsidRPr="00705E17" w:rsidRDefault="00A23C41" w:rsidP="005D72C2">
                  <w:pPr>
                    <w:framePr w:hSpace="141" w:wrap="around" w:vAnchor="text" w:hAnchor="margin" w:y="148"/>
                    <w:spacing w:before="0" w:after="0"/>
                    <w:jc w:val="center"/>
                    <w:rPr>
                      <w:rFonts w:ascii="Arial" w:hAnsi="Arial" w:cs="Arial"/>
                      <w:color w:val="000000"/>
                      <w:sz w:val="16"/>
                      <w:szCs w:val="16"/>
                    </w:rPr>
                  </w:pPr>
                  <w:r w:rsidRPr="00705E17">
                    <w:rPr>
                      <w:rFonts w:ascii="Arial" w:hAnsi="Arial" w:cs="Arial"/>
                      <w:color w:val="000000"/>
                      <w:sz w:val="16"/>
                      <w:szCs w:val="16"/>
                    </w:rPr>
                    <w:t>7</w:t>
                  </w:r>
                </w:p>
              </w:tc>
            </w:tr>
            <w:tr w:rsidR="00A23C41" w:rsidRPr="00EF09A2" w:rsidTr="00A23C41">
              <w:trPr>
                <w:trHeight w:val="219"/>
              </w:trPr>
              <w:tc>
                <w:tcPr>
                  <w:tcW w:w="1443" w:type="dxa"/>
                  <w:shd w:val="clear" w:color="auto" w:fill="DBE5F1" w:themeFill="accent1" w:themeFillTint="33"/>
                  <w:vAlign w:val="center"/>
                </w:tcPr>
                <w:p w:rsidR="00A23C41" w:rsidRPr="00705E17" w:rsidRDefault="00A23C41" w:rsidP="005D72C2">
                  <w:pPr>
                    <w:framePr w:hSpace="141" w:wrap="around" w:vAnchor="text" w:hAnchor="margin" w:y="148"/>
                    <w:spacing w:before="0" w:after="0"/>
                    <w:jc w:val="center"/>
                    <w:rPr>
                      <w:rFonts w:ascii="Arial" w:hAnsi="Arial" w:cs="Arial"/>
                      <w:b/>
                      <w:bCs/>
                      <w:sz w:val="16"/>
                      <w:szCs w:val="16"/>
                    </w:rPr>
                  </w:pPr>
                  <w:r w:rsidRPr="00705E17">
                    <w:rPr>
                      <w:rFonts w:ascii="Arial" w:hAnsi="Arial" w:cs="Arial"/>
                      <w:b/>
                      <w:bCs/>
                      <w:sz w:val="16"/>
                      <w:szCs w:val="16"/>
                    </w:rPr>
                    <w:t>Total</w:t>
                  </w:r>
                </w:p>
              </w:tc>
              <w:tc>
                <w:tcPr>
                  <w:tcW w:w="1770" w:type="dxa"/>
                  <w:shd w:val="clear" w:color="auto" w:fill="DBE5F1" w:themeFill="accent1" w:themeFillTint="33"/>
                  <w:vAlign w:val="bottom"/>
                </w:tcPr>
                <w:p w:rsidR="00A23C41" w:rsidRPr="00705E17" w:rsidRDefault="00A23C41" w:rsidP="005D72C2">
                  <w:pPr>
                    <w:framePr w:hSpace="141" w:wrap="around" w:vAnchor="text" w:hAnchor="margin" w:y="148"/>
                    <w:spacing w:before="0" w:after="0"/>
                    <w:jc w:val="center"/>
                    <w:rPr>
                      <w:rFonts w:ascii="Arial" w:hAnsi="Arial" w:cs="Arial"/>
                      <w:b/>
                      <w:bCs/>
                      <w:color w:val="000000"/>
                      <w:sz w:val="16"/>
                      <w:szCs w:val="16"/>
                    </w:rPr>
                  </w:pPr>
                  <w:r w:rsidRPr="00705E17">
                    <w:rPr>
                      <w:rFonts w:ascii="Arial" w:hAnsi="Arial" w:cs="Arial"/>
                      <w:b/>
                      <w:bCs/>
                      <w:color w:val="000000"/>
                      <w:sz w:val="16"/>
                      <w:szCs w:val="16"/>
                    </w:rPr>
                    <w:t>2,087,504,740</w:t>
                  </w:r>
                </w:p>
              </w:tc>
              <w:tc>
                <w:tcPr>
                  <w:tcW w:w="1380" w:type="dxa"/>
                  <w:shd w:val="clear" w:color="auto" w:fill="DBE5F1" w:themeFill="accent1" w:themeFillTint="33"/>
                  <w:vAlign w:val="bottom"/>
                </w:tcPr>
                <w:p w:rsidR="00A23C41" w:rsidRPr="00705E17" w:rsidRDefault="00A23C41" w:rsidP="005D72C2">
                  <w:pPr>
                    <w:framePr w:hSpace="141" w:wrap="around" w:vAnchor="text" w:hAnchor="margin" w:y="148"/>
                    <w:spacing w:before="0" w:after="0"/>
                    <w:jc w:val="center"/>
                    <w:rPr>
                      <w:rFonts w:ascii="Arial" w:hAnsi="Arial" w:cs="Arial"/>
                      <w:b/>
                      <w:bCs/>
                      <w:color w:val="000000"/>
                      <w:sz w:val="16"/>
                      <w:szCs w:val="16"/>
                    </w:rPr>
                  </w:pPr>
                  <w:r w:rsidRPr="00705E17">
                    <w:rPr>
                      <w:rFonts w:ascii="Arial" w:hAnsi="Arial" w:cs="Arial"/>
                      <w:b/>
                      <w:bCs/>
                      <w:color w:val="000000"/>
                      <w:sz w:val="16"/>
                      <w:szCs w:val="16"/>
                    </w:rPr>
                    <w:t>589</w:t>
                  </w:r>
                </w:p>
              </w:tc>
            </w:tr>
          </w:tbl>
          <w:p w:rsidR="00A23C41" w:rsidRPr="00EF09A2" w:rsidRDefault="00A23C41" w:rsidP="00A23C41">
            <w:pPr>
              <w:spacing w:before="0" w:after="0"/>
              <w:jc w:val="center"/>
              <w:rPr>
                <w:rFonts w:ascii="Arial" w:hAnsi="Arial" w:cs="Arial"/>
                <w:sz w:val="24"/>
                <w:szCs w:val="24"/>
              </w:rPr>
            </w:pPr>
            <w:r w:rsidRPr="00EF09A2">
              <w:rPr>
                <w:rFonts w:ascii="Arial" w:hAnsi="Arial" w:cs="Arial"/>
                <w:bCs/>
                <w:i/>
                <w:sz w:val="18"/>
                <w:szCs w:val="18"/>
              </w:rPr>
              <w:t>Source: DWH/CRIS and DRN elaboration</w:t>
            </w:r>
          </w:p>
        </w:tc>
        <w:tc>
          <w:tcPr>
            <w:tcW w:w="4850" w:type="dxa"/>
          </w:tcPr>
          <w:p w:rsidR="00A23C41" w:rsidRPr="00382329" w:rsidRDefault="00A23C41" w:rsidP="00D714DB">
            <w:pPr>
              <w:pStyle w:val="Didascalia"/>
              <w:framePr w:hSpace="0" w:wrap="auto" w:vAnchor="margin" w:hAnchor="text" w:xAlign="left" w:yAlign="inline"/>
            </w:pPr>
            <w:bookmarkStart w:id="83" w:name="_Toc366743971"/>
            <w:bookmarkStart w:id="84" w:name="_Toc366744051"/>
            <w:bookmarkStart w:id="85" w:name="_Toc366744932"/>
            <w:r w:rsidRPr="00382329">
              <w:t>Figure</w:t>
            </w:r>
            <w:r>
              <w:t xml:space="preserve"> 4</w:t>
            </w:r>
            <w:r w:rsidRPr="00382329">
              <w:t xml:space="preserve">: </w:t>
            </w:r>
            <w:r w:rsidR="00A96ED2">
              <w:t>DEVCO</w:t>
            </w:r>
            <w:r w:rsidRPr="00382329">
              <w:t xml:space="preserve"> </w:t>
            </w:r>
            <w:r w:rsidR="009D7E2C">
              <w:t>Committed amount</w:t>
            </w:r>
            <w:r w:rsidRPr="00382329">
              <w:t xml:space="preserve"> by Track to Palestine - 2008-201</w:t>
            </w:r>
            <w:bookmarkEnd w:id="83"/>
            <w:bookmarkEnd w:id="84"/>
            <w:bookmarkEnd w:id="85"/>
            <w:r w:rsidRPr="00382329">
              <w:t>3</w:t>
            </w:r>
          </w:p>
          <w:p w:rsidR="00A23C41" w:rsidRPr="00EF09A2" w:rsidRDefault="00806CFD" w:rsidP="00A23C41">
            <w:pPr>
              <w:spacing w:before="0" w:after="0"/>
              <w:jc w:val="center"/>
              <w:rPr>
                <w:rFonts w:ascii="Arial" w:hAnsi="Arial" w:cs="Arial"/>
              </w:rPr>
            </w:pPr>
            <w:r w:rsidRPr="00806CFD">
              <w:rPr>
                <w:rFonts w:ascii="Arial" w:hAnsi="Arial" w:cs="Arial"/>
                <w:noProof/>
                <w:lang w:val="it-IT" w:eastAsia="it-IT"/>
              </w:rPr>
              <w:drawing>
                <wp:inline distT="0" distB="0" distL="0" distR="0">
                  <wp:extent cx="2562225" cy="1790700"/>
                  <wp:effectExtent l="0" t="0" r="0" b="0"/>
                  <wp:docPr id="39" name="Gra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6"/>
                    </a:graphicData>
                  </a:graphic>
                </wp:inline>
              </w:drawing>
            </w:r>
          </w:p>
          <w:p w:rsidR="00A23C41" w:rsidRPr="00382329" w:rsidRDefault="00A23C41" w:rsidP="00A23C41">
            <w:pPr>
              <w:jc w:val="center"/>
              <w:rPr>
                <w:rFonts w:ascii="Arial" w:hAnsi="Arial" w:cs="Arial"/>
                <w:sz w:val="16"/>
                <w:szCs w:val="16"/>
              </w:rPr>
            </w:pPr>
            <w:r w:rsidRPr="00382329">
              <w:rPr>
                <w:rFonts w:ascii="Arial" w:hAnsi="Arial" w:cs="Arial"/>
                <w:bCs/>
                <w:i/>
                <w:sz w:val="16"/>
                <w:szCs w:val="16"/>
              </w:rPr>
              <w:t xml:space="preserve">Source: </w:t>
            </w:r>
            <w:r w:rsidRPr="00382329">
              <w:rPr>
                <w:rFonts w:ascii="Arial" w:hAnsi="Arial" w:cs="Arial"/>
                <w:i/>
                <w:sz w:val="16"/>
                <w:szCs w:val="16"/>
              </w:rPr>
              <w:t>DWH and DRN elaboration</w:t>
            </w:r>
          </w:p>
          <w:p w:rsidR="00A23C41" w:rsidRPr="00EF09A2" w:rsidRDefault="00A23C41" w:rsidP="00D714DB">
            <w:pPr>
              <w:pStyle w:val="Didascalia"/>
              <w:framePr w:hSpace="0" w:wrap="auto" w:vAnchor="margin" w:hAnchor="text" w:xAlign="left" w:yAlign="inline"/>
            </w:pPr>
          </w:p>
        </w:tc>
      </w:tr>
    </w:tbl>
    <w:p w:rsidR="00A23C41" w:rsidRPr="00EF09A2" w:rsidRDefault="00A23C41" w:rsidP="00A23C41">
      <w:pPr>
        <w:spacing w:before="0" w:after="0"/>
        <w:rPr>
          <w:rFonts w:ascii="Arial" w:hAnsi="Arial" w:cs="Arial"/>
          <w:sz w:val="24"/>
          <w:szCs w:val="24"/>
        </w:rPr>
      </w:pPr>
    </w:p>
    <w:p w:rsidR="00A23C41" w:rsidRPr="00EF09A2" w:rsidRDefault="00A23C41" w:rsidP="00A23C41">
      <w:pPr>
        <w:spacing w:before="0" w:after="0"/>
        <w:rPr>
          <w:rFonts w:ascii="Arial" w:hAnsi="Arial" w:cs="Arial"/>
          <w:b/>
          <w:smallCaps/>
          <w:color w:val="1F497D" w:themeColor="text2"/>
          <w:sz w:val="24"/>
          <w:szCs w:val="24"/>
        </w:rPr>
      </w:pPr>
      <w:bookmarkStart w:id="86" w:name="_Toc367291880"/>
      <w:r w:rsidRPr="00EF09A2">
        <w:rPr>
          <w:rFonts w:ascii="Arial" w:hAnsi="Arial" w:cs="Arial"/>
          <w:b/>
          <w:smallCaps/>
          <w:color w:val="1F497D" w:themeColor="text2"/>
          <w:sz w:val="24"/>
          <w:szCs w:val="24"/>
        </w:rPr>
        <w:t>Cooperation Tracks</w:t>
      </w:r>
      <w:bookmarkEnd w:id="86"/>
      <w:r w:rsidRPr="00EF09A2">
        <w:rPr>
          <w:rFonts w:ascii="Arial" w:hAnsi="Arial" w:cs="Arial"/>
          <w:b/>
          <w:smallCaps/>
          <w:color w:val="1F497D" w:themeColor="text2"/>
          <w:sz w:val="24"/>
          <w:szCs w:val="24"/>
        </w:rPr>
        <w:t xml:space="preserve"> </w:t>
      </w:r>
    </w:p>
    <w:p w:rsidR="00A23C41" w:rsidRPr="0063300D" w:rsidRDefault="00A23C41" w:rsidP="00A23C41">
      <w:pPr>
        <w:spacing w:before="0" w:after="0"/>
        <w:rPr>
          <w:rFonts w:ascii="Arial" w:hAnsi="Arial" w:cs="Arial"/>
          <w:sz w:val="22"/>
          <w:szCs w:val="22"/>
        </w:rPr>
      </w:pPr>
      <w:r w:rsidRPr="0063300D">
        <w:rPr>
          <w:rFonts w:ascii="Arial" w:hAnsi="Arial" w:cs="Arial"/>
          <w:sz w:val="22"/>
          <w:szCs w:val="22"/>
        </w:rPr>
        <w:t>The EC’s contributions to Palestine are disbursed through three tracks, as already described in chapter 2:</w:t>
      </w:r>
    </w:p>
    <w:p w:rsidR="00A23C41" w:rsidRPr="00EF09A2" w:rsidRDefault="00A23C41" w:rsidP="00A23C41">
      <w:pPr>
        <w:spacing w:before="0" w:after="0"/>
        <w:rPr>
          <w:rFonts w:ascii="Arial" w:hAnsi="Arial" w:cs="Arial"/>
          <w:sz w:val="24"/>
          <w:szCs w:val="24"/>
        </w:rPr>
      </w:pPr>
    </w:p>
    <w:p w:rsidR="00A23C41" w:rsidRPr="0063300D" w:rsidRDefault="00A23C41" w:rsidP="00B54C8F">
      <w:pPr>
        <w:pStyle w:val="Paragrafoelenco"/>
        <w:numPr>
          <w:ilvl w:val="1"/>
          <w:numId w:val="41"/>
        </w:numPr>
        <w:spacing w:before="0" w:after="0"/>
        <w:ind w:left="567" w:hanging="567"/>
        <w:rPr>
          <w:rFonts w:ascii="Arial" w:hAnsi="Arial" w:cs="Arial"/>
          <w:sz w:val="22"/>
          <w:szCs w:val="22"/>
        </w:rPr>
      </w:pPr>
      <w:r w:rsidRPr="0063300D">
        <w:rPr>
          <w:rFonts w:ascii="Arial" w:hAnsi="Arial" w:cs="Arial"/>
          <w:b/>
          <w:sz w:val="22"/>
          <w:szCs w:val="22"/>
        </w:rPr>
        <w:t xml:space="preserve">The first track - Direct Financial Support (DFS) </w:t>
      </w:r>
      <w:r w:rsidRPr="0063300D">
        <w:rPr>
          <w:rFonts w:ascii="Arial" w:hAnsi="Arial" w:cs="Arial"/>
          <w:sz w:val="22"/>
          <w:szCs w:val="22"/>
        </w:rPr>
        <w:t>through PEGASE - receives the</w:t>
      </w:r>
      <w:r w:rsidR="00806CFD">
        <w:rPr>
          <w:rFonts w:ascii="Arial" w:hAnsi="Arial" w:cs="Arial"/>
          <w:sz w:val="22"/>
          <w:szCs w:val="22"/>
        </w:rPr>
        <w:t xml:space="preserve"> most significant share, with 56</w:t>
      </w:r>
      <w:r w:rsidRPr="0063300D">
        <w:rPr>
          <w:rFonts w:ascii="Arial" w:hAnsi="Arial" w:cs="Arial"/>
          <w:sz w:val="22"/>
          <w:szCs w:val="22"/>
        </w:rPr>
        <w:t xml:space="preserve">% of total </w:t>
      </w:r>
      <w:r w:rsidR="009D7E2C">
        <w:rPr>
          <w:rFonts w:ascii="Arial" w:hAnsi="Arial" w:cs="Arial"/>
          <w:sz w:val="22"/>
          <w:szCs w:val="22"/>
        </w:rPr>
        <w:t>committed amount</w:t>
      </w:r>
      <w:r w:rsidRPr="0063300D">
        <w:rPr>
          <w:rFonts w:ascii="Arial" w:hAnsi="Arial" w:cs="Arial"/>
          <w:sz w:val="22"/>
          <w:szCs w:val="22"/>
        </w:rPr>
        <w:t xml:space="preserve">s accounting for €1bn (Figure 4). In particular the </w:t>
      </w:r>
      <w:r w:rsidRPr="0063300D">
        <w:rPr>
          <w:rFonts w:ascii="Arial" w:hAnsi="Arial" w:cs="Arial"/>
          <w:i/>
          <w:sz w:val="22"/>
          <w:szCs w:val="22"/>
        </w:rPr>
        <w:t>Support to Civil Servants and Pensioner</w:t>
      </w:r>
      <w:r w:rsidRPr="0063300D">
        <w:rPr>
          <w:rFonts w:ascii="Arial" w:hAnsi="Arial" w:cs="Arial"/>
          <w:sz w:val="22"/>
          <w:szCs w:val="22"/>
        </w:rPr>
        <w:t xml:space="preserve"> (CSP) receives the majority of funds with €844m, accounting for 7</w:t>
      </w:r>
      <w:r w:rsidR="00806CFD">
        <w:rPr>
          <w:rFonts w:ascii="Arial" w:hAnsi="Arial" w:cs="Arial"/>
          <w:sz w:val="22"/>
          <w:szCs w:val="22"/>
        </w:rPr>
        <w:t>2</w:t>
      </w:r>
      <w:r w:rsidRPr="0063300D">
        <w:rPr>
          <w:rFonts w:ascii="Arial" w:hAnsi="Arial" w:cs="Arial"/>
          <w:sz w:val="22"/>
          <w:szCs w:val="22"/>
        </w:rPr>
        <w:t xml:space="preserve">% of the total </w:t>
      </w:r>
      <w:r w:rsidR="00A96ED2">
        <w:rPr>
          <w:rFonts w:ascii="Arial" w:hAnsi="Arial" w:cs="Arial"/>
          <w:sz w:val="22"/>
          <w:szCs w:val="22"/>
        </w:rPr>
        <w:t>committed</w:t>
      </w:r>
      <w:r w:rsidRPr="0063300D">
        <w:rPr>
          <w:rFonts w:ascii="Arial" w:hAnsi="Arial" w:cs="Arial"/>
          <w:sz w:val="22"/>
          <w:szCs w:val="22"/>
        </w:rPr>
        <w:t xml:space="preserve"> under Track 1. </w:t>
      </w:r>
      <w:r w:rsidRPr="0063300D">
        <w:rPr>
          <w:rFonts w:ascii="Arial" w:hAnsi="Arial" w:cs="Arial"/>
          <w:i/>
          <w:sz w:val="22"/>
          <w:szCs w:val="22"/>
        </w:rPr>
        <w:t>Support to Vulnerable Palestinian Families</w:t>
      </w:r>
      <w:r w:rsidRPr="0063300D">
        <w:rPr>
          <w:rFonts w:ascii="Arial" w:hAnsi="Arial" w:cs="Arial"/>
          <w:sz w:val="22"/>
          <w:szCs w:val="22"/>
        </w:rPr>
        <w:t xml:space="preserve"> (VPF) and </w:t>
      </w:r>
      <w:r w:rsidRPr="0063300D">
        <w:rPr>
          <w:rFonts w:ascii="Arial" w:hAnsi="Arial" w:cs="Arial"/>
          <w:i/>
          <w:sz w:val="22"/>
          <w:szCs w:val="22"/>
        </w:rPr>
        <w:t>Support to Essential Services</w:t>
      </w:r>
      <w:r w:rsidRPr="0063300D">
        <w:rPr>
          <w:rFonts w:ascii="Arial" w:hAnsi="Arial" w:cs="Arial"/>
          <w:sz w:val="22"/>
          <w:szCs w:val="22"/>
        </w:rPr>
        <w:t xml:space="preserve"> (SEPS) follow with €193m (16%) and €119m (10%) respectively (Table 11).</w:t>
      </w:r>
    </w:p>
    <w:p w:rsidR="00A23C41" w:rsidRPr="00EF09A2" w:rsidRDefault="00A23C41" w:rsidP="00A23C41">
      <w:pPr>
        <w:pStyle w:val="Paragrafoelenco"/>
        <w:spacing w:before="0" w:after="0"/>
        <w:ind w:left="567"/>
        <w:rPr>
          <w:rFonts w:ascii="Arial" w:hAnsi="Arial" w:cs="Arial"/>
          <w:sz w:val="24"/>
          <w:szCs w:val="24"/>
        </w:rPr>
      </w:pPr>
    </w:p>
    <w:p w:rsidR="00A23C41" w:rsidRDefault="00A23C41" w:rsidP="00B54C8F">
      <w:pPr>
        <w:pStyle w:val="Paragrafoelenco"/>
        <w:numPr>
          <w:ilvl w:val="1"/>
          <w:numId w:val="41"/>
        </w:numPr>
        <w:spacing w:before="0" w:after="0"/>
        <w:ind w:left="567" w:hanging="567"/>
        <w:rPr>
          <w:rFonts w:ascii="Arial" w:hAnsi="Arial" w:cs="Arial"/>
          <w:sz w:val="22"/>
          <w:szCs w:val="22"/>
        </w:rPr>
      </w:pPr>
      <w:r w:rsidRPr="00473602">
        <w:rPr>
          <w:rFonts w:ascii="Arial" w:hAnsi="Arial" w:cs="Arial"/>
          <w:b/>
          <w:sz w:val="22"/>
          <w:szCs w:val="22"/>
        </w:rPr>
        <w:t>The second track - Development Programs</w:t>
      </w:r>
      <w:r w:rsidRPr="00473602">
        <w:rPr>
          <w:rFonts w:ascii="Arial" w:hAnsi="Arial" w:cs="Arial"/>
          <w:sz w:val="22"/>
          <w:szCs w:val="22"/>
        </w:rPr>
        <w:t xml:space="preserve"> - receives only 1</w:t>
      </w:r>
      <w:r w:rsidR="000B20B1">
        <w:rPr>
          <w:rFonts w:ascii="Arial" w:hAnsi="Arial" w:cs="Arial"/>
          <w:sz w:val="22"/>
          <w:szCs w:val="22"/>
        </w:rPr>
        <w:t>8</w:t>
      </w:r>
      <w:r w:rsidRPr="00473602">
        <w:rPr>
          <w:rFonts w:ascii="Arial" w:hAnsi="Arial" w:cs="Arial"/>
          <w:sz w:val="22"/>
          <w:szCs w:val="22"/>
        </w:rPr>
        <w:t>%, accounting for €3</w:t>
      </w:r>
      <w:r w:rsidR="000B20B1">
        <w:rPr>
          <w:rFonts w:ascii="Arial" w:hAnsi="Arial" w:cs="Arial"/>
          <w:sz w:val="22"/>
          <w:szCs w:val="22"/>
        </w:rPr>
        <w:t>72</w:t>
      </w:r>
      <w:r w:rsidRPr="00473602">
        <w:rPr>
          <w:rFonts w:ascii="Arial" w:hAnsi="Arial" w:cs="Arial"/>
          <w:sz w:val="22"/>
          <w:szCs w:val="22"/>
        </w:rPr>
        <w:t xml:space="preserve">m of the total </w:t>
      </w:r>
      <w:r w:rsidR="009D7E2C">
        <w:rPr>
          <w:rFonts w:ascii="Arial" w:hAnsi="Arial" w:cs="Arial"/>
          <w:sz w:val="22"/>
          <w:szCs w:val="22"/>
        </w:rPr>
        <w:t>committed amount</w:t>
      </w:r>
      <w:r w:rsidRPr="00473602">
        <w:rPr>
          <w:rFonts w:ascii="Arial" w:hAnsi="Arial" w:cs="Arial"/>
          <w:sz w:val="22"/>
          <w:szCs w:val="22"/>
        </w:rPr>
        <w:t xml:space="preserve"> and including all development programs under the PEGASE Development Cooperation</w:t>
      </w:r>
      <w:r w:rsidRPr="00473602">
        <w:rPr>
          <w:rStyle w:val="Rimandonotaapidipagina"/>
          <w:rFonts w:ascii="Arial" w:hAnsi="Arial" w:cs="Arial"/>
          <w:sz w:val="22"/>
          <w:szCs w:val="22"/>
        </w:rPr>
        <w:footnoteReference w:id="78"/>
      </w:r>
      <w:r w:rsidRPr="00473602">
        <w:rPr>
          <w:rFonts w:ascii="Arial" w:hAnsi="Arial" w:cs="Arial"/>
          <w:sz w:val="22"/>
          <w:szCs w:val="22"/>
        </w:rPr>
        <w:t xml:space="preserve"> component (PEGASE DEV COOP) and the Development mechanism (DEV). In particular the PEGASE DEV COO</w:t>
      </w:r>
      <w:r w:rsidR="000B20B1">
        <w:rPr>
          <w:rFonts w:ascii="Arial" w:hAnsi="Arial" w:cs="Arial"/>
          <w:sz w:val="22"/>
          <w:szCs w:val="22"/>
        </w:rPr>
        <w:t>P receives a total amount of €189</w:t>
      </w:r>
      <w:r w:rsidRPr="00473602">
        <w:rPr>
          <w:rFonts w:ascii="Arial" w:hAnsi="Arial" w:cs="Arial"/>
          <w:sz w:val="22"/>
          <w:szCs w:val="22"/>
        </w:rPr>
        <w:t xml:space="preserve">m, including </w:t>
      </w:r>
      <w:r w:rsidR="000B20B1">
        <w:rPr>
          <w:rFonts w:ascii="Arial" w:hAnsi="Arial" w:cs="Arial"/>
          <w:sz w:val="22"/>
          <w:szCs w:val="22"/>
        </w:rPr>
        <w:t xml:space="preserve">all contract under the program “Private Sector Reconstruction for Gaze” (PSRG) for a total of €34m and </w:t>
      </w:r>
      <w:r w:rsidRPr="00473602">
        <w:rPr>
          <w:rFonts w:ascii="Arial" w:hAnsi="Arial" w:cs="Arial"/>
          <w:sz w:val="22"/>
          <w:szCs w:val="22"/>
        </w:rPr>
        <w:t>contracts such as “Support to Delivery of Community Service</w:t>
      </w:r>
      <w:r w:rsidR="000B20B1">
        <w:rPr>
          <w:rFonts w:ascii="Arial" w:hAnsi="Arial" w:cs="Arial"/>
          <w:sz w:val="22"/>
          <w:szCs w:val="22"/>
        </w:rPr>
        <w:t xml:space="preserve">s in East Jerusalem” (€20m), </w:t>
      </w:r>
      <w:r w:rsidRPr="00473602">
        <w:rPr>
          <w:rFonts w:ascii="Arial" w:hAnsi="Arial" w:cs="Arial"/>
          <w:sz w:val="22"/>
          <w:szCs w:val="22"/>
        </w:rPr>
        <w:t>“Public Infrastructure Development and Facility” (€58m) “PEGASE:EU support for the PA Two-Year Plan for Statehood” (€28m); while DEV receives a total of €183m, including contracts such as “Construction of Community Police Stations” (€6m), “Short Term Low Volume Sea Water Desalination Plant for Southern Governorates of the Gaza Strip” (€10m), “Support livestock based livelihoods of vulnerable population in Palestine - the institutional level component " (€3.5m), “Land Development and Basic Infrastructure in Area C”.</w:t>
      </w:r>
    </w:p>
    <w:p w:rsidR="00A23C41" w:rsidRPr="00473602" w:rsidRDefault="00A23C41" w:rsidP="00A23C41">
      <w:pPr>
        <w:pStyle w:val="Paragrafoelenco"/>
        <w:spacing w:before="0" w:after="0"/>
        <w:rPr>
          <w:rFonts w:ascii="Arial" w:hAnsi="Arial" w:cs="Arial"/>
          <w:sz w:val="22"/>
          <w:szCs w:val="22"/>
        </w:rPr>
      </w:pPr>
    </w:p>
    <w:p w:rsidR="00A23C41" w:rsidRPr="004C38E3" w:rsidRDefault="00A23C41" w:rsidP="00B54C8F">
      <w:pPr>
        <w:pStyle w:val="Paragrafoelenco"/>
        <w:numPr>
          <w:ilvl w:val="1"/>
          <w:numId w:val="41"/>
        </w:numPr>
        <w:spacing w:before="0" w:after="0"/>
        <w:ind w:left="567" w:hanging="567"/>
        <w:rPr>
          <w:rFonts w:ascii="Arial" w:hAnsi="Arial" w:cs="Arial"/>
          <w:sz w:val="22"/>
          <w:szCs w:val="22"/>
        </w:rPr>
      </w:pPr>
      <w:r w:rsidRPr="004C38E3">
        <w:rPr>
          <w:rFonts w:ascii="Arial" w:hAnsi="Arial" w:cs="Arial"/>
          <w:b/>
          <w:sz w:val="22"/>
          <w:szCs w:val="22"/>
        </w:rPr>
        <w:t>The third track - Contributions to UNRWA</w:t>
      </w:r>
      <w:r w:rsidRPr="004C38E3">
        <w:rPr>
          <w:rFonts w:ascii="Arial" w:hAnsi="Arial" w:cs="Arial"/>
          <w:sz w:val="22"/>
          <w:szCs w:val="22"/>
        </w:rPr>
        <w:t xml:space="preserve"> - receives 26% of the total </w:t>
      </w:r>
      <w:r w:rsidR="009D7E2C">
        <w:rPr>
          <w:rFonts w:ascii="Arial" w:hAnsi="Arial" w:cs="Arial"/>
          <w:sz w:val="22"/>
          <w:szCs w:val="22"/>
        </w:rPr>
        <w:t>committed amount</w:t>
      </w:r>
      <w:r w:rsidRPr="004C38E3">
        <w:rPr>
          <w:rFonts w:ascii="Arial" w:hAnsi="Arial" w:cs="Arial"/>
          <w:sz w:val="22"/>
          <w:szCs w:val="22"/>
        </w:rPr>
        <w:t xml:space="preserve">, that is €535m) and includes all interventions supporting UNRWA activities. Notably €68.5m supports interventions related to food security programs such as ''Food Facility - EC UNRWA  I&amp; II” (€40m), “Implementation of the Special Hardship Case Program Reform Initiative in Gaza” (€9m) and FSTP (€5m). </w:t>
      </w:r>
    </w:p>
    <w:p w:rsidR="00A23C41" w:rsidRPr="00EF09A2" w:rsidRDefault="00A23C41" w:rsidP="00A23C41">
      <w:pPr>
        <w:pStyle w:val="Paragrafoelenco"/>
        <w:spacing w:before="0" w:after="0"/>
        <w:ind w:left="567"/>
        <w:rPr>
          <w:rFonts w:ascii="Arial" w:hAnsi="Arial" w:cs="Arial"/>
          <w:sz w:val="24"/>
          <w:szCs w:val="24"/>
        </w:rPr>
      </w:pPr>
    </w:p>
    <w:tbl>
      <w:tblPr>
        <w:tblW w:w="5000" w:type="pct"/>
        <w:jc w:val="center"/>
        <w:tblBorders>
          <w:top w:val="single" w:sz="6" w:space="0" w:color="1F497D"/>
          <w:left w:val="single" w:sz="6" w:space="0" w:color="1F497D"/>
          <w:bottom w:val="single" w:sz="6" w:space="0" w:color="1F497D"/>
          <w:right w:val="single" w:sz="6" w:space="0" w:color="1F497D"/>
        </w:tblBorders>
        <w:tblLayout w:type="fixed"/>
        <w:tblCellMar>
          <w:left w:w="70" w:type="dxa"/>
          <w:right w:w="70" w:type="dxa"/>
        </w:tblCellMar>
        <w:tblLook w:val="04A0"/>
      </w:tblPr>
      <w:tblGrid>
        <w:gridCol w:w="731"/>
        <w:gridCol w:w="9047"/>
      </w:tblGrid>
      <w:tr w:rsidR="00A23C41" w:rsidRPr="00AB33C7" w:rsidTr="00A23C41">
        <w:trPr>
          <w:trHeight w:val="293"/>
          <w:jc w:val="center"/>
        </w:trPr>
        <w:tc>
          <w:tcPr>
            <w:tcW w:w="374" w:type="pct"/>
            <w:tcBorders>
              <w:top w:val="nil"/>
              <w:left w:val="nil"/>
              <w:bottom w:val="single" w:sz="12" w:space="0" w:color="1F497D"/>
              <w:right w:val="nil"/>
            </w:tcBorders>
          </w:tcPr>
          <w:p w:rsidR="00A23C41" w:rsidRPr="00AB33C7" w:rsidRDefault="00A23C41" w:rsidP="00D714DB">
            <w:pPr>
              <w:pStyle w:val="Didascalia"/>
              <w:framePr w:wrap="around"/>
            </w:pPr>
          </w:p>
        </w:tc>
        <w:tc>
          <w:tcPr>
            <w:tcW w:w="4626" w:type="pct"/>
            <w:tcBorders>
              <w:top w:val="nil"/>
              <w:left w:val="nil"/>
              <w:bottom w:val="single" w:sz="12" w:space="0" w:color="1F497D"/>
              <w:right w:val="nil"/>
            </w:tcBorders>
            <w:shd w:val="clear" w:color="auto" w:fill="auto"/>
            <w:noWrap/>
            <w:vAlign w:val="center"/>
            <w:hideMark/>
          </w:tcPr>
          <w:p w:rsidR="00A23C41" w:rsidRPr="00AB33C7" w:rsidRDefault="00A23C41" w:rsidP="00A96ED2">
            <w:pPr>
              <w:pStyle w:val="Didascalia"/>
              <w:framePr w:wrap="around"/>
              <w:rPr>
                <w:highlight w:val="yellow"/>
              </w:rPr>
            </w:pPr>
            <w:bookmarkStart w:id="87" w:name="_Ref363220651"/>
            <w:bookmarkStart w:id="88" w:name="_Toc364076631"/>
            <w:r w:rsidRPr="00AB33C7">
              <w:t>Table</w:t>
            </w:r>
            <w:bookmarkEnd w:id="87"/>
            <w:r w:rsidRPr="00AB33C7">
              <w:t xml:space="preserve"> 11: </w:t>
            </w:r>
            <w:r w:rsidR="00A96ED2">
              <w:t>DEVCO</w:t>
            </w:r>
            <w:r w:rsidRPr="00AB33C7">
              <w:t xml:space="preserve"> </w:t>
            </w:r>
            <w:r w:rsidR="009D7E2C">
              <w:t>Committed amount</w:t>
            </w:r>
            <w:r w:rsidRPr="00AB33C7">
              <w:t xml:space="preserve"> by Mechanism to Palestine – 2008-201</w:t>
            </w:r>
            <w:bookmarkEnd w:id="88"/>
            <w:r w:rsidR="00363C06">
              <w:t>3</w:t>
            </w:r>
          </w:p>
        </w:tc>
      </w:tr>
    </w:tbl>
    <w:tbl>
      <w:tblPr>
        <w:tblW w:w="5038" w:type="pct"/>
        <w:jc w:val="center"/>
        <w:tblBorders>
          <w:top w:val="single" w:sz="6" w:space="0" w:color="1F497D"/>
          <w:left w:val="single" w:sz="6" w:space="0" w:color="1F497D"/>
          <w:bottom w:val="single" w:sz="6" w:space="0" w:color="1F497D"/>
          <w:right w:val="single" w:sz="6" w:space="0" w:color="1F497D"/>
        </w:tblBorders>
        <w:tblLayout w:type="fixed"/>
        <w:tblCellMar>
          <w:left w:w="70" w:type="dxa"/>
          <w:right w:w="70" w:type="dxa"/>
        </w:tblCellMar>
        <w:tblLook w:val="04A0"/>
      </w:tblPr>
      <w:tblGrid>
        <w:gridCol w:w="841"/>
        <w:gridCol w:w="246"/>
        <w:gridCol w:w="2696"/>
        <w:gridCol w:w="1423"/>
        <w:gridCol w:w="1450"/>
        <w:gridCol w:w="1001"/>
        <w:gridCol w:w="2195"/>
      </w:tblGrid>
      <w:tr w:rsidR="00A23C41" w:rsidRPr="00AB33C7" w:rsidTr="000B20B1">
        <w:trPr>
          <w:trHeight w:val="146"/>
          <w:jc w:val="center"/>
        </w:trPr>
        <w:tc>
          <w:tcPr>
            <w:tcW w:w="552" w:type="pct"/>
            <w:gridSpan w:val="2"/>
            <w:tcBorders>
              <w:top w:val="single" w:sz="12" w:space="0" w:color="1F497D"/>
              <w:left w:val="single" w:sz="12" w:space="0" w:color="1F497D"/>
              <w:bottom w:val="nil"/>
            </w:tcBorders>
            <w:shd w:val="clear" w:color="000000" w:fill="1F497D"/>
            <w:noWrap/>
            <w:vAlign w:val="center"/>
            <w:hideMark/>
          </w:tcPr>
          <w:p w:rsidR="00A23C41" w:rsidRPr="00AB33C7" w:rsidRDefault="00A23C41" w:rsidP="00A23C41">
            <w:pPr>
              <w:spacing w:before="0" w:after="0"/>
              <w:jc w:val="center"/>
              <w:rPr>
                <w:rFonts w:ascii="Arial" w:hAnsi="Arial" w:cs="Arial"/>
                <w:b/>
                <w:bCs/>
                <w:color w:val="FFFFFF"/>
                <w:sz w:val="18"/>
                <w:szCs w:val="18"/>
              </w:rPr>
            </w:pPr>
            <w:r w:rsidRPr="00AB33C7">
              <w:rPr>
                <w:rFonts w:ascii="Arial" w:hAnsi="Arial" w:cs="Arial"/>
                <w:b/>
                <w:bCs/>
                <w:color w:val="FFFFFF"/>
                <w:sz w:val="18"/>
                <w:szCs w:val="18"/>
              </w:rPr>
              <w:t>Track</w:t>
            </w:r>
          </w:p>
        </w:tc>
        <w:tc>
          <w:tcPr>
            <w:tcW w:w="1368" w:type="pct"/>
            <w:tcBorders>
              <w:top w:val="single" w:sz="12" w:space="0" w:color="1F497D"/>
              <w:bottom w:val="nil"/>
            </w:tcBorders>
            <w:shd w:val="clear" w:color="000000" w:fill="1F497D"/>
            <w:noWrap/>
            <w:vAlign w:val="center"/>
            <w:hideMark/>
          </w:tcPr>
          <w:p w:rsidR="00A23C41" w:rsidRPr="00AB33C7" w:rsidRDefault="00A23C41" w:rsidP="000B20B1">
            <w:pPr>
              <w:spacing w:before="0" w:after="0"/>
              <w:rPr>
                <w:rFonts w:ascii="Arial" w:hAnsi="Arial" w:cs="Arial"/>
                <w:b/>
                <w:bCs/>
                <w:color w:val="FFFFFF"/>
                <w:sz w:val="18"/>
                <w:szCs w:val="18"/>
              </w:rPr>
            </w:pPr>
            <w:r w:rsidRPr="00AB33C7">
              <w:rPr>
                <w:rFonts w:ascii="Arial" w:hAnsi="Arial" w:cs="Arial"/>
                <w:b/>
                <w:bCs/>
                <w:color w:val="FFFFFF"/>
                <w:sz w:val="18"/>
                <w:szCs w:val="18"/>
              </w:rPr>
              <w:t>Mechanism</w:t>
            </w:r>
          </w:p>
        </w:tc>
        <w:tc>
          <w:tcPr>
            <w:tcW w:w="722" w:type="pct"/>
            <w:tcBorders>
              <w:top w:val="single" w:sz="12" w:space="0" w:color="1F497D"/>
              <w:bottom w:val="nil"/>
            </w:tcBorders>
            <w:shd w:val="clear" w:color="000000" w:fill="1F497D"/>
            <w:noWrap/>
            <w:vAlign w:val="center"/>
            <w:hideMark/>
          </w:tcPr>
          <w:p w:rsidR="00A23C41" w:rsidRPr="00AB33C7" w:rsidRDefault="009D7E2C" w:rsidP="00A23C41">
            <w:pPr>
              <w:spacing w:before="0" w:after="0"/>
              <w:jc w:val="center"/>
              <w:rPr>
                <w:rFonts w:ascii="Arial" w:hAnsi="Arial" w:cs="Arial"/>
                <w:b/>
                <w:bCs/>
                <w:color w:val="FFFFFF"/>
                <w:sz w:val="18"/>
                <w:szCs w:val="18"/>
              </w:rPr>
            </w:pPr>
            <w:r>
              <w:rPr>
                <w:rFonts w:ascii="Arial" w:hAnsi="Arial" w:cs="Arial"/>
                <w:b/>
                <w:bCs/>
                <w:color w:val="FFFFFF"/>
                <w:sz w:val="18"/>
                <w:szCs w:val="18"/>
              </w:rPr>
              <w:t>Committed amount</w:t>
            </w:r>
          </w:p>
        </w:tc>
        <w:tc>
          <w:tcPr>
            <w:tcW w:w="736" w:type="pct"/>
            <w:tcBorders>
              <w:top w:val="single" w:sz="12" w:space="0" w:color="1F497D"/>
              <w:bottom w:val="nil"/>
            </w:tcBorders>
            <w:shd w:val="clear" w:color="000000" w:fill="1F497D"/>
            <w:noWrap/>
            <w:vAlign w:val="center"/>
            <w:hideMark/>
          </w:tcPr>
          <w:p w:rsidR="00A23C41" w:rsidRPr="00AB33C7" w:rsidRDefault="00A23C41" w:rsidP="00A23C41">
            <w:pPr>
              <w:spacing w:before="0" w:after="0"/>
              <w:jc w:val="center"/>
              <w:rPr>
                <w:rFonts w:ascii="Arial" w:hAnsi="Arial" w:cs="Arial"/>
                <w:b/>
                <w:bCs/>
                <w:color w:val="FFFFFF"/>
                <w:sz w:val="18"/>
                <w:szCs w:val="18"/>
              </w:rPr>
            </w:pPr>
            <w:r w:rsidRPr="00AB33C7">
              <w:rPr>
                <w:rFonts w:ascii="Arial" w:hAnsi="Arial" w:cs="Arial"/>
                <w:b/>
                <w:bCs/>
                <w:color w:val="FFFFFF"/>
                <w:sz w:val="18"/>
                <w:szCs w:val="18"/>
              </w:rPr>
              <w:t>N. of contracts</w:t>
            </w:r>
          </w:p>
        </w:tc>
        <w:tc>
          <w:tcPr>
            <w:tcW w:w="508" w:type="pct"/>
            <w:tcBorders>
              <w:top w:val="single" w:sz="12" w:space="0" w:color="1F497D"/>
              <w:bottom w:val="nil"/>
            </w:tcBorders>
            <w:shd w:val="clear" w:color="000000" w:fill="1F497D"/>
            <w:vAlign w:val="center"/>
          </w:tcPr>
          <w:p w:rsidR="00A23C41" w:rsidRPr="00AB33C7" w:rsidRDefault="00A23C41" w:rsidP="00A23C41">
            <w:pPr>
              <w:spacing w:before="0" w:after="0"/>
              <w:jc w:val="center"/>
              <w:rPr>
                <w:rFonts w:ascii="Arial" w:hAnsi="Arial" w:cs="Arial"/>
                <w:b/>
                <w:bCs/>
                <w:color w:val="FFFFFF"/>
                <w:sz w:val="18"/>
                <w:szCs w:val="18"/>
              </w:rPr>
            </w:pPr>
            <w:r w:rsidRPr="00AB33C7">
              <w:rPr>
                <w:rFonts w:ascii="Arial" w:hAnsi="Arial" w:cs="Arial"/>
                <w:b/>
                <w:bCs/>
                <w:color w:val="FFFFFF"/>
                <w:sz w:val="18"/>
                <w:szCs w:val="18"/>
              </w:rPr>
              <w:t>% on track</w:t>
            </w:r>
          </w:p>
        </w:tc>
        <w:tc>
          <w:tcPr>
            <w:tcW w:w="1114" w:type="pct"/>
            <w:tcBorders>
              <w:top w:val="single" w:sz="12" w:space="0" w:color="1F497D"/>
              <w:bottom w:val="nil"/>
              <w:right w:val="single" w:sz="12" w:space="0" w:color="1F497D"/>
            </w:tcBorders>
            <w:shd w:val="clear" w:color="000000" w:fill="1F497D"/>
            <w:noWrap/>
            <w:vAlign w:val="center"/>
            <w:hideMark/>
          </w:tcPr>
          <w:p w:rsidR="00A23C41" w:rsidRPr="00AB33C7" w:rsidRDefault="00A23C41" w:rsidP="00A23C41">
            <w:pPr>
              <w:spacing w:before="0" w:after="0"/>
              <w:jc w:val="center"/>
              <w:rPr>
                <w:rFonts w:ascii="Arial" w:hAnsi="Arial" w:cs="Arial"/>
                <w:b/>
                <w:bCs/>
                <w:color w:val="FFFFFF"/>
                <w:sz w:val="18"/>
                <w:szCs w:val="18"/>
              </w:rPr>
            </w:pPr>
            <w:r w:rsidRPr="00AB33C7">
              <w:rPr>
                <w:rFonts w:ascii="Arial" w:hAnsi="Arial" w:cs="Arial"/>
                <w:b/>
                <w:bCs/>
                <w:color w:val="FFFFFF"/>
                <w:sz w:val="18"/>
                <w:szCs w:val="18"/>
              </w:rPr>
              <w:t>% on total</w:t>
            </w:r>
          </w:p>
        </w:tc>
      </w:tr>
      <w:tr w:rsidR="00A23C41" w:rsidRPr="00AB33C7" w:rsidTr="000B20B1">
        <w:trPr>
          <w:trHeight w:val="146"/>
          <w:jc w:val="center"/>
        </w:trPr>
        <w:tc>
          <w:tcPr>
            <w:tcW w:w="552" w:type="pct"/>
            <w:gridSpan w:val="2"/>
            <w:tcBorders>
              <w:top w:val="nil"/>
              <w:left w:val="single" w:sz="12" w:space="0" w:color="1F497D"/>
              <w:bottom w:val="nil"/>
            </w:tcBorders>
            <w:shd w:val="clear" w:color="auto" w:fill="DBE5F1" w:themeFill="accent1" w:themeFillTint="33"/>
            <w:noWrap/>
            <w:vAlign w:val="center"/>
            <w:hideMark/>
          </w:tcPr>
          <w:p w:rsidR="00A23C41" w:rsidRPr="00AB33C7" w:rsidRDefault="00A23C41" w:rsidP="00A23C41">
            <w:pPr>
              <w:spacing w:before="0" w:after="0"/>
              <w:jc w:val="center"/>
              <w:rPr>
                <w:rFonts w:ascii="Arial" w:hAnsi="Arial" w:cs="Arial"/>
                <w:b/>
                <w:sz w:val="18"/>
                <w:szCs w:val="18"/>
              </w:rPr>
            </w:pPr>
            <w:r w:rsidRPr="00AB33C7">
              <w:rPr>
                <w:rFonts w:ascii="Arial" w:hAnsi="Arial" w:cs="Arial"/>
                <w:b/>
                <w:sz w:val="18"/>
                <w:szCs w:val="18"/>
              </w:rPr>
              <w:t>Track 1</w:t>
            </w:r>
            <w:r w:rsidRPr="00AB33C7">
              <w:rPr>
                <w:rStyle w:val="Rimandonotaapidipagina"/>
                <w:rFonts w:ascii="Arial" w:hAnsi="Arial" w:cs="Arial"/>
                <w:sz w:val="18"/>
                <w:szCs w:val="18"/>
              </w:rPr>
              <w:footnoteReference w:id="79"/>
            </w:r>
          </w:p>
        </w:tc>
        <w:tc>
          <w:tcPr>
            <w:tcW w:w="1368" w:type="pct"/>
            <w:tcBorders>
              <w:top w:val="nil"/>
              <w:bottom w:val="nil"/>
            </w:tcBorders>
            <w:shd w:val="clear" w:color="auto" w:fill="DBE5F1" w:themeFill="accent1" w:themeFillTint="33"/>
            <w:noWrap/>
            <w:vAlign w:val="center"/>
            <w:hideMark/>
          </w:tcPr>
          <w:p w:rsidR="00A23C41" w:rsidRPr="00AB33C7" w:rsidRDefault="00A23C41" w:rsidP="000B20B1">
            <w:pPr>
              <w:spacing w:before="0" w:after="0"/>
              <w:jc w:val="left"/>
              <w:rPr>
                <w:rFonts w:ascii="Arial" w:hAnsi="Arial" w:cs="Arial"/>
                <w:b/>
                <w:bCs/>
                <w:sz w:val="18"/>
                <w:szCs w:val="18"/>
              </w:rPr>
            </w:pPr>
            <w:r w:rsidRPr="00AB33C7">
              <w:rPr>
                <w:rFonts w:ascii="Arial" w:hAnsi="Arial" w:cs="Arial"/>
                <w:b/>
                <w:bCs/>
                <w:sz w:val="18"/>
                <w:szCs w:val="18"/>
              </w:rPr>
              <w:t>Total</w:t>
            </w:r>
          </w:p>
        </w:tc>
        <w:tc>
          <w:tcPr>
            <w:tcW w:w="722" w:type="pct"/>
            <w:tcBorders>
              <w:top w:val="nil"/>
              <w:bottom w:val="nil"/>
            </w:tcBorders>
            <w:shd w:val="clear" w:color="auto" w:fill="DBE5F1" w:themeFill="accent1" w:themeFillTint="33"/>
            <w:noWrap/>
            <w:vAlign w:val="center"/>
            <w:hideMark/>
          </w:tcPr>
          <w:p w:rsidR="00A23C41" w:rsidRPr="00AB33C7" w:rsidRDefault="00806CFD" w:rsidP="000B20B1">
            <w:pPr>
              <w:jc w:val="center"/>
              <w:rPr>
                <w:rFonts w:ascii="Arial" w:hAnsi="Arial" w:cs="Arial"/>
                <w:b/>
                <w:bCs/>
                <w:sz w:val="18"/>
                <w:szCs w:val="18"/>
              </w:rPr>
            </w:pPr>
            <w:r w:rsidRPr="00806CFD">
              <w:rPr>
                <w:rFonts w:ascii="Arial" w:hAnsi="Arial" w:cs="Arial"/>
                <w:b/>
                <w:sz w:val="18"/>
                <w:szCs w:val="18"/>
              </w:rPr>
              <w:t>1,179,407,214</w:t>
            </w:r>
          </w:p>
        </w:tc>
        <w:tc>
          <w:tcPr>
            <w:tcW w:w="736" w:type="pct"/>
            <w:tcBorders>
              <w:top w:val="nil"/>
              <w:bottom w:val="nil"/>
            </w:tcBorders>
            <w:shd w:val="clear" w:color="auto" w:fill="DBE5F1" w:themeFill="accent1" w:themeFillTint="33"/>
            <w:noWrap/>
            <w:vAlign w:val="center"/>
            <w:hideMark/>
          </w:tcPr>
          <w:p w:rsidR="00A23C41" w:rsidRPr="00AB33C7" w:rsidRDefault="00A23C41" w:rsidP="000B20B1">
            <w:pPr>
              <w:spacing w:before="0" w:after="0"/>
              <w:jc w:val="center"/>
              <w:rPr>
                <w:rFonts w:ascii="Arial" w:hAnsi="Arial" w:cs="Arial"/>
                <w:b/>
                <w:bCs/>
                <w:sz w:val="18"/>
                <w:szCs w:val="18"/>
              </w:rPr>
            </w:pPr>
            <w:r w:rsidRPr="00AB33C7">
              <w:rPr>
                <w:rFonts w:ascii="Arial" w:hAnsi="Arial" w:cs="Arial"/>
                <w:b/>
                <w:bCs/>
                <w:sz w:val="18"/>
                <w:szCs w:val="18"/>
              </w:rPr>
              <w:t>65</w:t>
            </w:r>
          </w:p>
        </w:tc>
        <w:tc>
          <w:tcPr>
            <w:tcW w:w="508" w:type="pct"/>
            <w:tcBorders>
              <w:top w:val="nil"/>
              <w:bottom w:val="nil"/>
            </w:tcBorders>
            <w:shd w:val="clear" w:color="auto" w:fill="DBE5F1" w:themeFill="accent1" w:themeFillTint="33"/>
            <w:vAlign w:val="center"/>
          </w:tcPr>
          <w:p w:rsidR="00A23C41" w:rsidRPr="00885417" w:rsidRDefault="00A23C41" w:rsidP="000B20B1">
            <w:pPr>
              <w:spacing w:before="0" w:after="0"/>
              <w:jc w:val="center"/>
              <w:rPr>
                <w:rFonts w:ascii="Arial" w:hAnsi="Arial" w:cs="Arial"/>
                <w:b/>
                <w:sz w:val="18"/>
                <w:szCs w:val="18"/>
              </w:rPr>
            </w:pPr>
            <w:r w:rsidRPr="00885417">
              <w:rPr>
                <w:rFonts w:ascii="Arial" w:hAnsi="Arial" w:cs="Arial"/>
                <w:b/>
                <w:sz w:val="18"/>
                <w:szCs w:val="18"/>
              </w:rPr>
              <w:t>100.0%</w:t>
            </w:r>
          </w:p>
        </w:tc>
        <w:tc>
          <w:tcPr>
            <w:tcW w:w="1114" w:type="pct"/>
            <w:tcBorders>
              <w:top w:val="nil"/>
              <w:bottom w:val="nil"/>
              <w:right w:val="single" w:sz="12" w:space="0" w:color="1F497D"/>
            </w:tcBorders>
            <w:shd w:val="clear" w:color="auto" w:fill="DBE5F1" w:themeFill="accent1" w:themeFillTint="33"/>
            <w:noWrap/>
            <w:vAlign w:val="center"/>
            <w:hideMark/>
          </w:tcPr>
          <w:p w:rsidR="00A23C41" w:rsidRPr="00885417" w:rsidRDefault="000B20B1" w:rsidP="000B20B1">
            <w:pPr>
              <w:spacing w:before="0" w:after="0"/>
              <w:jc w:val="center"/>
              <w:rPr>
                <w:rFonts w:ascii="Arial" w:hAnsi="Arial" w:cs="Arial"/>
                <w:b/>
                <w:sz w:val="18"/>
                <w:szCs w:val="18"/>
              </w:rPr>
            </w:pPr>
            <w:r w:rsidRPr="000B20B1">
              <w:rPr>
                <w:rFonts w:ascii="Arial" w:hAnsi="Arial" w:cs="Arial"/>
                <w:b/>
                <w:sz w:val="20"/>
              </w:rPr>
              <w:t>56%</w:t>
            </w:r>
          </w:p>
        </w:tc>
      </w:tr>
      <w:tr w:rsidR="000B20B1" w:rsidRPr="00AB33C7" w:rsidTr="000B20B1">
        <w:trPr>
          <w:trHeight w:val="146"/>
          <w:jc w:val="center"/>
        </w:trPr>
        <w:tc>
          <w:tcPr>
            <w:tcW w:w="552" w:type="pct"/>
            <w:gridSpan w:val="2"/>
            <w:tcBorders>
              <w:top w:val="nil"/>
              <w:left w:val="single" w:sz="12" w:space="0" w:color="1F497D"/>
              <w:bottom w:val="nil"/>
            </w:tcBorders>
            <w:shd w:val="clear" w:color="auto" w:fill="auto"/>
            <w:noWrap/>
            <w:vAlign w:val="center"/>
            <w:hideMark/>
          </w:tcPr>
          <w:p w:rsidR="000B20B1" w:rsidRPr="00AB33C7" w:rsidRDefault="000B20B1" w:rsidP="00A23C41">
            <w:pPr>
              <w:spacing w:before="0" w:after="0"/>
              <w:jc w:val="center"/>
              <w:rPr>
                <w:rFonts w:ascii="Arial" w:hAnsi="Arial" w:cs="Arial"/>
                <w:sz w:val="18"/>
                <w:szCs w:val="18"/>
              </w:rPr>
            </w:pPr>
          </w:p>
        </w:tc>
        <w:tc>
          <w:tcPr>
            <w:tcW w:w="1368" w:type="pct"/>
            <w:tcBorders>
              <w:top w:val="nil"/>
              <w:bottom w:val="nil"/>
            </w:tcBorders>
            <w:shd w:val="clear" w:color="000000" w:fill="FFFFFF"/>
            <w:noWrap/>
            <w:vAlign w:val="center"/>
            <w:hideMark/>
          </w:tcPr>
          <w:p w:rsidR="000B20B1" w:rsidRDefault="000B20B1" w:rsidP="000B20B1">
            <w:pPr>
              <w:spacing w:before="0" w:after="0"/>
              <w:jc w:val="left"/>
              <w:rPr>
                <w:rFonts w:ascii="Arial" w:hAnsi="Arial" w:cs="Arial"/>
                <w:sz w:val="20"/>
              </w:rPr>
            </w:pPr>
            <w:r>
              <w:rPr>
                <w:rFonts w:ascii="Arial" w:hAnsi="Arial" w:cs="Arial"/>
                <w:sz w:val="20"/>
              </w:rPr>
              <w:t>PEGASE DFS - CSP</w:t>
            </w:r>
          </w:p>
        </w:tc>
        <w:tc>
          <w:tcPr>
            <w:tcW w:w="722" w:type="pct"/>
            <w:tcBorders>
              <w:top w:val="nil"/>
              <w:bottom w:val="nil"/>
            </w:tcBorders>
            <w:shd w:val="clear" w:color="000000" w:fill="FFFFFF"/>
            <w:noWrap/>
            <w:vAlign w:val="center"/>
            <w:hideMark/>
          </w:tcPr>
          <w:p w:rsidR="000B20B1" w:rsidRDefault="000B20B1" w:rsidP="000B20B1">
            <w:pPr>
              <w:spacing w:before="0" w:after="0"/>
              <w:jc w:val="center"/>
              <w:rPr>
                <w:rFonts w:ascii="Arial" w:hAnsi="Arial" w:cs="Arial"/>
                <w:sz w:val="20"/>
              </w:rPr>
            </w:pPr>
            <w:r>
              <w:rPr>
                <w:rFonts w:ascii="Arial" w:hAnsi="Arial" w:cs="Arial"/>
                <w:sz w:val="20"/>
              </w:rPr>
              <w:t>15</w:t>
            </w:r>
          </w:p>
        </w:tc>
        <w:tc>
          <w:tcPr>
            <w:tcW w:w="736" w:type="pct"/>
            <w:tcBorders>
              <w:top w:val="nil"/>
              <w:bottom w:val="nil"/>
            </w:tcBorders>
            <w:shd w:val="clear" w:color="000000" w:fill="FFFFFF"/>
            <w:noWrap/>
            <w:vAlign w:val="center"/>
            <w:hideMark/>
          </w:tcPr>
          <w:p w:rsidR="000B20B1" w:rsidRDefault="000B20B1" w:rsidP="000B20B1">
            <w:pPr>
              <w:spacing w:before="0" w:after="0"/>
              <w:jc w:val="center"/>
              <w:rPr>
                <w:rFonts w:ascii="Arial" w:hAnsi="Arial" w:cs="Arial"/>
                <w:sz w:val="20"/>
              </w:rPr>
            </w:pPr>
            <w:r>
              <w:rPr>
                <w:rFonts w:ascii="Arial" w:hAnsi="Arial" w:cs="Arial"/>
                <w:sz w:val="20"/>
              </w:rPr>
              <w:t>844,350,000</w:t>
            </w:r>
          </w:p>
        </w:tc>
        <w:tc>
          <w:tcPr>
            <w:tcW w:w="508" w:type="pct"/>
            <w:tcBorders>
              <w:top w:val="nil"/>
              <w:bottom w:val="nil"/>
            </w:tcBorders>
            <w:shd w:val="clear" w:color="auto" w:fill="F2F2F2" w:themeFill="background1" w:themeFillShade="F2"/>
            <w:vAlign w:val="center"/>
          </w:tcPr>
          <w:p w:rsidR="000B20B1" w:rsidRDefault="000B20B1" w:rsidP="000B20B1">
            <w:pPr>
              <w:spacing w:before="0" w:after="0"/>
              <w:jc w:val="center"/>
              <w:rPr>
                <w:rFonts w:ascii="Arial" w:hAnsi="Arial" w:cs="Arial"/>
                <w:sz w:val="20"/>
              </w:rPr>
            </w:pPr>
            <w:r>
              <w:rPr>
                <w:rFonts w:ascii="Arial" w:hAnsi="Arial" w:cs="Arial"/>
                <w:sz w:val="20"/>
              </w:rPr>
              <w:t>72%</w:t>
            </w:r>
          </w:p>
        </w:tc>
        <w:tc>
          <w:tcPr>
            <w:tcW w:w="1114" w:type="pct"/>
            <w:tcBorders>
              <w:top w:val="nil"/>
              <w:bottom w:val="nil"/>
              <w:right w:val="single" w:sz="12" w:space="0" w:color="1F497D"/>
            </w:tcBorders>
            <w:shd w:val="clear" w:color="auto" w:fill="auto"/>
            <w:noWrap/>
            <w:vAlign w:val="center"/>
            <w:hideMark/>
          </w:tcPr>
          <w:p w:rsidR="000B20B1" w:rsidRDefault="000B20B1" w:rsidP="000B20B1">
            <w:pPr>
              <w:spacing w:before="0" w:after="0"/>
              <w:jc w:val="center"/>
              <w:rPr>
                <w:rFonts w:ascii="Arial" w:hAnsi="Arial" w:cs="Arial"/>
                <w:sz w:val="20"/>
              </w:rPr>
            </w:pPr>
            <w:r>
              <w:rPr>
                <w:rFonts w:ascii="Arial" w:hAnsi="Arial" w:cs="Arial"/>
                <w:sz w:val="20"/>
              </w:rPr>
              <w:t>40%</w:t>
            </w:r>
          </w:p>
        </w:tc>
      </w:tr>
      <w:tr w:rsidR="000B20B1" w:rsidRPr="00AB33C7" w:rsidTr="000B20B1">
        <w:trPr>
          <w:trHeight w:val="146"/>
          <w:jc w:val="center"/>
        </w:trPr>
        <w:tc>
          <w:tcPr>
            <w:tcW w:w="552" w:type="pct"/>
            <w:gridSpan w:val="2"/>
            <w:tcBorders>
              <w:top w:val="nil"/>
              <w:left w:val="single" w:sz="12" w:space="0" w:color="1F497D"/>
              <w:bottom w:val="nil"/>
            </w:tcBorders>
            <w:shd w:val="clear" w:color="auto" w:fill="auto"/>
            <w:noWrap/>
            <w:vAlign w:val="center"/>
            <w:hideMark/>
          </w:tcPr>
          <w:p w:rsidR="000B20B1" w:rsidRPr="00AB33C7" w:rsidRDefault="000B20B1" w:rsidP="00A23C41">
            <w:pPr>
              <w:spacing w:before="0" w:after="0"/>
              <w:jc w:val="center"/>
              <w:rPr>
                <w:rFonts w:ascii="Arial" w:hAnsi="Arial" w:cs="Arial"/>
                <w:sz w:val="18"/>
                <w:szCs w:val="18"/>
              </w:rPr>
            </w:pPr>
          </w:p>
        </w:tc>
        <w:tc>
          <w:tcPr>
            <w:tcW w:w="1368" w:type="pct"/>
            <w:tcBorders>
              <w:top w:val="nil"/>
              <w:bottom w:val="nil"/>
            </w:tcBorders>
            <w:shd w:val="clear" w:color="000000" w:fill="FFFFFF"/>
            <w:noWrap/>
            <w:vAlign w:val="center"/>
            <w:hideMark/>
          </w:tcPr>
          <w:p w:rsidR="000B20B1" w:rsidRDefault="000B20B1" w:rsidP="000B20B1">
            <w:pPr>
              <w:spacing w:before="0" w:after="0"/>
              <w:jc w:val="left"/>
              <w:rPr>
                <w:rFonts w:ascii="Arial" w:hAnsi="Arial" w:cs="Arial"/>
                <w:sz w:val="20"/>
              </w:rPr>
            </w:pPr>
            <w:r>
              <w:rPr>
                <w:rFonts w:ascii="Arial" w:hAnsi="Arial" w:cs="Arial"/>
                <w:sz w:val="20"/>
              </w:rPr>
              <w:t>PEGASE DFS - VPF</w:t>
            </w:r>
          </w:p>
        </w:tc>
        <w:tc>
          <w:tcPr>
            <w:tcW w:w="722" w:type="pct"/>
            <w:tcBorders>
              <w:top w:val="nil"/>
              <w:bottom w:val="nil"/>
            </w:tcBorders>
            <w:shd w:val="clear" w:color="000000" w:fill="FFFFFF"/>
            <w:noWrap/>
            <w:vAlign w:val="center"/>
            <w:hideMark/>
          </w:tcPr>
          <w:p w:rsidR="000B20B1" w:rsidRDefault="000B20B1" w:rsidP="000B20B1">
            <w:pPr>
              <w:spacing w:before="0" w:after="0"/>
              <w:jc w:val="center"/>
              <w:rPr>
                <w:rFonts w:ascii="Arial" w:hAnsi="Arial" w:cs="Arial"/>
                <w:sz w:val="20"/>
              </w:rPr>
            </w:pPr>
            <w:r>
              <w:rPr>
                <w:rFonts w:ascii="Arial" w:hAnsi="Arial" w:cs="Arial"/>
                <w:sz w:val="20"/>
              </w:rPr>
              <w:t>24</w:t>
            </w:r>
          </w:p>
        </w:tc>
        <w:tc>
          <w:tcPr>
            <w:tcW w:w="736" w:type="pct"/>
            <w:tcBorders>
              <w:top w:val="nil"/>
              <w:bottom w:val="nil"/>
            </w:tcBorders>
            <w:shd w:val="clear" w:color="000000" w:fill="FFFFFF"/>
            <w:noWrap/>
            <w:vAlign w:val="center"/>
            <w:hideMark/>
          </w:tcPr>
          <w:p w:rsidR="000B20B1" w:rsidRDefault="000B20B1" w:rsidP="000B20B1">
            <w:pPr>
              <w:spacing w:before="0" w:after="0"/>
              <w:jc w:val="center"/>
              <w:rPr>
                <w:rFonts w:ascii="Arial" w:hAnsi="Arial" w:cs="Arial"/>
                <w:sz w:val="20"/>
              </w:rPr>
            </w:pPr>
            <w:r>
              <w:rPr>
                <w:rFonts w:ascii="Arial" w:hAnsi="Arial" w:cs="Arial"/>
                <w:sz w:val="20"/>
              </w:rPr>
              <w:t>193,859,147</w:t>
            </w:r>
          </w:p>
        </w:tc>
        <w:tc>
          <w:tcPr>
            <w:tcW w:w="508" w:type="pct"/>
            <w:tcBorders>
              <w:top w:val="nil"/>
              <w:bottom w:val="nil"/>
            </w:tcBorders>
            <w:shd w:val="clear" w:color="auto" w:fill="F2F2F2" w:themeFill="background1" w:themeFillShade="F2"/>
            <w:vAlign w:val="center"/>
          </w:tcPr>
          <w:p w:rsidR="000B20B1" w:rsidRDefault="000B20B1" w:rsidP="000B20B1">
            <w:pPr>
              <w:spacing w:before="0" w:after="0"/>
              <w:jc w:val="center"/>
              <w:rPr>
                <w:rFonts w:ascii="Arial" w:hAnsi="Arial" w:cs="Arial"/>
                <w:sz w:val="20"/>
              </w:rPr>
            </w:pPr>
            <w:r>
              <w:rPr>
                <w:rFonts w:ascii="Arial" w:hAnsi="Arial" w:cs="Arial"/>
                <w:sz w:val="20"/>
              </w:rPr>
              <w:t>16%</w:t>
            </w:r>
          </w:p>
        </w:tc>
        <w:tc>
          <w:tcPr>
            <w:tcW w:w="1114" w:type="pct"/>
            <w:tcBorders>
              <w:top w:val="nil"/>
              <w:bottom w:val="nil"/>
              <w:right w:val="single" w:sz="12" w:space="0" w:color="1F497D"/>
            </w:tcBorders>
            <w:shd w:val="clear" w:color="auto" w:fill="auto"/>
            <w:noWrap/>
            <w:vAlign w:val="center"/>
            <w:hideMark/>
          </w:tcPr>
          <w:p w:rsidR="000B20B1" w:rsidRDefault="000B20B1" w:rsidP="000B20B1">
            <w:pPr>
              <w:spacing w:before="0" w:after="0"/>
              <w:jc w:val="center"/>
              <w:rPr>
                <w:rFonts w:ascii="Arial" w:hAnsi="Arial" w:cs="Arial"/>
                <w:sz w:val="20"/>
              </w:rPr>
            </w:pPr>
            <w:r>
              <w:rPr>
                <w:rFonts w:ascii="Arial" w:hAnsi="Arial" w:cs="Arial"/>
                <w:sz w:val="20"/>
              </w:rPr>
              <w:t>9%</w:t>
            </w:r>
          </w:p>
        </w:tc>
      </w:tr>
      <w:tr w:rsidR="000B20B1" w:rsidRPr="00AB33C7" w:rsidTr="000B20B1">
        <w:trPr>
          <w:trHeight w:val="146"/>
          <w:jc w:val="center"/>
        </w:trPr>
        <w:tc>
          <w:tcPr>
            <w:tcW w:w="552" w:type="pct"/>
            <w:gridSpan w:val="2"/>
            <w:tcBorders>
              <w:top w:val="nil"/>
              <w:left w:val="single" w:sz="12" w:space="0" w:color="1F497D"/>
              <w:bottom w:val="nil"/>
            </w:tcBorders>
            <w:shd w:val="clear" w:color="auto" w:fill="auto"/>
            <w:noWrap/>
            <w:vAlign w:val="center"/>
            <w:hideMark/>
          </w:tcPr>
          <w:p w:rsidR="000B20B1" w:rsidRPr="00AB33C7" w:rsidRDefault="000B20B1" w:rsidP="00A23C41">
            <w:pPr>
              <w:spacing w:before="0" w:after="0"/>
              <w:jc w:val="center"/>
              <w:rPr>
                <w:rFonts w:ascii="Arial" w:hAnsi="Arial" w:cs="Arial"/>
                <w:sz w:val="18"/>
                <w:szCs w:val="18"/>
              </w:rPr>
            </w:pPr>
          </w:p>
        </w:tc>
        <w:tc>
          <w:tcPr>
            <w:tcW w:w="1368" w:type="pct"/>
            <w:tcBorders>
              <w:top w:val="nil"/>
              <w:bottom w:val="nil"/>
            </w:tcBorders>
            <w:shd w:val="clear" w:color="000000" w:fill="FFFFFF"/>
            <w:noWrap/>
            <w:vAlign w:val="center"/>
            <w:hideMark/>
          </w:tcPr>
          <w:p w:rsidR="000B20B1" w:rsidRDefault="000B20B1" w:rsidP="000B20B1">
            <w:pPr>
              <w:spacing w:before="0" w:after="0"/>
              <w:jc w:val="left"/>
              <w:rPr>
                <w:rFonts w:ascii="Arial" w:hAnsi="Arial" w:cs="Arial"/>
                <w:sz w:val="20"/>
              </w:rPr>
            </w:pPr>
            <w:r>
              <w:rPr>
                <w:rFonts w:ascii="Arial" w:hAnsi="Arial" w:cs="Arial"/>
                <w:sz w:val="20"/>
              </w:rPr>
              <w:t>PEGASE DFS - SEPS</w:t>
            </w:r>
          </w:p>
        </w:tc>
        <w:tc>
          <w:tcPr>
            <w:tcW w:w="722" w:type="pct"/>
            <w:tcBorders>
              <w:top w:val="nil"/>
              <w:bottom w:val="nil"/>
            </w:tcBorders>
            <w:shd w:val="clear" w:color="000000" w:fill="FFFFFF"/>
            <w:noWrap/>
            <w:vAlign w:val="center"/>
            <w:hideMark/>
          </w:tcPr>
          <w:p w:rsidR="000B20B1" w:rsidRDefault="000B20B1" w:rsidP="000B20B1">
            <w:pPr>
              <w:spacing w:before="0" w:after="0"/>
              <w:jc w:val="center"/>
              <w:rPr>
                <w:rFonts w:ascii="Arial" w:hAnsi="Arial" w:cs="Arial"/>
                <w:sz w:val="20"/>
              </w:rPr>
            </w:pPr>
            <w:r>
              <w:rPr>
                <w:rFonts w:ascii="Arial" w:hAnsi="Arial" w:cs="Arial"/>
                <w:sz w:val="20"/>
              </w:rPr>
              <w:t>5</w:t>
            </w:r>
          </w:p>
        </w:tc>
        <w:tc>
          <w:tcPr>
            <w:tcW w:w="736" w:type="pct"/>
            <w:tcBorders>
              <w:top w:val="nil"/>
              <w:bottom w:val="nil"/>
            </w:tcBorders>
            <w:shd w:val="clear" w:color="000000" w:fill="FFFFFF"/>
            <w:noWrap/>
            <w:vAlign w:val="center"/>
            <w:hideMark/>
          </w:tcPr>
          <w:p w:rsidR="000B20B1" w:rsidRDefault="000B20B1" w:rsidP="000B20B1">
            <w:pPr>
              <w:spacing w:before="0" w:after="0"/>
              <w:jc w:val="center"/>
              <w:rPr>
                <w:rFonts w:ascii="Arial" w:hAnsi="Arial" w:cs="Arial"/>
                <w:sz w:val="20"/>
              </w:rPr>
            </w:pPr>
            <w:r>
              <w:rPr>
                <w:rFonts w:ascii="Arial" w:hAnsi="Arial" w:cs="Arial"/>
                <w:sz w:val="20"/>
              </w:rPr>
              <w:t>119,630,000</w:t>
            </w:r>
          </w:p>
        </w:tc>
        <w:tc>
          <w:tcPr>
            <w:tcW w:w="508" w:type="pct"/>
            <w:tcBorders>
              <w:top w:val="nil"/>
              <w:bottom w:val="nil"/>
            </w:tcBorders>
            <w:shd w:val="clear" w:color="auto" w:fill="F2F2F2" w:themeFill="background1" w:themeFillShade="F2"/>
            <w:vAlign w:val="center"/>
          </w:tcPr>
          <w:p w:rsidR="000B20B1" w:rsidRDefault="000B20B1" w:rsidP="000B20B1">
            <w:pPr>
              <w:spacing w:before="0" w:after="0"/>
              <w:jc w:val="center"/>
              <w:rPr>
                <w:rFonts w:ascii="Arial" w:hAnsi="Arial" w:cs="Arial"/>
                <w:sz w:val="20"/>
              </w:rPr>
            </w:pPr>
            <w:r>
              <w:rPr>
                <w:rFonts w:ascii="Arial" w:hAnsi="Arial" w:cs="Arial"/>
                <w:sz w:val="20"/>
              </w:rPr>
              <w:t>10%</w:t>
            </w:r>
          </w:p>
        </w:tc>
        <w:tc>
          <w:tcPr>
            <w:tcW w:w="1114" w:type="pct"/>
            <w:tcBorders>
              <w:top w:val="nil"/>
              <w:bottom w:val="nil"/>
              <w:right w:val="single" w:sz="12" w:space="0" w:color="1F497D"/>
            </w:tcBorders>
            <w:shd w:val="clear" w:color="auto" w:fill="auto"/>
            <w:noWrap/>
            <w:vAlign w:val="center"/>
            <w:hideMark/>
          </w:tcPr>
          <w:p w:rsidR="000B20B1" w:rsidRDefault="000B20B1" w:rsidP="000B20B1">
            <w:pPr>
              <w:spacing w:before="0" w:after="0"/>
              <w:jc w:val="center"/>
              <w:rPr>
                <w:rFonts w:ascii="Arial" w:hAnsi="Arial" w:cs="Arial"/>
                <w:sz w:val="20"/>
              </w:rPr>
            </w:pPr>
            <w:r>
              <w:rPr>
                <w:rFonts w:ascii="Arial" w:hAnsi="Arial" w:cs="Arial"/>
                <w:sz w:val="20"/>
              </w:rPr>
              <w:t>6%</w:t>
            </w:r>
          </w:p>
        </w:tc>
      </w:tr>
      <w:tr w:rsidR="000B20B1" w:rsidRPr="00AB33C7" w:rsidTr="000B20B1">
        <w:trPr>
          <w:trHeight w:val="146"/>
          <w:jc w:val="center"/>
        </w:trPr>
        <w:tc>
          <w:tcPr>
            <w:tcW w:w="552" w:type="pct"/>
            <w:gridSpan w:val="2"/>
            <w:tcBorders>
              <w:top w:val="nil"/>
              <w:left w:val="single" w:sz="12" w:space="0" w:color="1F497D"/>
              <w:bottom w:val="nil"/>
            </w:tcBorders>
            <w:shd w:val="clear" w:color="auto" w:fill="auto"/>
            <w:noWrap/>
            <w:vAlign w:val="center"/>
            <w:hideMark/>
          </w:tcPr>
          <w:p w:rsidR="000B20B1" w:rsidRPr="00AB33C7" w:rsidRDefault="000B20B1" w:rsidP="00A23C41">
            <w:pPr>
              <w:spacing w:before="0" w:after="0"/>
              <w:jc w:val="center"/>
              <w:rPr>
                <w:rFonts w:ascii="Arial" w:hAnsi="Arial" w:cs="Arial"/>
                <w:sz w:val="18"/>
                <w:szCs w:val="18"/>
              </w:rPr>
            </w:pPr>
          </w:p>
        </w:tc>
        <w:tc>
          <w:tcPr>
            <w:tcW w:w="1368" w:type="pct"/>
            <w:tcBorders>
              <w:top w:val="nil"/>
              <w:bottom w:val="nil"/>
            </w:tcBorders>
            <w:shd w:val="clear" w:color="000000" w:fill="FFFFFF"/>
            <w:noWrap/>
            <w:vAlign w:val="center"/>
            <w:hideMark/>
          </w:tcPr>
          <w:p w:rsidR="000B20B1" w:rsidRDefault="000B20B1" w:rsidP="000B20B1">
            <w:pPr>
              <w:spacing w:before="0" w:after="0"/>
              <w:jc w:val="left"/>
              <w:rPr>
                <w:rFonts w:ascii="Arial" w:hAnsi="Arial" w:cs="Arial"/>
                <w:sz w:val="20"/>
              </w:rPr>
            </w:pPr>
            <w:r>
              <w:rPr>
                <w:rFonts w:ascii="Arial" w:hAnsi="Arial" w:cs="Arial"/>
                <w:sz w:val="20"/>
              </w:rPr>
              <w:t>PEGASE DFS - PRIVATE SECTOR</w:t>
            </w:r>
          </w:p>
        </w:tc>
        <w:tc>
          <w:tcPr>
            <w:tcW w:w="722" w:type="pct"/>
            <w:tcBorders>
              <w:top w:val="nil"/>
              <w:bottom w:val="nil"/>
            </w:tcBorders>
            <w:shd w:val="clear" w:color="000000" w:fill="FFFFFF"/>
            <w:noWrap/>
            <w:vAlign w:val="center"/>
            <w:hideMark/>
          </w:tcPr>
          <w:p w:rsidR="000B20B1" w:rsidRDefault="000B20B1" w:rsidP="000B20B1">
            <w:pPr>
              <w:spacing w:before="0" w:after="0"/>
              <w:jc w:val="center"/>
              <w:rPr>
                <w:rFonts w:ascii="Arial" w:hAnsi="Arial" w:cs="Arial"/>
                <w:sz w:val="20"/>
              </w:rPr>
            </w:pPr>
            <w:r>
              <w:rPr>
                <w:rFonts w:ascii="Arial" w:hAnsi="Arial" w:cs="Arial"/>
                <w:sz w:val="20"/>
              </w:rPr>
              <w:t>2</w:t>
            </w:r>
          </w:p>
        </w:tc>
        <w:tc>
          <w:tcPr>
            <w:tcW w:w="736" w:type="pct"/>
            <w:tcBorders>
              <w:top w:val="nil"/>
              <w:bottom w:val="nil"/>
            </w:tcBorders>
            <w:shd w:val="clear" w:color="000000" w:fill="FFFFFF"/>
            <w:noWrap/>
            <w:vAlign w:val="center"/>
            <w:hideMark/>
          </w:tcPr>
          <w:p w:rsidR="000B20B1" w:rsidRDefault="000B20B1" w:rsidP="000B20B1">
            <w:pPr>
              <w:spacing w:before="0" w:after="0"/>
              <w:jc w:val="center"/>
              <w:rPr>
                <w:rFonts w:ascii="Arial" w:hAnsi="Arial" w:cs="Arial"/>
                <w:sz w:val="20"/>
              </w:rPr>
            </w:pPr>
            <w:r>
              <w:rPr>
                <w:rFonts w:ascii="Arial" w:hAnsi="Arial" w:cs="Arial"/>
                <w:sz w:val="20"/>
              </w:rPr>
              <w:t>10,027,486</w:t>
            </w:r>
          </w:p>
        </w:tc>
        <w:tc>
          <w:tcPr>
            <w:tcW w:w="508" w:type="pct"/>
            <w:tcBorders>
              <w:top w:val="nil"/>
              <w:bottom w:val="nil"/>
            </w:tcBorders>
            <w:shd w:val="clear" w:color="auto" w:fill="F2F2F2" w:themeFill="background1" w:themeFillShade="F2"/>
            <w:vAlign w:val="center"/>
          </w:tcPr>
          <w:p w:rsidR="000B20B1" w:rsidRDefault="000B20B1" w:rsidP="000B20B1">
            <w:pPr>
              <w:spacing w:before="0" w:after="0"/>
              <w:jc w:val="center"/>
              <w:rPr>
                <w:rFonts w:ascii="Arial" w:hAnsi="Arial" w:cs="Arial"/>
                <w:sz w:val="20"/>
              </w:rPr>
            </w:pPr>
            <w:r>
              <w:rPr>
                <w:rFonts w:ascii="Arial" w:hAnsi="Arial" w:cs="Arial"/>
                <w:sz w:val="20"/>
              </w:rPr>
              <w:t>1%</w:t>
            </w:r>
          </w:p>
        </w:tc>
        <w:tc>
          <w:tcPr>
            <w:tcW w:w="1114" w:type="pct"/>
            <w:tcBorders>
              <w:top w:val="nil"/>
              <w:bottom w:val="nil"/>
              <w:right w:val="single" w:sz="12" w:space="0" w:color="1F497D"/>
            </w:tcBorders>
            <w:shd w:val="clear" w:color="auto" w:fill="auto"/>
            <w:noWrap/>
            <w:vAlign w:val="center"/>
            <w:hideMark/>
          </w:tcPr>
          <w:p w:rsidR="000B20B1" w:rsidRDefault="000B20B1" w:rsidP="000B20B1">
            <w:pPr>
              <w:spacing w:before="0" w:after="0"/>
              <w:jc w:val="center"/>
              <w:rPr>
                <w:rFonts w:ascii="Arial" w:hAnsi="Arial" w:cs="Arial"/>
                <w:sz w:val="20"/>
              </w:rPr>
            </w:pPr>
            <w:r>
              <w:rPr>
                <w:rFonts w:ascii="Arial" w:hAnsi="Arial" w:cs="Arial"/>
                <w:sz w:val="20"/>
              </w:rPr>
              <w:t>0%</w:t>
            </w:r>
          </w:p>
        </w:tc>
      </w:tr>
      <w:tr w:rsidR="000B20B1" w:rsidRPr="00AB33C7" w:rsidTr="000B20B1">
        <w:trPr>
          <w:trHeight w:val="146"/>
          <w:jc w:val="center"/>
        </w:trPr>
        <w:tc>
          <w:tcPr>
            <w:tcW w:w="552" w:type="pct"/>
            <w:gridSpan w:val="2"/>
            <w:tcBorders>
              <w:top w:val="nil"/>
              <w:left w:val="single" w:sz="12" w:space="0" w:color="1F497D"/>
              <w:bottom w:val="nil"/>
            </w:tcBorders>
            <w:shd w:val="clear" w:color="auto" w:fill="auto"/>
            <w:noWrap/>
            <w:vAlign w:val="center"/>
            <w:hideMark/>
          </w:tcPr>
          <w:p w:rsidR="000B20B1" w:rsidRPr="00AB33C7" w:rsidRDefault="000B20B1" w:rsidP="00A23C41">
            <w:pPr>
              <w:spacing w:before="0" w:after="0"/>
              <w:jc w:val="center"/>
              <w:rPr>
                <w:rFonts w:ascii="Arial" w:hAnsi="Arial" w:cs="Arial"/>
                <w:sz w:val="18"/>
                <w:szCs w:val="18"/>
              </w:rPr>
            </w:pPr>
          </w:p>
        </w:tc>
        <w:tc>
          <w:tcPr>
            <w:tcW w:w="1368" w:type="pct"/>
            <w:tcBorders>
              <w:top w:val="nil"/>
              <w:bottom w:val="nil"/>
            </w:tcBorders>
            <w:shd w:val="clear" w:color="000000" w:fill="FFFFFF"/>
            <w:noWrap/>
            <w:vAlign w:val="center"/>
            <w:hideMark/>
          </w:tcPr>
          <w:p w:rsidR="000B20B1" w:rsidRDefault="000B20B1" w:rsidP="000B20B1">
            <w:pPr>
              <w:spacing w:before="0" w:after="0"/>
              <w:jc w:val="left"/>
              <w:rPr>
                <w:rFonts w:ascii="Arial" w:hAnsi="Arial" w:cs="Arial"/>
                <w:sz w:val="20"/>
              </w:rPr>
            </w:pPr>
            <w:r>
              <w:rPr>
                <w:rFonts w:ascii="Arial" w:hAnsi="Arial" w:cs="Arial"/>
                <w:sz w:val="20"/>
              </w:rPr>
              <w:t>PEGASE DFS - GLOBAL</w:t>
            </w:r>
            <w:r w:rsidRPr="00AB33C7">
              <w:rPr>
                <w:rStyle w:val="Rimandonotaapidipagina"/>
                <w:rFonts w:ascii="Arial" w:hAnsi="Arial" w:cs="Arial"/>
                <w:sz w:val="18"/>
                <w:szCs w:val="18"/>
              </w:rPr>
              <w:footnoteReference w:id="80"/>
            </w:r>
          </w:p>
        </w:tc>
        <w:tc>
          <w:tcPr>
            <w:tcW w:w="722" w:type="pct"/>
            <w:tcBorders>
              <w:top w:val="nil"/>
              <w:bottom w:val="nil"/>
            </w:tcBorders>
            <w:shd w:val="clear" w:color="000000" w:fill="FFFFFF"/>
            <w:noWrap/>
            <w:vAlign w:val="center"/>
            <w:hideMark/>
          </w:tcPr>
          <w:p w:rsidR="000B20B1" w:rsidRDefault="000B20B1" w:rsidP="000B20B1">
            <w:pPr>
              <w:spacing w:before="0" w:after="0"/>
              <w:jc w:val="center"/>
              <w:rPr>
                <w:rFonts w:ascii="Arial" w:hAnsi="Arial" w:cs="Arial"/>
                <w:sz w:val="20"/>
              </w:rPr>
            </w:pPr>
            <w:r>
              <w:rPr>
                <w:rFonts w:ascii="Arial" w:hAnsi="Arial" w:cs="Arial"/>
                <w:sz w:val="20"/>
              </w:rPr>
              <w:t>8</w:t>
            </w:r>
          </w:p>
        </w:tc>
        <w:tc>
          <w:tcPr>
            <w:tcW w:w="736" w:type="pct"/>
            <w:tcBorders>
              <w:top w:val="nil"/>
              <w:bottom w:val="nil"/>
            </w:tcBorders>
            <w:shd w:val="clear" w:color="000000" w:fill="FFFFFF"/>
            <w:noWrap/>
            <w:vAlign w:val="center"/>
            <w:hideMark/>
          </w:tcPr>
          <w:p w:rsidR="000B20B1" w:rsidRDefault="000B20B1" w:rsidP="000B20B1">
            <w:pPr>
              <w:spacing w:before="0" w:after="0"/>
              <w:jc w:val="center"/>
              <w:rPr>
                <w:rFonts w:ascii="Arial" w:hAnsi="Arial" w:cs="Arial"/>
                <w:sz w:val="20"/>
              </w:rPr>
            </w:pPr>
            <w:r>
              <w:rPr>
                <w:rFonts w:ascii="Arial" w:hAnsi="Arial" w:cs="Arial"/>
                <w:sz w:val="20"/>
              </w:rPr>
              <w:t>6,963,930</w:t>
            </w:r>
          </w:p>
        </w:tc>
        <w:tc>
          <w:tcPr>
            <w:tcW w:w="508" w:type="pct"/>
            <w:tcBorders>
              <w:top w:val="nil"/>
              <w:bottom w:val="nil"/>
            </w:tcBorders>
            <w:shd w:val="clear" w:color="auto" w:fill="F2F2F2" w:themeFill="background1" w:themeFillShade="F2"/>
            <w:vAlign w:val="center"/>
          </w:tcPr>
          <w:p w:rsidR="000B20B1" w:rsidRDefault="000B20B1" w:rsidP="000B20B1">
            <w:pPr>
              <w:spacing w:before="0" w:after="0"/>
              <w:jc w:val="center"/>
              <w:rPr>
                <w:rFonts w:ascii="Arial" w:hAnsi="Arial" w:cs="Arial"/>
                <w:sz w:val="20"/>
              </w:rPr>
            </w:pPr>
            <w:r>
              <w:rPr>
                <w:rFonts w:ascii="Arial" w:hAnsi="Arial" w:cs="Arial"/>
                <w:sz w:val="20"/>
              </w:rPr>
              <w:t>1%</w:t>
            </w:r>
          </w:p>
        </w:tc>
        <w:tc>
          <w:tcPr>
            <w:tcW w:w="1114" w:type="pct"/>
            <w:tcBorders>
              <w:top w:val="nil"/>
              <w:bottom w:val="nil"/>
              <w:right w:val="single" w:sz="12" w:space="0" w:color="1F497D"/>
            </w:tcBorders>
            <w:shd w:val="clear" w:color="auto" w:fill="auto"/>
            <w:noWrap/>
            <w:vAlign w:val="center"/>
            <w:hideMark/>
          </w:tcPr>
          <w:p w:rsidR="000B20B1" w:rsidRDefault="000B20B1" w:rsidP="000B20B1">
            <w:pPr>
              <w:spacing w:before="0" w:after="0"/>
              <w:jc w:val="center"/>
              <w:rPr>
                <w:rFonts w:ascii="Arial" w:hAnsi="Arial" w:cs="Arial"/>
                <w:sz w:val="20"/>
              </w:rPr>
            </w:pPr>
            <w:r>
              <w:rPr>
                <w:rFonts w:ascii="Arial" w:hAnsi="Arial" w:cs="Arial"/>
                <w:sz w:val="20"/>
              </w:rPr>
              <w:t>0%</w:t>
            </w:r>
          </w:p>
        </w:tc>
      </w:tr>
      <w:tr w:rsidR="000B20B1" w:rsidRPr="00AB33C7" w:rsidTr="000B20B1">
        <w:trPr>
          <w:trHeight w:val="146"/>
          <w:jc w:val="center"/>
        </w:trPr>
        <w:tc>
          <w:tcPr>
            <w:tcW w:w="552" w:type="pct"/>
            <w:gridSpan w:val="2"/>
            <w:tcBorders>
              <w:top w:val="nil"/>
              <w:left w:val="single" w:sz="12" w:space="0" w:color="1F497D"/>
              <w:bottom w:val="nil"/>
            </w:tcBorders>
            <w:shd w:val="clear" w:color="auto" w:fill="auto"/>
            <w:noWrap/>
            <w:vAlign w:val="center"/>
            <w:hideMark/>
          </w:tcPr>
          <w:p w:rsidR="000B20B1" w:rsidRPr="00AB33C7" w:rsidRDefault="000B20B1" w:rsidP="00A23C41">
            <w:pPr>
              <w:spacing w:before="0" w:after="0"/>
              <w:jc w:val="center"/>
              <w:rPr>
                <w:rFonts w:ascii="Arial" w:hAnsi="Arial" w:cs="Arial"/>
                <w:sz w:val="18"/>
                <w:szCs w:val="18"/>
              </w:rPr>
            </w:pPr>
          </w:p>
        </w:tc>
        <w:tc>
          <w:tcPr>
            <w:tcW w:w="1368" w:type="pct"/>
            <w:tcBorders>
              <w:top w:val="nil"/>
              <w:bottom w:val="nil"/>
            </w:tcBorders>
            <w:shd w:val="clear" w:color="000000" w:fill="FFFFFF"/>
            <w:noWrap/>
            <w:vAlign w:val="center"/>
            <w:hideMark/>
          </w:tcPr>
          <w:p w:rsidR="000B20B1" w:rsidRDefault="000B20B1" w:rsidP="000B20B1">
            <w:pPr>
              <w:spacing w:before="0" w:after="0"/>
              <w:jc w:val="left"/>
              <w:rPr>
                <w:rFonts w:ascii="Arial" w:hAnsi="Arial" w:cs="Arial"/>
                <w:sz w:val="20"/>
              </w:rPr>
            </w:pPr>
            <w:r>
              <w:rPr>
                <w:rFonts w:ascii="Arial" w:hAnsi="Arial" w:cs="Arial"/>
                <w:sz w:val="20"/>
              </w:rPr>
              <w:t>PEGASE DFS - CPD</w:t>
            </w:r>
          </w:p>
        </w:tc>
        <w:tc>
          <w:tcPr>
            <w:tcW w:w="722" w:type="pct"/>
            <w:tcBorders>
              <w:top w:val="nil"/>
              <w:bottom w:val="nil"/>
            </w:tcBorders>
            <w:shd w:val="clear" w:color="000000" w:fill="FFFFFF"/>
            <w:noWrap/>
            <w:vAlign w:val="center"/>
            <w:hideMark/>
          </w:tcPr>
          <w:p w:rsidR="000B20B1" w:rsidRDefault="000B20B1" w:rsidP="000B20B1">
            <w:pPr>
              <w:spacing w:before="0" w:after="0"/>
              <w:jc w:val="center"/>
              <w:rPr>
                <w:rFonts w:ascii="Arial" w:hAnsi="Arial" w:cs="Arial"/>
                <w:sz w:val="20"/>
              </w:rPr>
            </w:pPr>
            <w:r>
              <w:rPr>
                <w:rFonts w:ascii="Arial" w:hAnsi="Arial" w:cs="Arial"/>
                <w:sz w:val="20"/>
              </w:rPr>
              <w:t>2</w:t>
            </w:r>
          </w:p>
        </w:tc>
        <w:tc>
          <w:tcPr>
            <w:tcW w:w="736" w:type="pct"/>
            <w:tcBorders>
              <w:top w:val="nil"/>
              <w:bottom w:val="nil"/>
            </w:tcBorders>
            <w:shd w:val="clear" w:color="000000" w:fill="FFFFFF"/>
            <w:noWrap/>
            <w:vAlign w:val="center"/>
            <w:hideMark/>
          </w:tcPr>
          <w:p w:rsidR="000B20B1" w:rsidRDefault="000B20B1" w:rsidP="000B20B1">
            <w:pPr>
              <w:spacing w:before="0" w:after="0"/>
              <w:jc w:val="center"/>
              <w:rPr>
                <w:rFonts w:ascii="Arial" w:hAnsi="Arial" w:cs="Arial"/>
                <w:sz w:val="20"/>
              </w:rPr>
            </w:pPr>
            <w:r>
              <w:rPr>
                <w:rFonts w:ascii="Arial" w:hAnsi="Arial" w:cs="Arial"/>
                <w:sz w:val="20"/>
              </w:rPr>
              <w:t>4,576,652</w:t>
            </w:r>
          </w:p>
        </w:tc>
        <w:tc>
          <w:tcPr>
            <w:tcW w:w="508" w:type="pct"/>
            <w:tcBorders>
              <w:top w:val="nil"/>
              <w:bottom w:val="nil"/>
            </w:tcBorders>
            <w:shd w:val="clear" w:color="auto" w:fill="F2F2F2" w:themeFill="background1" w:themeFillShade="F2"/>
            <w:vAlign w:val="center"/>
          </w:tcPr>
          <w:p w:rsidR="000B20B1" w:rsidRDefault="000B20B1" w:rsidP="000B20B1">
            <w:pPr>
              <w:spacing w:before="0" w:after="0"/>
              <w:jc w:val="center"/>
              <w:rPr>
                <w:rFonts w:ascii="Arial" w:hAnsi="Arial" w:cs="Arial"/>
                <w:sz w:val="20"/>
              </w:rPr>
            </w:pPr>
            <w:r>
              <w:rPr>
                <w:rFonts w:ascii="Arial" w:hAnsi="Arial" w:cs="Arial"/>
                <w:sz w:val="20"/>
              </w:rPr>
              <w:t>0%</w:t>
            </w:r>
          </w:p>
        </w:tc>
        <w:tc>
          <w:tcPr>
            <w:tcW w:w="1114" w:type="pct"/>
            <w:tcBorders>
              <w:top w:val="nil"/>
              <w:bottom w:val="nil"/>
              <w:right w:val="single" w:sz="12" w:space="0" w:color="1F497D"/>
            </w:tcBorders>
            <w:shd w:val="clear" w:color="auto" w:fill="auto"/>
            <w:noWrap/>
            <w:vAlign w:val="center"/>
            <w:hideMark/>
          </w:tcPr>
          <w:p w:rsidR="000B20B1" w:rsidRDefault="000B20B1" w:rsidP="000B20B1">
            <w:pPr>
              <w:spacing w:before="0" w:after="0"/>
              <w:jc w:val="center"/>
              <w:rPr>
                <w:rFonts w:ascii="Arial" w:hAnsi="Arial" w:cs="Arial"/>
                <w:sz w:val="20"/>
              </w:rPr>
            </w:pPr>
            <w:r>
              <w:rPr>
                <w:rFonts w:ascii="Arial" w:hAnsi="Arial" w:cs="Arial"/>
                <w:sz w:val="20"/>
              </w:rPr>
              <w:t>0%</w:t>
            </w:r>
          </w:p>
        </w:tc>
      </w:tr>
      <w:tr w:rsidR="000B20B1" w:rsidRPr="00AB33C7" w:rsidTr="000B20B1">
        <w:trPr>
          <w:trHeight w:val="146"/>
          <w:jc w:val="center"/>
        </w:trPr>
        <w:tc>
          <w:tcPr>
            <w:tcW w:w="552" w:type="pct"/>
            <w:gridSpan w:val="2"/>
            <w:tcBorders>
              <w:top w:val="nil"/>
              <w:left w:val="single" w:sz="12" w:space="0" w:color="1F497D"/>
              <w:bottom w:val="nil"/>
            </w:tcBorders>
            <w:shd w:val="clear" w:color="auto" w:fill="DBE5F1" w:themeFill="accent1" w:themeFillTint="33"/>
            <w:noWrap/>
            <w:vAlign w:val="center"/>
            <w:hideMark/>
          </w:tcPr>
          <w:p w:rsidR="000B20B1" w:rsidRPr="00AB33C7" w:rsidRDefault="000B20B1" w:rsidP="00A23C41">
            <w:pPr>
              <w:spacing w:before="0" w:after="0"/>
              <w:jc w:val="center"/>
              <w:rPr>
                <w:rFonts w:ascii="Arial" w:hAnsi="Arial" w:cs="Arial"/>
                <w:b/>
                <w:sz w:val="18"/>
                <w:szCs w:val="18"/>
              </w:rPr>
            </w:pPr>
            <w:r w:rsidRPr="00AB33C7">
              <w:rPr>
                <w:rFonts w:ascii="Arial" w:hAnsi="Arial" w:cs="Arial"/>
                <w:b/>
                <w:sz w:val="18"/>
                <w:szCs w:val="18"/>
              </w:rPr>
              <w:t>Track 2</w:t>
            </w:r>
          </w:p>
        </w:tc>
        <w:tc>
          <w:tcPr>
            <w:tcW w:w="1368" w:type="pct"/>
            <w:tcBorders>
              <w:top w:val="nil"/>
              <w:bottom w:val="nil"/>
            </w:tcBorders>
            <w:shd w:val="clear" w:color="auto" w:fill="DBE5F1" w:themeFill="accent1" w:themeFillTint="33"/>
            <w:noWrap/>
            <w:vAlign w:val="center"/>
            <w:hideMark/>
          </w:tcPr>
          <w:p w:rsidR="000B20B1" w:rsidRPr="00AB33C7" w:rsidRDefault="000B20B1" w:rsidP="000B20B1">
            <w:pPr>
              <w:spacing w:before="0" w:after="0"/>
              <w:jc w:val="left"/>
              <w:rPr>
                <w:rFonts w:ascii="Arial" w:hAnsi="Arial" w:cs="Arial"/>
                <w:b/>
                <w:bCs/>
                <w:sz w:val="18"/>
                <w:szCs w:val="18"/>
              </w:rPr>
            </w:pPr>
            <w:r w:rsidRPr="00AB33C7">
              <w:rPr>
                <w:rFonts w:ascii="Arial" w:hAnsi="Arial" w:cs="Arial"/>
                <w:b/>
                <w:bCs/>
                <w:sz w:val="18"/>
                <w:szCs w:val="18"/>
              </w:rPr>
              <w:t>Total</w:t>
            </w:r>
          </w:p>
        </w:tc>
        <w:tc>
          <w:tcPr>
            <w:tcW w:w="722" w:type="pct"/>
            <w:tcBorders>
              <w:top w:val="nil"/>
              <w:bottom w:val="nil"/>
            </w:tcBorders>
            <w:shd w:val="clear" w:color="auto" w:fill="DBE5F1" w:themeFill="accent1" w:themeFillTint="33"/>
            <w:noWrap/>
            <w:vAlign w:val="center"/>
            <w:hideMark/>
          </w:tcPr>
          <w:p w:rsidR="000B20B1" w:rsidRPr="000B20B1" w:rsidRDefault="000B20B1" w:rsidP="000B20B1">
            <w:pPr>
              <w:jc w:val="center"/>
              <w:rPr>
                <w:rFonts w:ascii="Arial" w:hAnsi="Arial" w:cs="Arial"/>
                <w:b/>
                <w:bCs/>
                <w:sz w:val="18"/>
                <w:szCs w:val="18"/>
              </w:rPr>
            </w:pPr>
            <w:r w:rsidRPr="000B20B1">
              <w:rPr>
                <w:rFonts w:ascii="Arial" w:hAnsi="Arial" w:cs="Arial"/>
                <w:b/>
                <w:sz w:val="20"/>
              </w:rPr>
              <w:t>372,752,391</w:t>
            </w:r>
          </w:p>
        </w:tc>
        <w:tc>
          <w:tcPr>
            <w:tcW w:w="736" w:type="pct"/>
            <w:tcBorders>
              <w:top w:val="nil"/>
              <w:bottom w:val="nil"/>
            </w:tcBorders>
            <w:shd w:val="clear" w:color="auto" w:fill="DBE5F1" w:themeFill="accent1" w:themeFillTint="33"/>
            <w:noWrap/>
            <w:vAlign w:val="center"/>
            <w:hideMark/>
          </w:tcPr>
          <w:p w:rsidR="000B20B1" w:rsidRPr="000B20B1" w:rsidRDefault="000B20B1" w:rsidP="000B20B1">
            <w:pPr>
              <w:spacing w:before="0" w:after="0"/>
              <w:jc w:val="center"/>
              <w:rPr>
                <w:rFonts w:ascii="Arial" w:hAnsi="Arial" w:cs="Arial"/>
                <w:b/>
                <w:bCs/>
                <w:sz w:val="18"/>
                <w:szCs w:val="18"/>
              </w:rPr>
            </w:pPr>
            <w:r w:rsidRPr="000B20B1">
              <w:rPr>
                <w:rFonts w:ascii="Arial" w:hAnsi="Arial" w:cs="Arial"/>
                <w:b/>
                <w:bCs/>
                <w:sz w:val="18"/>
                <w:szCs w:val="18"/>
              </w:rPr>
              <w:t>505</w:t>
            </w:r>
          </w:p>
        </w:tc>
        <w:tc>
          <w:tcPr>
            <w:tcW w:w="508" w:type="pct"/>
            <w:tcBorders>
              <w:top w:val="nil"/>
              <w:bottom w:val="nil"/>
            </w:tcBorders>
            <w:shd w:val="clear" w:color="auto" w:fill="DBE5F1" w:themeFill="accent1" w:themeFillTint="33"/>
            <w:vAlign w:val="center"/>
          </w:tcPr>
          <w:p w:rsidR="000B20B1" w:rsidRPr="000B20B1" w:rsidRDefault="000B20B1" w:rsidP="000B20B1">
            <w:pPr>
              <w:spacing w:before="0" w:after="0"/>
              <w:jc w:val="center"/>
              <w:rPr>
                <w:rFonts w:ascii="Arial" w:hAnsi="Arial" w:cs="Arial"/>
                <w:b/>
                <w:sz w:val="20"/>
              </w:rPr>
            </w:pPr>
            <w:r w:rsidRPr="000B20B1">
              <w:rPr>
                <w:rFonts w:ascii="Arial" w:hAnsi="Arial" w:cs="Arial"/>
                <w:b/>
                <w:sz w:val="20"/>
              </w:rPr>
              <w:t>100%</w:t>
            </w:r>
          </w:p>
        </w:tc>
        <w:tc>
          <w:tcPr>
            <w:tcW w:w="1114" w:type="pct"/>
            <w:tcBorders>
              <w:top w:val="nil"/>
              <w:bottom w:val="nil"/>
              <w:right w:val="single" w:sz="12" w:space="0" w:color="1F497D"/>
            </w:tcBorders>
            <w:shd w:val="clear" w:color="auto" w:fill="DBE5F1" w:themeFill="accent1" w:themeFillTint="33"/>
            <w:noWrap/>
            <w:vAlign w:val="center"/>
            <w:hideMark/>
          </w:tcPr>
          <w:p w:rsidR="000B20B1" w:rsidRPr="000B20B1" w:rsidRDefault="000B20B1" w:rsidP="000B20B1">
            <w:pPr>
              <w:spacing w:before="0" w:after="0"/>
              <w:jc w:val="center"/>
              <w:rPr>
                <w:rFonts w:ascii="Arial" w:hAnsi="Arial" w:cs="Arial"/>
                <w:b/>
                <w:sz w:val="20"/>
              </w:rPr>
            </w:pPr>
            <w:r w:rsidRPr="000B20B1">
              <w:rPr>
                <w:rFonts w:ascii="Arial" w:hAnsi="Arial" w:cs="Arial"/>
                <w:b/>
                <w:sz w:val="20"/>
              </w:rPr>
              <w:t>18%</w:t>
            </w:r>
          </w:p>
        </w:tc>
      </w:tr>
      <w:tr w:rsidR="000B20B1" w:rsidRPr="00AB33C7" w:rsidTr="000B20B1">
        <w:trPr>
          <w:trHeight w:val="155"/>
          <w:jc w:val="center"/>
        </w:trPr>
        <w:tc>
          <w:tcPr>
            <w:tcW w:w="552" w:type="pct"/>
            <w:gridSpan w:val="2"/>
            <w:tcBorders>
              <w:top w:val="nil"/>
              <w:left w:val="single" w:sz="12" w:space="0" w:color="1F497D"/>
              <w:bottom w:val="nil"/>
            </w:tcBorders>
            <w:shd w:val="clear" w:color="auto" w:fill="FFFFFF" w:themeFill="background1"/>
            <w:noWrap/>
            <w:vAlign w:val="center"/>
            <w:hideMark/>
          </w:tcPr>
          <w:p w:rsidR="000B20B1" w:rsidRPr="00AB33C7" w:rsidRDefault="000B20B1" w:rsidP="00A23C41">
            <w:pPr>
              <w:spacing w:before="0" w:after="0"/>
              <w:jc w:val="center"/>
              <w:rPr>
                <w:rFonts w:ascii="Arial" w:hAnsi="Arial" w:cs="Arial"/>
                <w:sz w:val="18"/>
                <w:szCs w:val="18"/>
              </w:rPr>
            </w:pPr>
          </w:p>
        </w:tc>
        <w:tc>
          <w:tcPr>
            <w:tcW w:w="1368" w:type="pct"/>
            <w:tcBorders>
              <w:top w:val="nil"/>
              <w:bottom w:val="nil"/>
            </w:tcBorders>
            <w:shd w:val="clear" w:color="auto" w:fill="FFFFFF" w:themeFill="background1"/>
            <w:noWrap/>
            <w:vAlign w:val="center"/>
            <w:hideMark/>
          </w:tcPr>
          <w:p w:rsidR="000B20B1" w:rsidRPr="00AB33C7" w:rsidRDefault="000B20B1" w:rsidP="000B20B1">
            <w:pPr>
              <w:spacing w:before="0" w:after="0"/>
              <w:jc w:val="left"/>
              <w:rPr>
                <w:rFonts w:ascii="Arial" w:hAnsi="Arial" w:cs="Arial"/>
                <w:sz w:val="18"/>
                <w:szCs w:val="18"/>
              </w:rPr>
            </w:pPr>
            <w:r w:rsidRPr="00AB33C7">
              <w:rPr>
                <w:rFonts w:ascii="Arial" w:hAnsi="Arial" w:cs="Arial"/>
                <w:sz w:val="18"/>
                <w:szCs w:val="18"/>
              </w:rPr>
              <w:t>DEV</w:t>
            </w:r>
          </w:p>
        </w:tc>
        <w:tc>
          <w:tcPr>
            <w:tcW w:w="722" w:type="pct"/>
            <w:tcBorders>
              <w:top w:val="nil"/>
              <w:bottom w:val="nil"/>
            </w:tcBorders>
            <w:shd w:val="clear" w:color="auto" w:fill="FFFFFF" w:themeFill="background1"/>
            <w:noWrap/>
            <w:vAlign w:val="center"/>
            <w:hideMark/>
          </w:tcPr>
          <w:p w:rsidR="000B20B1" w:rsidRPr="00AB33C7" w:rsidRDefault="000B20B1" w:rsidP="000B20B1">
            <w:pPr>
              <w:spacing w:before="0" w:after="0"/>
              <w:jc w:val="center"/>
              <w:rPr>
                <w:rFonts w:ascii="Arial" w:hAnsi="Arial" w:cs="Arial"/>
                <w:sz w:val="18"/>
                <w:szCs w:val="18"/>
              </w:rPr>
            </w:pPr>
            <w:r w:rsidRPr="00AB33C7">
              <w:rPr>
                <w:rFonts w:ascii="Arial" w:hAnsi="Arial" w:cs="Arial"/>
                <w:sz w:val="18"/>
                <w:szCs w:val="18"/>
              </w:rPr>
              <w:t>183</w:t>
            </w:r>
            <w:r>
              <w:rPr>
                <w:rFonts w:ascii="Arial" w:hAnsi="Arial" w:cs="Arial"/>
                <w:sz w:val="18"/>
                <w:szCs w:val="18"/>
              </w:rPr>
              <w:t>,</w:t>
            </w:r>
            <w:r w:rsidRPr="00AB33C7">
              <w:rPr>
                <w:rFonts w:ascii="Arial" w:hAnsi="Arial" w:cs="Arial"/>
                <w:sz w:val="18"/>
                <w:szCs w:val="18"/>
              </w:rPr>
              <w:t>307</w:t>
            </w:r>
            <w:r>
              <w:rPr>
                <w:rFonts w:ascii="Arial" w:hAnsi="Arial" w:cs="Arial"/>
                <w:sz w:val="18"/>
                <w:szCs w:val="18"/>
              </w:rPr>
              <w:t>,</w:t>
            </w:r>
            <w:r w:rsidRPr="00AB33C7">
              <w:rPr>
                <w:rFonts w:ascii="Arial" w:hAnsi="Arial" w:cs="Arial"/>
                <w:sz w:val="18"/>
                <w:szCs w:val="18"/>
              </w:rPr>
              <w:t>787</w:t>
            </w:r>
          </w:p>
        </w:tc>
        <w:tc>
          <w:tcPr>
            <w:tcW w:w="736" w:type="pct"/>
            <w:tcBorders>
              <w:top w:val="nil"/>
              <w:bottom w:val="nil"/>
            </w:tcBorders>
            <w:shd w:val="clear" w:color="auto" w:fill="FFFFFF" w:themeFill="background1"/>
            <w:noWrap/>
            <w:vAlign w:val="center"/>
            <w:hideMark/>
          </w:tcPr>
          <w:p w:rsidR="000B20B1" w:rsidRPr="00AB33C7" w:rsidRDefault="000B20B1" w:rsidP="000B20B1">
            <w:pPr>
              <w:spacing w:before="0" w:after="0"/>
              <w:jc w:val="center"/>
              <w:rPr>
                <w:rFonts w:ascii="Arial" w:hAnsi="Arial" w:cs="Arial"/>
                <w:sz w:val="18"/>
                <w:szCs w:val="18"/>
              </w:rPr>
            </w:pPr>
            <w:r w:rsidRPr="00AB33C7">
              <w:rPr>
                <w:rFonts w:ascii="Arial" w:hAnsi="Arial" w:cs="Arial"/>
                <w:sz w:val="18"/>
                <w:szCs w:val="18"/>
              </w:rPr>
              <w:t>366</w:t>
            </w:r>
          </w:p>
        </w:tc>
        <w:tc>
          <w:tcPr>
            <w:tcW w:w="508" w:type="pct"/>
            <w:tcBorders>
              <w:top w:val="nil"/>
              <w:bottom w:val="nil"/>
            </w:tcBorders>
            <w:shd w:val="clear" w:color="auto" w:fill="F2F2F2" w:themeFill="background1" w:themeFillShade="F2"/>
            <w:vAlign w:val="center"/>
          </w:tcPr>
          <w:p w:rsidR="000B20B1" w:rsidRDefault="000B20B1" w:rsidP="000B20B1">
            <w:pPr>
              <w:spacing w:before="0" w:after="0"/>
              <w:jc w:val="center"/>
              <w:rPr>
                <w:rFonts w:ascii="Arial" w:hAnsi="Arial" w:cs="Arial"/>
                <w:sz w:val="20"/>
              </w:rPr>
            </w:pPr>
            <w:r>
              <w:rPr>
                <w:rFonts w:ascii="Arial" w:hAnsi="Arial" w:cs="Arial"/>
                <w:sz w:val="20"/>
              </w:rPr>
              <w:t>49%</w:t>
            </w:r>
          </w:p>
        </w:tc>
        <w:tc>
          <w:tcPr>
            <w:tcW w:w="1114" w:type="pct"/>
            <w:tcBorders>
              <w:top w:val="nil"/>
              <w:bottom w:val="nil"/>
              <w:right w:val="single" w:sz="12" w:space="0" w:color="1F497D"/>
            </w:tcBorders>
            <w:shd w:val="clear" w:color="auto" w:fill="auto"/>
            <w:noWrap/>
            <w:vAlign w:val="center"/>
            <w:hideMark/>
          </w:tcPr>
          <w:p w:rsidR="000B20B1" w:rsidRDefault="000B20B1" w:rsidP="000B20B1">
            <w:pPr>
              <w:spacing w:before="0" w:after="0"/>
              <w:jc w:val="center"/>
              <w:rPr>
                <w:rFonts w:ascii="Arial" w:hAnsi="Arial" w:cs="Arial"/>
                <w:sz w:val="20"/>
              </w:rPr>
            </w:pPr>
            <w:r>
              <w:rPr>
                <w:rFonts w:ascii="Arial" w:hAnsi="Arial" w:cs="Arial"/>
                <w:sz w:val="20"/>
              </w:rPr>
              <w:t>9%</w:t>
            </w:r>
          </w:p>
        </w:tc>
      </w:tr>
      <w:tr w:rsidR="000B20B1" w:rsidRPr="00AB33C7" w:rsidTr="000B20B1">
        <w:trPr>
          <w:trHeight w:val="215"/>
          <w:jc w:val="center"/>
        </w:trPr>
        <w:tc>
          <w:tcPr>
            <w:tcW w:w="552" w:type="pct"/>
            <w:gridSpan w:val="2"/>
            <w:tcBorders>
              <w:top w:val="nil"/>
              <w:left w:val="single" w:sz="12" w:space="0" w:color="1F497D"/>
              <w:bottom w:val="nil"/>
            </w:tcBorders>
            <w:shd w:val="clear" w:color="auto" w:fill="FFFFFF" w:themeFill="background1"/>
            <w:noWrap/>
            <w:vAlign w:val="center"/>
            <w:hideMark/>
          </w:tcPr>
          <w:p w:rsidR="000B20B1" w:rsidRPr="00AB33C7" w:rsidRDefault="000B20B1" w:rsidP="00A23C41">
            <w:pPr>
              <w:spacing w:before="0" w:after="0"/>
              <w:jc w:val="center"/>
              <w:rPr>
                <w:rFonts w:ascii="Arial" w:hAnsi="Arial" w:cs="Arial"/>
                <w:sz w:val="18"/>
                <w:szCs w:val="18"/>
              </w:rPr>
            </w:pPr>
          </w:p>
        </w:tc>
        <w:tc>
          <w:tcPr>
            <w:tcW w:w="1368" w:type="pct"/>
            <w:tcBorders>
              <w:top w:val="nil"/>
              <w:bottom w:val="nil"/>
            </w:tcBorders>
            <w:shd w:val="clear" w:color="auto" w:fill="FFFFFF" w:themeFill="background1"/>
            <w:noWrap/>
            <w:vAlign w:val="center"/>
            <w:hideMark/>
          </w:tcPr>
          <w:p w:rsidR="000B20B1" w:rsidRPr="00AB33C7" w:rsidRDefault="000B20B1" w:rsidP="000B20B1">
            <w:pPr>
              <w:spacing w:before="0" w:after="0"/>
              <w:jc w:val="left"/>
              <w:rPr>
                <w:rFonts w:ascii="Arial" w:hAnsi="Arial" w:cs="Arial"/>
                <w:sz w:val="18"/>
                <w:szCs w:val="18"/>
              </w:rPr>
            </w:pPr>
            <w:r w:rsidRPr="00AB33C7">
              <w:rPr>
                <w:rFonts w:ascii="Arial" w:hAnsi="Arial" w:cs="Arial"/>
                <w:sz w:val="18"/>
                <w:szCs w:val="18"/>
              </w:rPr>
              <w:t>PEGASE DEV COOP</w:t>
            </w:r>
          </w:p>
        </w:tc>
        <w:tc>
          <w:tcPr>
            <w:tcW w:w="722" w:type="pct"/>
            <w:tcBorders>
              <w:top w:val="nil"/>
              <w:bottom w:val="nil"/>
            </w:tcBorders>
            <w:shd w:val="clear" w:color="auto" w:fill="FFFFFF" w:themeFill="background1"/>
            <w:noWrap/>
            <w:vAlign w:val="center"/>
            <w:hideMark/>
          </w:tcPr>
          <w:p w:rsidR="000B20B1" w:rsidRPr="00AB33C7" w:rsidRDefault="000B20B1" w:rsidP="000B20B1">
            <w:pPr>
              <w:jc w:val="center"/>
              <w:rPr>
                <w:rFonts w:ascii="Arial" w:hAnsi="Arial" w:cs="Arial"/>
                <w:sz w:val="18"/>
                <w:szCs w:val="18"/>
              </w:rPr>
            </w:pPr>
            <w:r>
              <w:rPr>
                <w:rFonts w:ascii="Arial" w:hAnsi="Arial" w:cs="Arial"/>
                <w:sz w:val="20"/>
              </w:rPr>
              <w:t>189,444,604</w:t>
            </w:r>
          </w:p>
        </w:tc>
        <w:tc>
          <w:tcPr>
            <w:tcW w:w="736" w:type="pct"/>
            <w:tcBorders>
              <w:top w:val="nil"/>
              <w:bottom w:val="nil"/>
            </w:tcBorders>
            <w:shd w:val="clear" w:color="auto" w:fill="FFFFFF" w:themeFill="background1"/>
            <w:noWrap/>
            <w:vAlign w:val="center"/>
            <w:hideMark/>
          </w:tcPr>
          <w:p w:rsidR="000B20B1" w:rsidRPr="00AB33C7" w:rsidRDefault="000B20B1" w:rsidP="000B20B1">
            <w:pPr>
              <w:spacing w:before="0" w:after="0"/>
              <w:jc w:val="center"/>
              <w:rPr>
                <w:rFonts w:ascii="Arial" w:hAnsi="Arial" w:cs="Arial"/>
                <w:sz w:val="18"/>
                <w:szCs w:val="18"/>
              </w:rPr>
            </w:pPr>
            <w:r w:rsidRPr="00AB33C7">
              <w:rPr>
                <w:rFonts w:ascii="Arial" w:hAnsi="Arial" w:cs="Arial"/>
                <w:sz w:val="18"/>
                <w:szCs w:val="18"/>
              </w:rPr>
              <w:t>13</w:t>
            </w:r>
            <w:r>
              <w:rPr>
                <w:rFonts w:ascii="Arial" w:hAnsi="Arial" w:cs="Arial"/>
                <w:sz w:val="18"/>
                <w:szCs w:val="18"/>
              </w:rPr>
              <w:t>9</w:t>
            </w:r>
          </w:p>
        </w:tc>
        <w:tc>
          <w:tcPr>
            <w:tcW w:w="508" w:type="pct"/>
            <w:tcBorders>
              <w:top w:val="nil"/>
              <w:bottom w:val="nil"/>
            </w:tcBorders>
            <w:shd w:val="clear" w:color="auto" w:fill="F2F2F2" w:themeFill="background1" w:themeFillShade="F2"/>
            <w:vAlign w:val="center"/>
          </w:tcPr>
          <w:p w:rsidR="000B20B1" w:rsidRDefault="000B20B1" w:rsidP="000B20B1">
            <w:pPr>
              <w:spacing w:before="0" w:after="0"/>
              <w:jc w:val="center"/>
              <w:rPr>
                <w:rFonts w:ascii="Arial" w:hAnsi="Arial" w:cs="Arial"/>
                <w:sz w:val="20"/>
              </w:rPr>
            </w:pPr>
            <w:r>
              <w:rPr>
                <w:rFonts w:ascii="Arial" w:hAnsi="Arial" w:cs="Arial"/>
                <w:sz w:val="20"/>
              </w:rPr>
              <w:t>51%</w:t>
            </w:r>
          </w:p>
        </w:tc>
        <w:tc>
          <w:tcPr>
            <w:tcW w:w="1114" w:type="pct"/>
            <w:tcBorders>
              <w:top w:val="nil"/>
              <w:bottom w:val="nil"/>
              <w:right w:val="single" w:sz="12" w:space="0" w:color="1F497D"/>
            </w:tcBorders>
            <w:shd w:val="clear" w:color="auto" w:fill="auto"/>
            <w:noWrap/>
            <w:vAlign w:val="center"/>
            <w:hideMark/>
          </w:tcPr>
          <w:p w:rsidR="000B20B1" w:rsidRDefault="000B20B1" w:rsidP="000B20B1">
            <w:pPr>
              <w:spacing w:before="0" w:after="0"/>
              <w:jc w:val="center"/>
              <w:rPr>
                <w:rFonts w:ascii="Arial" w:hAnsi="Arial" w:cs="Arial"/>
                <w:sz w:val="20"/>
              </w:rPr>
            </w:pPr>
            <w:r>
              <w:rPr>
                <w:rFonts w:ascii="Arial" w:hAnsi="Arial" w:cs="Arial"/>
                <w:sz w:val="20"/>
              </w:rPr>
              <w:t>9%</w:t>
            </w:r>
          </w:p>
        </w:tc>
      </w:tr>
      <w:tr w:rsidR="000B20B1" w:rsidRPr="00AB33C7" w:rsidTr="000B20B1">
        <w:trPr>
          <w:trHeight w:val="146"/>
          <w:jc w:val="center"/>
        </w:trPr>
        <w:tc>
          <w:tcPr>
            <w:tcW w:w="552" w:type="pct"/>
            <w:gridSpan w:val="2"/>
            <w:tcBorders>
              <w:top w:val="nil"/>
              <w:left w:val="single" w:sz="12" w:space="0" w:color="1F497D"/>
              <w:bottom w:val="nil"/>
            </w:tcBorders>
            <w:shd w:val="clear" w:color="auto" w:fill="C6D9F1" w:themeFill="text2" w:themeFillTint="33"/>
            <w:noWrap/>
            <w:vAlign w:val="center"/>
            <w:hideMark/>
          </w:tcPr>
          <w:p w:rsidR="000B20B1" w:rsidRPr="00AB33C7" w:rsidRDefault="000B20B1" w:rsidP="00A23C41">
            <w:pPr>
              <w:spacing w:before="0" w:after="0"/>
              <w:jc w:val="center"/>
              <w:rPr>
                <w:rFonts w:ascii="Arial" w:hAnsi="Arial" w:cs="Arial"/>
                <w:b/>
                <w:sz w:val="18"/>
                <w:szCs w:val="18"/>
              </w:rPr>
            </w:pPr>
            <w:r w:rsidRPr="00AB33C7">
              <w:rPr>
                <w:rFonts w:ascii="Arial" w:hAnsi="Arial" w:cs="Arial"/>
                <w:b/>
                <w:sz w:val="18"/>
                <w:szCs w:val="18"/>
              </w:rPr>
              <w:t>Track 3</w:t>
            </w:r>
          </w:p>
        </w:tc>
        <w:tc>
          <w:tcPr>
            <w:tcW w:w="1368" w:type="pct"/>
            <w:tcBorders>
              <w:top w:val="nil"/>
              <w:bottom w:val="nil"/>
            </w:tcBorders>
            <w:shd w:val="clear" w:color="auto" w:fill="C6D9F1" w:themeFill="text2" w:themeFillTint="33"/>
            <w:noWrap/>
            <w:vAlign w:val="center"/>
            <w:hideMark/>
          </w:tcPr>
          <w:p w:rsidR="000B20B1" w:rsidRPr="00AB33C7" w:rsidRDefault="000B20B1" w:rsidP="000B20B1">
            <w:pPr>
              <w:spacing w:before="0" w:after="0"/>
              <w:jc w:val="left"/>
              <w:rPr>
                <w:rFonts w:ascii="Arial" w:hAnsi="Arial" w:cs="Arial"/>
                <w:b/>
                <w:bCs/>
                <w:sz w:val="18"/>
                <w:szCs w:val="18"/>
              </w:rPr>
            </w:pPr>
            <w:r>
              <w:rPr>
                <w:rFonts w:ascii="Arial" w:hAnsi="Arial" w:cs="Arial"/>
                <w:b/>
                <w:bCs/>
                <w:sz w:val="18"/>
                <w:szCs w:val="18"/>
              </w:rPr>
              <w:t>Total</w:t>
            </w:r>
          </w:p>
        </w:tc>
        <w:tc>
          <w:tcPr>
            <w:tcW w:w="722" w:type="pct"/>
            <w:tcBorders>
              <w:top w:val="nil"/>
              <w:bottom w:val="nil"/>
            </w:tcBorders>
            <w:shd w:val="clear" w:color="auto" w:fill="C6D9F1" w:themeFill="text2" w:themeFillTint="33"/>
            <w:noWrap/>
            <w:vAlign w:val="center"/>
            <w:hideMark/>
          </w:tcPr>
          <w:p w:rsidR="000B20B1" w:rsidRPr="002B3C33" w:rsidRDefault="000B20B1" w:rsidP="000B20B1">
            <w:pPr>
              <w:spacing w:before="0" w:after="0"/>
              <w:jc w:val="center"/>
              <w:rPr>
                <w:rFonts w:ascii="Arial" w:hAnsi="Arial" w:cs="Arial"/>
                <w:b/>
                <w:sz w:val="18"/>
                <w:szCs w:val="18"/>
              </w:rPr>
            </w:pPr>
            <w:r w:rsidRPr="002B3C33">
              <w:rPr>
                <w:rFonts w:ascii="Arial" w:hAnsi="Arial" w:cs="Arial"/>
                <w:b/>
                <w:sz w:val="18"/>
                <w:szCs w:val="18"/>
              </w:rPr>
              <w:t>535,345,134</w:t>
            </w:r>
          </w:p>
        </w:tc>
        <w:tc>
          <w:tcPr>
            <w:tcW w:w="736" w:type="pct"/>
            <w:tcBorders>
              <w:top w:val="nil"/>
              <w:bottom w:val="nil"/>
            </w:tcBorders>
            <w:shd w:val="clear" w:color="auto" w:fill="C6D9F1" w:themeFill="text2" w:themeFillTint="33"/>
            <w:noWrap/>
            <w:vAlign w:val="center"/>
            <w:hideMark/>
          </w:tcPr>
          <w:p w:rsidR="000B20B1" w:rsidRPr="002B3C33" w:rsidRDefault="000B20B1" w:rsidP="000B20B1">
            <w:pPr>
              <w:spacing w:before="0" w:after="0"/>
              <w:jc w:val="center"/>
              <w:rPr>
                <w:rFonts w:ascii="Arial" w:hAnsi="Arial" w:cs="Arial"/>
                <w:b/>
                <w:sz w:val="18"/>
                <w:szCs w:val="18"/>
              </w:rPr>
            </w:pPr>
            <w:r w:rsidRPr="002B3C33">
              <w:rPr>
                <w:rFonts w:ascii="Arial" w:hAnsi="Arial" w:cs="Arial"/>
                <w:b/>
                <w:sz w:val="18"/>
                <w:szCs w:val="18"/>
              </w:rPr>
              <w:t>28</w:t>
            </w:r>
          </w:p>
        </w:tc>
        <w:tc>
          <w:tcPr>
            <w:tcW w:w="508" w:type="pct"/>
            <w:tcBorders>
              <w:top w:val="nil"/>
              <w:bottom w:val="nil"/>
            </w:tcBorders>
            <w:shd w:val="clear" w:color="auto" w:fill="C6D9F1" w:themeFill="text2" w:themeFillTint="33"/>
            <w:vAlign w:val="center"/>
          </w:tcPr>
          <w:p w:rsidR="000B20B1" w:rsidRPr="000B20B1" w:rsidRDefault="000B20B1" w:rsidP="000B20B1">
            <w:pPr>
              <w:spacing w:before="0" w:after="0"/>
              <w:jc w:val="center"/>
              <w:rPr>
                <w:rFonts w:ascii="Arial" w:hAnsi="Arial" w:cs="Arial"/>
                <w:b/>
                <w:sz w:val="20"/>
              </w:rPr>
            </w:pPr>
            <w:r w:rsidRPr="000B20B1">
              <w:rPr>
                <w:rFonts w:ascii="Arial" w:hAnsi="Arial" w:cs="Arial"/>
                <w:b/>
                <w:sz w:val="20"/>
              </w:rPr>
              <w:t>100%</w:t>
            </w:r>
          </w:p>
        </w:tc>
        <w:tc>
          <w:tcPr>
            <w:tcW w:w="1114" w:type="pct"/>
            <w:tcBorders>
              <w:top w:val="nil"/>
              <w:bottom w:val="nil"/>
              <w:right w:val="single" w:sz="12" w:space="0" w:color="1F497D"/>
            </w:tcBorders>
            <w:shd w:val="clear" w:color="auto" w:fill="C6D9F1" w:themeFill="text2" w:themeFillTint="33"/>
            <w:noWrap/>
            <w:vAlign w:val="center"/>
            <w:hideMark/>
          </w:tcPr>
          <w:p w:rsidR="000B20B1" w:rsidRPr="000B20B1" w:rsidRDefault="000B20B1" w:rsidP="000B20B1">
            <w:pPr>
              <w:spacing w:before="0" w:after="0"/>
              <w:jc w:val="center"/>
              <w:rPr>
                <w:rFonts w:ascii="Arial" w:hAnsi="Arial" w:cs="Arial"/>
                <w:b/>
                <w:sz w:val="20"/>
              </w:rPr>
            </w:pPr>
            <w:r w:rsidRPr="000B20B1">
              <w:rPr>
                <w:rFonts w:ascii="Arial" w:hAnsi="Arial" w:cs="Arial"/>
                <w:b/>
                <w:sz w:val="20"/>
              </w:rPr>
              <w:t>26%</w:t>
            </w:r>
          </w:p>
        </w:tc>
      </w:tr>
      <w:tr w:rsidR="000B20B1" w:rsidRPr="00AB33C7" w:rsidTr="000B20B1">
        <w:trPr>
          <w:trHeight w:val="146"/>
          <w:jc w:val="center"/>
        </w:trPr>
        <w:tc>
          <w:tcPr>
            <w:tcW w:w="552" w:type="pct"/>
            <w:gridSpan w:val="2"/>
            <w:tcBorders>
              <w:top w:val="nil"/>
              <w:left w:val="single" w:sz="12" w:space="0" w:color="1F497D"/>
              <w:bottom w:val="nil"/>
            </w:tcBorders>
            <w:shd w:val="clear" w:color="auto" w:fill="FFFFFF" w:themeFill="background1"/>
            <w:noWrap/>
            <w:vAlign w:val="center"/>
            <w:hideMark/>
          </w:tcPr>
          <w:p w:rsidR="000B20B1" w:rsidRPr="00AB33C7" w:rsidRDefault="000B20B1" w:rsidP="00A23C41">
            <w:pPr>
              <w:spacing w:before="0" w:after="0"/>
              <w:jc w:val="center"/>
              <w:rPr>
                <w:rFonts w:ascii="Arial" w:hAnsi="Arial" w:cs="Arial"/>
                <w:b/>
                <w:sz w:val="18"/>
                <w:szCs w:val="18"/>
              </w:rPr>
            </w:pPr>
          </w:p>
        </w:tc>
        <w:tc>
          <w:tcPr>
            <w:tcW w:w="1368" w:type="pct"/>
            <w:tcBorders>
              <w:top w:val="nil"/>
              <w:bottom w:val="nil"/>
            </w:tcBorders>
            <w:shd w:val="clear" w:color="auto" w:fill="FFFFFF" w:themeFill="background1"/>
            <w:noWrap/>
            <w:vAlign w:val="center"/>
            <w:hideMark/>
          </w:tcPr>
          <w:p w:rsidR="000B20B1" w:rsidRPr="00AB33C7" w:rsidRDefault="000B20B1" w:rsidP="000B20B1">
            <w:pPr>
              <w:spacing w:before="0" w:after="0"/>
              <w:jc w:val="left"/>
              <w:rPr>
                <w:rFonts w:ascii="Arial" w:hAnsi="Arial" w:cs="Arial"/>
                <w:sz w:val="18"/>
                <w:szCs w:val="18"/>
              </w:rPr>
            </w:pPr>
            <w:r w:rsidRPr="00AB33C7">
              <w:rPr>
                <w:rFonts w:ascii="Arial" w:hAnsi="Arial" w:cs="Arial"/>
                <w:sz w:val="18"/>
                <w:szCs w:val="18"/>
              </w:rPr>
              <w:t>UNRWA</w:t>
            </w:r>
          </w:p>
        </w:tc>
        <w:tc>
          <w:tcPr>
            <w:tcW w:w="722" w:type="pct"/>
            <w:tcBorders>
              <w:top w:val="nil"/>
              <w:bottom w:val="nil"/>
            </w:tcBorders>
            <w:shd w:val="clear" w:color="auto" w:fill="FFFFFF" w:themeFill="background1"/>
            <w:noWrap/>
            <w:vAlign w:val="center"/>
            <w:hideMark/>
          </w:tcPr>
          <w:p w:rsidR="000B20B1" w:rsidRPr="00AB33C7" w:rsidRDefault="000B20B1" w:rsidP="000B20B1">
            <w:pPr>
              <w:spacing w:before="0" w:after="0"/>
              <w:jc w:val="center"/>
              <w:rPr>
                <w:rFonts w:ascii="Arial" w:hAnsi="Arial" w:cs="Arial"/>
                <w:sz w:val="18"/>
                <w:szCs w:val="18"/>
              </w:rPr>
            </w:pPr>
            <w:r w:rsidRPr="00AB33C7">
              <w:rPr>
                <w:rFonts w:ascii="Arial" w:hAnsi="Arial" w:cs="Arial"/>
                <w:sz w:val="18"/>
                <w:szCs w:val="18"/>
              </w:rPr>
              <w:t>535</w:t>
            </w:r>
            <w:r>
              <w:rPr>
                <w:rFonts w:ascii="Arial" w:hAnsi="Arial" w:cs="Arial"/>
                <w:sz w:val="18"/>
                <w:szCs w:val="18"/>
              </w:rPr>
              <w:t>,</w:t>
            </w:r>
            <w:r w:rsidRPr="00AB33C7">
              <w:rPr>
                <w:rFonts w:ascii="Arial" w:hAnsi="Arial" w:cs="Arial"/>
                <w:sz w:val="18"/>
                <w:szCs w:val="18"/>
              </w:rPr>
              <w:t>345</w:t>
            </w:r>
            <w:r>
              <w:rPr>
                <w:rFonts w:ascii="Arial" w:hAnsi="Arial" w:cs="Arial"/>
                <w:sz w:val="18"/>
                <w:szCs w:val="18"/>
              </w:rPr>
              <w:t>,</w:t>
            </w:r>
            <w:r w:rsidRPr="00AB33C7">
              <w:rPr>
                <w:rFonts w:ascii="Arial" w:hAnsi="Arial" w:cs="Arial"/>
                <w:sz w:val="18"/>
                <w:szCs w:val="18"/>
              </w:rPr>
              <w:t>134</w:t>
            </w:r>
          </w:p>
        </w:tc>
        <w:tc>
          <w:tcPr>
            <w:tcW w:w="736" w:type="pct"/>
            <w:tcBorders>
              <w:top w:val="nil"/>
              <w:bottom w:val="nil"/>
            </w:tcBorders>
            <w:shd w:val="clear" w:color="auto" w:fill="FFFFFF" w:themeFill="background1"/>
            <w:noWrap/>
            <w:vAlign w:val="center"/>
            <w:hideMark/>
          </w:tcPr>
          <w:p w:rsidR="000B20B1" w:rsidRPr="00AB33C7" w:rsidRDefault="000B20B1" w:rsidP="000B20B1">
            <w:pPr>
              <w:spacing w:before="0" w:after="0"/>
              <w:jc w:val="center"/>
              <w:rPr>
                <w:rFonts w:ascii="Arial" w:hAnsi="Arial" w:cs="Arial"/>
                <w:sz w:val="18"/>
                <w:szCs w:val="18"/>
              </w:rPr>
            </w:pPr>
            <w:r w:rsidRPr="00AB33C7">
              <w:rPr>
                <w:rFonts w:ascii="Arial" w:hAnsi="Arial" w:cs="Arial"/>
                <w:sz w:val="18"/>
                <w:szCs w:val="18"/>
              </w:rPr>
              <w:t>28</w:t>
            </w:r>
          </w:p>
        </w:tc>
        <w:tc>
          <w:tcPr>
            <w:tcW w:w="508" w:type="pct"/>
            <w:tcBorders>
              <w:top w:val="nil"/>
              <w:bottom w:val="nil"/>
            </w:tcBorders>
            <w:shd w:val="clear" w:color="auto" w:fill="F2F2F2" w:themeFill="background1" w:themeFillShade="F2"/>
            <w:vAlign w:val="center"/>
          </w:tcPr>
          <w:p w:rsidR="000B20B1" w:rsidRDefault="000B20B1" w:rsidP="000B20B1">
            <w:pPr>
              <w:spacing w:before="0" w:after="0"/>
              <w:jc w:val="center"/>
              <w:rPr>
                <w:rFonts w:ascii="Arial" w:hAnsi="Arial" w:cs="Arial"/>
                <w:sz w:val="20"/>
              </w:rPr>
            </w:pPr>
            <w:r>
              <w:rPr>
                <w:rFonts w:ascii="Arial" w:hAnsi="Arial" w:cs="Arial"/>
                <w:sz w:val="20"/>
              </w:rPr>
              <w:t>100%</w:t>
            </w:r>
          </w:p>
        </w:tc>
        <w:tc>
          <w:tcPr>
            <w:tcW w:w="1114" w:type="pct"/>
            <w:tcBorders>
              <w:top w:val="nil"/>
              <w:bottom w:val="nil"/>
              <w:right w:val="single" w:sz="12" w:space="0" w:color="1F497D"/>
            </w:tcBorders>
            <w:shd w:val="clear" w:color="auto" w:fill="auto"/>
            <w:noWrap/>
            <w:vAlign w:val="center"/>
            <w:hideMark/>
          </w:tcPr>
          <w:p w:rsidR="000B20B1" w:rsidRDefault="000B20B1" w:rsidP="000B20B1">
            <w:pPr>
              <w:spacing w:before="0" w:after="0"/>
              <w:jc w:val="center"/>
              <w:rPr>
                <w:rFonts w:ascii="Arial" w:hAnsi="Arial" w:cs="Arial"/>
                <w:sz w:val="20"/>
              </w:rPr>
            </w:pPr>
            <w:r>
              <w:rPr>
                <w:rFonts w:ascii="Arial" w:hAnsi="Arial" w:cs="Arial"/>
                <w:sz w:val="20"/>
              </w:rPr>
              <w:t>26%</w:t>
            </w:r>
          </w:p>
        </w:tc>
      </w:tr>
      <w:tr w:rsidR="00A23C41" w:rsidRPr="00AB33C7" w:rsidTr="000B20B1">
        <w:trPr>
          <w:trHeight w:val="155"/>
          <w:jc w:val="center"/>
        </w:trPr>
        <w:tc>
          <w:tcPr>
            <w:tcW w:w="427" w:type="pct"/>
            <w:tcBorders>
              <w:top w:val="nil"/>
              <w:left w:val="single" w:sz="12" w:space="0" w:color="1F497D"/>
              <w:bottom w:val="single" w:sz="12" w:space="0" w:color="1F497D"/>
            </w:tcBorders>
            <w:shd w:val="clear" w:color="000000" w:fill="4F81BD"/>
            <w:noWrap/>
            <w:vAlign w:val="center"/>
            <w:hideMark/>
          </w:tcPr>
          <w:p w:rsidR="00A23C41" w:rsidRPr="00AB33C7" w:rsidRDefault="00A23C41" w:rsidP="00A23C41">
            <w:pPr>
              <w:spacing w:before="0" w:after="0"/>
              <w:jc w:val="center"/>
              <w:rPr>
                <w:rFonts w:ascii="Arial" w:hAnsi="Arial" w:cs="Arial"/>
                <w:b/>
                <w:bCs/>
                <w:color w:val="FFFFFF"/>
                <w:sz w:val="18"/>
                <w:szCs w:val="18"/>
              </w:rPr>
            </w:pPr>
            <w:r w:rsidRPr="00AB33C7">
              <w:rPr>
                <w:rFonts w:ascii="Arial" w:hAnsi="Arial" w:cs="Arial"/>
                <w:b/>
                <w:bCs/>
                <w:color w:val="FFFFFF"/>
                <w:sz w:val="18"/>
                <w:szCs w:val="18"/>
              </w:rPr>
              <w:t>Total</w:t>
            </w:r>
          </w:p>
        </w:tc>
        <w:tc>
          <w:tcPr>
            <w:tcW w:w="1492" w:type="pct"/>
            <w:gridSpan w:val="2"/>
            <w:tcBorders>
              <w:top w:val="nil"/>
              <w:bottom w:val="single" w:sz="12" w:space="0" w:color="1F497D"/>
            </w:tcBorders>
            <w:shd w:val="clear" w:color="000000" w:fill="4F81BD"/>
            <w:noWrap/>
            <w:vAlign w:val="center"/>
            <w:hideMark/>
          </w:tcPr>
          <w:p w:rsidR="00A23C41" w:rsidRPr="00AB33C7" w:rsidRDefault="00A23C41" w:rsidP="00A23C41">
            <w:pPr>
              <w:spacing w:before="0" w:after="0"/>
              <w:rPr>
                <w:rFonts w:ascii="Arial" w:hAnsi="Arial" w:cs="Arial"/>
                <w:b/>
                <w:bCs/>
                <w:color w:val="FFFFFF"/>
                <w:sz w:val="18"/>
                <w:szCs w:val="18"/>
              </w:rPr>
            </w:pPr>
          </w:p>
        </w:tc>
        <w:tc>
          <w:tcPr>
            <w:tcW w:w="722" w:type="pct"/>
            <w:tcBorders>
              <w:top w:val="nil"/>
              <w:bottom w:val="single" w:sz="12" w:space="0" w:color="1F497D"/>
            </w:tcBorders>
            <w:shd w:val="clear" w:color="000000" w:fill="4F81BD"/>
            <w:noWrap/>
            <w:vAlign w:val="center"/>
            <w:hideMark/>
          </w:tcPr>
          <w:p w:rsidR="00A23C41" w:rsidRPr="00885417" w:rsidRDefault="00A23C41" w:rsidP="000B20B1">
            <w:pPr>
              <w:spacing w:before="0" w:after="0"/>
              <w:jc w:val="center"/>
              <w:rPr>
                <w:rFonts w:ascii="Arial" w:hAnsi="Arial" w:cs="Arial"/>
                <w:b/>
                <w:bCs/>
                <w:color w:val="FFFFFF"/>
                <w:sz w:val="18"/>
                <w:szCs w:val="18"/>
              </w:rPr>
            </w:pPr>
            <w:r w:rsidRPr="00885417">
              <w:rPr>
                <w:rFonts w:ascii="Arial" w:hAnsi="Arial" w:cs="Arial"/>
                <w:b/>
                <w:bCs/>
                <w:color w:val="FFFFFF"/>
                <w:sz w:val="18"/>
                <w:szCs w:val="18"/>
              </w:rPr>
              <w:t>2,087,504,740</w:t>
            </w:r>
          </w:p>
        </w:tc>
        <w:tc>
          <w:tcPr>
            <w:tcW w:w="736" w:type="pct"/>
            <w:tcBorders>
              <w:top w:val="nil"/>
              <w:bottom w:val="single" w:sz="12" w:space="0" w:color="1F497D"/>
            </w:tcBorders>
            <w:shd w:val="clear" w:color="000000" w:fill="4F81BD"/>
            <w:noWrap/>
            <w:vAlign w:val="center"/>
            <w:hideMark/>
          </w:tcPr>
          <w:p w:rsidR="00A23C41" w:rsidRPr="00885417" w:rsidRDefault="00A23C41" w:rsidP="000B20B1">
            <w:pPr>
              <w:spacing w:before="0" w:after="0"/>
              <w:jc w:val="center"/>
              <w:rPr>
                <w:rFonts w:ascii="Arial" w:hAnsi="Arial" w:cs="Arial"/>
                <w:b/>
                <w:bCs/>
                <w:color w:val="FFFFFF"/>
                <w:sz w:val="18"/>
                <w:szCs w:val="18"/>
              </w:rPr>
            </w:pPr>
            <w:r w:rsidRPr="00885417">
              <w:rPr>
                <w:rFonts w:ascii="Arial" w:hAnsi="Arial" w:cs="Arial"/>
                <w:b/>
                <w:bCs/>
                <w:color w:val="FFFFFF"/>
                <w:sz w:val="18"/>
                <w:szCs w:val="18"/>
              </w:rPr>
              <w:t>589</w:t>
            </w:r>
          </w:p>
        </w:tc>
        <w:tc>
          <w:tcPr>
            <w:tcW w:w="508" w:type="pct"/>
            <w:tcBorders>
              <w:top w:val="nil"/>
              <w:bottom w:val="single" w:sz="12" w:space="0" w:color="1F497D"/>
            </w:tcBorders>
            <w:shd w:val="clear" w:color="000000" w:fill="4F81BD"/>
            <w:vAlign w:val="center"/>
          </w:tcPr>
          <w:p w:rsidR="00A23C41" w:rsidRPr="00AB33C7" w:rsidRDefault="00A23C41" w:rsidP="000B20B1">
            <w:pPr>
              <w:spacing w:before="0" w:after="0"/>
              <w:jc w:val="center"/>
              <w:rPr>
                <w:rFonts w:ascii="Arial" w:hAnsi="Arial" w:cs="Arial"/>
                <w:b/>
                <w:bCs/>
                <w:color w:val="FFFFFF"/>
                <w:sz w:val="18"/>
                <w:szCs w:val="18"/>
              </w:rPr>
            </w:pPr>
          </w:p>
        </w:tc>
        <w:tc>
          <w:tcPr>
            <w:tcW w:w="1114" w:type="pct"/>
            <w:tcBorders>
              <w:top w:val="nil"/>
              <w:bottom w:val="single" w:sz="12" w:space="0" w:color="1F497D"/>
              <w:right w:val="single" w:sz="12" w:space="0" w:color="1F497D"/>
            </w:tcBorders>
            <w:shd w:val="clear" w:color="000000" w:fill="4F81BD"/>
            <w:noWrap/>
            <w:vAlign w:val="center"/>
            <w:hideMark/>
          </w:tcPr>
          <w:p w:rsidR="00A23C41" w:rsidRPr="00885417" w:rsidRDefault="00A23C41" w:rsidP="000B20B1">
            <w:pPr>
              <w:spacing w:before="0" w:after="0"/>
              <w:jc w:val="center"/>
              <w:rPr>
                <w:rFonts w:ascii="Arial" w:hAnsi="Arial" w:cs="Arial"/>
                <w:b/>
                <w:color w:val="FFFFFF" w:themeColor="background1"/>
                <w:sz w:val="18"/>
                <w:szCs w:val="18"/>
              </w:rPr>
            </w:pPr>
            <w:r w:rsidRPr="00885417">
              <w:rPr>
                <w:rFonts w:ascii="Arial" w:hAnsi="Arial" w:cs="Arial"/>
                <w:b/>
                <w:color w:val="FFFFFF" w:themeColor="background1"/>
                <w:sz w:val="18"/>
                <w:szCs w:val="18"/>
              </w:rPr>
              <w:t>100.0%</w:t>
            </w:r>
          </w:p>
        </w:tc>
      </w:tr>
    </w:tbl>
    <w:p w:rsidR="00A23C41" w:rsidRPr="00EF09A2" w:rsidRDefault="00A23C41" w:rsidP="00A23C41">
      <w:pPr>
        <w:spacing w:before="0" w:after="0"/>
        <w:jc w:val="center"/>
        <w:rPr>
          <w:rFonts w:ascii="Arial" w:hAnsi="Arial" w:cs="Arial"/>
          <w:b/>
          <w:smallCaps/>
          <w:color w:val="1F497D" w:themeColor="text2"/>
          <w:sz w:val="24"/>
          <w:szCs w:val="24"/>
        </w:rPr>
      </w:pPr>
      <w:bookmarkStart w:id="89" w:name="_Toc367291881"/>
      <w:r w:rsidRPr="003C7C4A">
        <w:rPr>
          <w:rFonts w:ascii="Arial" w:hAnsi="Arial" w:cs="Arial"/>
          <w:i/>
          <w:sz w:val="16"/>
          <w:szCs w:val="16"/>
          <w:lang w:eastAsia="pl-PL"/>
        </w:rPr>
        <w:t>Source: DWH and DRN elaboration</w:t>
      </w:r>
    </w:p>
    <w:p w:rsidR="00A23C41" w:rsidRDefault="00A23C41" w:rsidP="00A23C41">
      <w:pPr>
        <w:spacing w:before="0" w:after="0"/>
        <w:rPr>
          <w:rFonts w:ascii="Arial" w:hAnsi="Arial" w:cs="Arial"/>
          <w:b/>
          <w:smallCaps/>
          <w:color w:val="1F497D" w:themeColor="text2"/>
          <w:sz w:val="24"/>
          <w:szCs w:val="24"/>
        </w:rPr>
      </w:pPr>
    </w:p>
    <w:p w:rsidR="00A23C41" w:rsidRPr="00EF09A2" w:rsidRDefault="00A23C41" w:rsidP="00A23C41">
      <w:pPr>
        <w:spacing w:before="0" w:after="0"/>
        <w:rPr>
          <w:rFonts w:ascii="Arial" w:hAnsi="Arial" w:cs="Arial"/>
          <w:b/>
          <w:smallCaps/>
          <w:color w:val="1F497D" w:themeColor="text2"/>
          <w:sz w:val="24"/>
          <w:szCs w:val="24"/>
        </w:rPr>
      </w:pPr>
      <w:r w:rsidRPr="00EF09A2">
        <w:rPr>
          <w:rFonts w:ascii="Arial" w:hAnsi="Arial" w:cs="Arial"/>
          <w:b/>
          <w:smallCaps/>
          <w:color w:val="1F497D" w:themeColor="text2"/>
          <w:sz w:val="24"/>
          <w:szCs w:val="24"/>
        </w:rPr>
        <w:t>Funding Instruments</w:t>
      </w:r>
      <w:bookmarkEnd w:id="89"/>
    </w:p>
    <w:p w:rsidR="00A23C41" w:rsidRPr="004D6993" w:rsidRDefault="00A23C41" w:rsidP="00A23C41">
      <w:pPr>
        <w:spacing w:before="0" w:after="0"/>
        <w:rPr>
          <w:rFonts w:ascii="Arial" w:hAnsi="Arial" w:cs="Arial"/>
          <w:sz w:val="22"/>
          <w:szCs w:val="22"/>
        </w:rPr>
      </w:pPr>
      <w:r w:rsidRPr="004D6993">
        <w:rPr>
          <w:rFonts w:ascii="Arial" w:hAnsi="Arial" w:cs="Arial"/>
          <w:sz w:val="22"/>
          <w:szCs w:val="22"/>
        </w:rPr>
        <w:t>Palestine receives the majority of funds through the geographical instruments ENPI and MED</w:t>
      </w:r>
      <w:r w:rsidRPr="004D6993">
        <w:rPr>
          <w:rStyle w:val="Rimandonotaapidipagina"/>
          <w:rFonts w:ascii="Arial" w:hAnsi="Arial" w:cs="Arial"/>
          <w:sz w:val="22"/>
          <w:szCs w:val="22"/>
        </w:rPr>
        <w:footnoteReference w:id="81"/>
      </w:r>
      <w:r w:rsidRPr="004D6993">
        <w:rPr>
          <w:rFonts w:ascii="Arial" w:hAnsi="Arial" w:cs="Arial"/>
          <w:sz w:val="22"/>
          <w:szCs w:val="22"/>
        </w:rPr>
        <w:t xml:space="preserve"> which cover 90% of the </w:t>
      </w:r>
      <w:r w:rsidR="009D7E2C">
        <w:rPr>
          <w:rFonts w:ascii="Arial" w:hAnsi="Arial" w:cs="Arial"/>
          <w:sz w:val="22"/>
          <w:szCs w:val="22"/>
        </w:rPr>
        <w:t>committed amount</w:t>
      </w:r>
      <w:r w:rsidRPr="004D6993">
        <w:rPr>
          <w:rFonts w:ascii="Arial" w:hAnsi="Arial" w:cs="Arial"/>
          <w:sz w:val="22"/>
          <w:szCs w:val="22"/>
        </w:rPr>
        <w:t xml:space="preserve"> (Table 12).</w:t>
      </w:r>
    </w:p>
    <w:p w:rsidR="00A23C41" w:rsidRPr="00EF09A2" w:rsidRDefault="00A23C41" w:rsidP="00A23C41">
      <w:pPr>
        <w:spacing w:before="0" w:after="0"/>
        <w:rPr>
          <w:rFonts w:ascii="Arial" w:hAnsi="Arial" w:cs="Arial"/>
          <w:sz w:val="24"/>
          <w:szCs w:val="24"/>
        </w:rPr>
      </w:pPr>
    </w:p>
    <w:tbl>
      <w:tblPr>
        <w:tblStyle w:val="Grigliatabella"/>
        <w:tblpPr w:leftFromText="141" w:rightFromText="141" w:vertAnchor="text" w:horzAnchor="margin" w:tblpXSpec="center" w:tblpY="26"/>
        <w:tblOverlap w:val="never"/>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4"/>
      </w:tblGrid>
      <w:tr w:rsidR="00A23C41" w:rsidRPr="00EF09A2" w:rsidTr="00A23C41">
        <w:trPr>
          <w:trHeight w:val="3023"/>
        </w:trPr>
        <w:tc>
          <w:tcPr>
            <w:tcW w:w="5000" w:type="pct"/>
          </w:tcPr>
          <w:p w:rsidR="00A23C41" w:rsidRPr="003C7C4A" w:rsidRDefault="00A23C41" w:rsidP="00D714DB">
            <w:pPr>
              <w:pStyle w:val="Didascalia"/>
              <w:framePr w:hSpace="0" w:wrap="auto" w:vAnchor="margin" w:hAnchor="text" w:xAlign="left" w:yAlign="inline"/>
            </w:pPr>
            <w:bookmarkStart w:id="90" w:name="_Toc364076632"/>
            <w:r w:rsidRPr="003C7C4A">
              <w:t xml:space="preserve">Table 12: </w:t>
            </w:r>
            <w:r w:rsidR="00A96ED2">
              <w:t xml:space="preserve">DEVCO </w:t>
            </w:r>
            <w:r w:rsidR="009D7E2C">
              <w:t>Committed amount</w:t>
            </w:r>
            <w:r w:rsidRPr="003C7C4A">
              <w:t xml:space="preserve"> by Funding Instrument and track to Palestine  2008-201</w:t>
            </w:r>
            <w:r w:rsidR="00363C06">
              <w:t>3</w:t>
            </w:r>
            <w:r w:rsidRPr="003C7C4A">
              <w:t>,  values in €</w:t>
            </w:r>
            <w:bookmarkEnd w:id="90"/>
          </w:p>
          <w:tbl>
            <w:tblPr>
              <w:tblW w:w="4993" w:type="pct"/>
              <w:jc w:val="center"/>
              <w:tblCellMar>
                <w:left w:w="70" w:type="dxa"/>
                <w:right w:w="70" w:type="dxa"/>
              </w:tblCellMar>
              <w:tblLook w:val="04A0"/>
            </w:tblPr>
            <w:tblGrid>
              <w:gridCol w:w="2436"/>
              <w:gridCol w:w="1677"/>
              <w:gridCol w:w="1483"/>
              <w:gridCol w:w="1483"/>
              <w:gridCol w:w="1675"/>
              <w:gridCol w:w="841"/>
            </w:tblGrid>
            <w:tr w:rsidR="00A23C41" w:rsidRPr="003C7C4A" w:rsidTr="00A23C41">
              <w:trPr>
                <w:trHeight w:val="262"/>
                <w:jc w:val="center"/>
              </w:trPr>
              <w:tc>
                <w:tcPr>
                  <w:tcW w:w="1269" w:type="pct"/>
                  <w:tcBorders>
                    <w:top w:val="single" w:sz="12" w:space="0" w:color="1F497D"/>
                    <w:left w:val="single" w:sz="12" w:space="0" w:color="1F497D"/>
                    <w:bottom w:val="nil"/>
                    <w:right w:val="single" w:sz="4" w:space="0" w:color="1F497D"/>
                  </w:tcBorders>
                  <w:shd w:val="clear" w:color="000000" w:fill="1F497D"/>
                  <w:noWrap/>
                  <w:vAlign w:val="center"/>
                  <w:hideMark/>
                </w:tcPr>
                <w:p w:rsidR="00A23C41" w:rsidRPr="003C7C4A" w:rsidRDefault="00A23C41" w:rsidP="005D72C2">
                  <w:pPr>
                    <w:framePr w:hSpace="141" w:wrap="around" w:vAnchor="text" w:hAnchor="margin" w:xAlign="center" w:y="26"/>
                    <w:spacing w:before="0" w:after="0"/>
                    <w:suppressOverlap/>
                    <w:jc w:val="center"/>
                    <w:rPr>
                      <w:rFonts w:ascii="Arial" w:hAnsi="Arial" w:cs="Arial"/>
                      <w:b/>
                      <w:bCs/>
                      <w:color w:val="FFFFFF"/>
                      <w:sz w:val="18"/>
                      <w:szCs w:val="18"/>
                    </w:rPr>
                  </w:pPr>
                  <w:r w:rsidRPr="003C7C4A">
                    <w:rPr>
                      <w:rFonts w:ascii="Arial" w:hAnsi="Arial" w:cs="Arial"/>
                      <w:b/>
                      <w:bCs/>
                      <w:color w:val="FFFFFF"/>
                      <w:sz w:val="18"/>
                      <w:szCs w:val="18"/>
                    </w:rPr>
                    <w:t>Funding Instrument</w:t>
                  </w:r>
                </w:p>
              </w:tc>
              <w:tc>
                <w:tcPr>
                  <w:tcW w:w="874" w:type="pct"/>
                  <w:tcBorders>
                    <w:top w:val="single" w:sz="12" w:space="0" w:color="1F497D"/>
                    <w:left w:val="nil"/>
                    <w:bottom w:val="nil"/>
                    <w:right w:val="single" w:sz="4" w:space="0" w:color="1F497D"/>
                  </w:tcBorders>
                  <w:shd w:val="clear" w:color="000000" w:fill="1F497D"/>
                  <w:noWrap/>
                  <w:vAlign w:val="center"/>
                  <w:hideMark/>
                </w:tcPr>
                <w:p w:rsidR="00A23C41" w:rsidRPr="003C7C4A" w:rsidRDefault="00A23C41" w:rsidP="005D72C2">
                  <w:pPr>
                    <w:framePr w:hSpace="141" w:wrap="around" w:vAnchor="text" w:hAnchor="margin" w:xAlign="center" w:y="26"/>
                    <w:spacing w:before="0" w:after="0"/>
                    <w:suppressOverlap/>
                    <w:jc w:val="center"/>
                    <w:rPr>
                      <w:rFonts w:ascii="Arial" w:hAnsi="Arial" w:cs="Arial"/>
                      <w:b/>
                      <w:bCs/>
                      <w:color w:val="FFFFFF"/>
                      <w:sz w:val="18"/>
                      <w:szCs w:val="18"/>
                    </w:rPr>
                  </w:pPr>
                  <w:r w:rsidRPr="003C7C4A">
                    <w:rPr>
                      <w:rFonts w:ascii="Arial" w:hAnsi="Arial" w:cs="Arial"/>
                      <w:b/>
                      <w:bCs/>
                      <w:color w:val="FFFFFF"/>
                      <w:sz w:val="18"/>
                      <w:szCs w:val="18"/>
                    </w:rPr>
                    <w:t>Track 1</w:t>
                  </w:r>
                </w:p>
              </w:tc>
              <w:tc>
                <w:tcPr>
                  <w:tcW w:w="773" w:type="pct"/>
                  <w:tcBorders>
                    <w:top w:val="single" w:sz="12" w:space="0" w:color="1F497D"/>
                    <w:left w:val="nil"/>
                    <w:bottom w:val="nil"/>
                    <w:right w:val="single" w:sz="4" w:space="0" w:color="1F497D"/>
                  </w:tcBorders>
                  <w:shd w:val="clear" w:color="000000" w:fill="1F497D"/>
                  <w:noWrap/>
                  <w:vAlign w:val="center"/>
                  <w:hideMark/>
                </w:tcPr>
                <w:p w:rsidR="00A23C41" w:rsidRPr="003C7C4A" w:rsidRDefault="00A23C41" w:rsidP="005D72C2">
                  <w:pPr>
                    <w:framePr w:hSpace="141" w:wrap="around" w:vAnchor="text" w:hAnchor="margin" w:xAlign="center" w:y="26"/>
                    <w:spacing w:before="0" w:after="0"/>
                    <w:suppressOverlap/>
                    <w:jc w:val="center"/>
                    <w:rPr>
                      <w:rFonts w:ascii="Arial" w:hAnsi="Arial" w:cs="Arial"/>
                      <w:b/>
                      <w:bCs/>
                      <w:color w:val="FFFFFF"/>
                      <w:sz w:val="18"/>
                      <w:szCs w:val="18"/>
                    </w:rPr>
                  </w:pPr>
                  <w:r w:rsidRPr="003C7C4A">
                    <w:rPr>
                      <w:rFonts w:ascii="Arial" w:hAnsi="Arial" w:cs="Arial"/>
                      <w:b/>
                      <w:bCs/>
                      <w:color w:val="FFFFFF"/>
                      <w:sz w:val="18"/>
                      <w:szCs w:val="18"/>
                    </w:rPr>
                    <w:t>Track 2</w:t>
                  </w:r>
                </w:p>
              </w:tc>
              <w:tc>
                <w:tcPr>
                  <w:tcW w:w="773" w:type="pct"/>
                  <w:tcBorders>
                    <w:top w:val="single" w:sz="12" w:space="0" w:color="1F497D"/>
                    <w:left w:val="nil"/>
                    <w:bottom w:val="nil"/>
                    <w:right w:val="single" w:sz="4" w:space="0" w:color="1F497D"/>
                  </w:tcBorders>
                  <w:shd w:val="clear" w:color="000000" w:fill="1F497D"/>
                  <w:noWrap/>
                  <w:vAlign w:val="center"/>
                  <w:hideMark/>
                </w:tcPr>
                <w:p w:rsidR="00A23C41" w:rsidRPr="003C7C4A" w:rsidRDefault="00A23C41" w:rsidP="005D72C2">
                  <w:pPr>
                    <w:framePr w:hSpace="141" w:wrap="around" w:vAnchor="text" w:hAnchor="margin" w:xAlign="center" w:y="26"/>
                    <w:spacing w:before="0" w:after="0"/>
                    <w:suppressOverlap/>
                    <w:jc w:val="center"/>
                    <w:rPr>
                      <w:rFonts w:ascii="Arial" w:hAnsi="Arial" w:cs="Arial"/>
                      <w:b/>
                      <w:bCs/>
                      <w:color w:val="FFFFFF"/>
                      <w:sz w:val="18"/>
                      <w:szCs w:val="18"/>
                    </w:rPr>
                  </w:pPr>
                  <w:r w:rsidRPr="003C7C4A">
                    <w:rPr>
                      <w:rFonts w:ascii="Arial" w:hAnsi="Arial" w:cs="Arial"/>
                      <w:b/>
                      <w:bCs/>
                      <w:color w:val="FFFFFF"/>
                      <w:sz w:val="18"/>
                      <w:szCs w:val="18"/>
                    </w:rPr>
                    <w:t>Track 3</w:t>
                  </w:r>
                </w:p>
              </w:tc>
              <w:tc>
                <w:tcPr>
                  <w:tcW w:w="873" w:type="pct"/>
                  <w:tcBorders>
                    <w:top w:val="single" w:sz="12" w:space="0" w:color="1F497D"/>
                    <w:left w:val="nil"/>
                    <w:bottom w:val="nil"/>
                    <w:right w:val="single" w:sz="4" w:space="0" w:color="1F497D"/>
                  </w:tcBorders>
                  <w:shd w:val="clear" w:color="000000" w:fill="1F497D"/>
                  <w:noWrap/>
                  <w:vAlign w:val="center"/>
                  <w:hideMark/>
                </w:tcPr>
                <w:p w:rsidR="00A23C41" w:rsidRPr="003C7C4A" w:rsidRDefault="00A23C41" w:rsidP="005D72C2">
                  <w:pPr>
                    <w:framePr w:hSpace="141" w:wrap="around" w:vAnchor="text" w:hAnchor="margin" w:xAlign="center" w:y="26"/>
                    <w:spacing w:before="0" w:after="0"/>
                    <w:suppressOverlap/>
                    <w:jc w:val="center"/>
                    <w:rPr>
                      <w:rFonts w:ascii="Arial" w:hAnsi="Arial" w:cs="Arial"/>
                      <w:b/>
                      <w:bCs/>
                      <w:color w:val="FFFFFF"/>
                      <w:sz w:val="18"/>
                      <w:szCs w:val="18"/>
                    </w:rPr>
                  </w:pPr>
                  <w:r w:rsidRPr="003C7C4A">
                    <w:rPr>
                      <w:rFonts w:ascii="Arial" w:hAnsi="Arial" w:cs="Arial"/>
                      <w:b/>
                      <w:bCs/>
                      <w:color w:val="FFFFFF"/>
                      <w:sz w:val="18"/>
                      <w:szCs w:val="18"/>
                    </w:rPr>
                    <w:t>Total</w:t>
                  </w:r>
                </w:p>
              </w:tc>
              <w:tc>
                <w:tcPr>
                  <w:tcW w:w="438" w:type="pct"/>
                  <w:tcBorders>
                    <w:top w:val="single" w:sz="12" w:space="0" w:color="1F497D"/>
                    <w:left w:val="nil"/>
                    <w:bottom w:val="nil"/>
                    <w:right w:val="single" w:sz="12" w:space="0" w:color="1F497D"/>
                  </w:tcBorders>
                  <w:shd w:val="clear" w:color="000000" w:fill="1F497D"/>
                  <w:noWrap/>
                  <w:vAlign w:val="center"/>
                  <w:hideMark/>
                </w:tcPr>
                <w:p w:rsidR="00A23C41" w:rsidRPr="003C7C4A" w:rsidRDefault="00A23C41" w:rsidP="005D72C2">
                  <w:pPr>
                    <w:framePr w:hSpace="141" w:wrap="around" w:vAnchor="text" w:hAnchor="margin" w:xAlign="center" w:y="26"/>
                    <w:spacing w:before="0" w:after="0"/>
                    <w:suppressOverlap/>
                    <w:jc w:val="center"/>
                    <w:rPr>
                      <w:rFonts w:ascii="Arial" w:hAnsi="Arial" w:cs="Arial"/>
                      <w:b/>
                      <w:bCs/>
                      <w:color w:val="FFFFFF"/>
                      <w:sz w:val="18"/>
                      <w:szCs w:val="18"/>
                    </w:rPr>
                  </w:pPr>
                  <w:r w:rsidRPr="003C7C4A">
                    <w:rPr>
                      <w:rFonts w:ascii="Arial" w:hAnsi="Arial" w:cs="Arial"/>
                      <w:b/>
                      <w:bCs/>
                      <w:color w:val="FFFFFF"/>
                      <w:sz w:val="18"/>
                      <w:szCs w:val="18"/>
                    </w:rPr>
                    <w:t>%</w:t>
                  </w:r>
                </w:p>
              </w:tc>
            </w:tr>
            <w:tr w:rsidR="00A23C41" w:rsidRPr="003C7C4A" w:rsidTr="00A23C41">
              <w:trPr>
                <w:trHeight w:val="262"/>
                <w:jc w:val="center"/>
              </w:trPr>
              <w:tc>
                <w:tcPr>
                  <w:tcW w:w="1269" w:type="pct"/>
                  <w:tcBorders>
                    <w:top w:val="single" w:sz="4" w:space="0" w:color="1F497D"/>
                    <w:left w:val="single" w:sz="12" w:space="0" w:color="1F497D"/>
                    <w:bottom w:val="nil"/>
                    <w:right w:val="single" w:sz="4" w:space="0" w:color="1F497D"/>
                  </w:tcBorders>
                  <w:shd w:val="clear" w:color="auto" w:fill="auto"/>
                  <w:noWrap/>
                  <w:vAlign w:val="bottom"/>
                  <w:hideMark/>
                </w:tcPr>
                <w:p w:rsidR="00A23C41" w:rsidRPr="000E4530" w:rsidRDefault="00A23C41" w:rsidP="005D72C2">
                  <w:pPr>
                    <w:framePr w:hSpace="141" w:wrap="around" w:vAnchor="text" w:hAnchor="margin" w:xAlign="center" w:y="26"/>
                    <w:spacing w:before="0" w:after="0"/>
                    <w:suppressOverlap/>
                    <w:jc w:val="left"/>
                    <w:rPr>
                      <w:rFonts w:ascii="Arial" w:hAnsi="Arial" w:cs="Arial"/>
                      <w:sz w:val="18"/>
                      <w:szCs w:val="18"/>
                      <w:lang w:eastAsia="it-IT"/>
                    </w:rPr>
                  </w:pPr>
                  <w:r w:rsidRPr="000E4530">
                    <w:rPr>
                      <w:rFonts w:ascii="Arial" w:hAnsi="Arial" w:cs="Arial"/>
                      <w:sz w:val="18"/>
                      <w:szCs w:val="18"/>
                      <w:lang w:eastAsia="it-IT"/>
                    </w:rPr>
                    <w:t>MED</w:t>
                  </w:r>
                </w:p>
              </w:tc>
              <w:tc>
                <w:tcPr>
                  <w:tcW w:w="874" w:type="pct"/>
                  <w:tcBorders>
                    <w:top w:val="single" w:sz="4" w:space="0" w:color="1F497D"/>
                    <w:left w:val="nil"/>
                    <w:bottom w:val="nil"/>
                    <w:right w:val="single" w:sz="4" w:space="0" w:color="1F497D"/>
                  </w:tcBorders>
                  <w:shd w:val="clear" w:color="auto" w:fill="auto"/>
                  <w:noWrap/>
                  <w:vAlign w:val="bottom"/>
                  <w:hideMark/>
                </w:tcPr>
                <w:p w:rsidR="00A23C41" w:rsidRPr="000E4530" w:rsidRDefault="00A23C41" w:rsidP="005D72C2">
                  <w:pPr>
                    <w:framePr w:hSpace="141" w:wrap="around" w:vAnchor="text" w:hAnchor="margin" w:xAlign="center" w:y="26"/>
                    <w:spacing w:before="0" w:after="0"/>
                    <w:suppressOverlap/>
                    <w:jc w:val="center"/>
                    <w:rPr>
                      <w:rFonts w:ascii="Arial" w:hAnsi="Arial" w:cs="Arial"/>
                      <w:sz w:val="18"/>
                      <w:szCs w:val="18"/>
                      <w:lang w:eastAsia="it-IT"/>
                    </w:rPr>
                  </w:pPr>
                  <w:r w:rsidRPr="000E4530">
                    <w:rPr>
                      <w:rFonts w:ascii="Arial" w:hAnsi="Arial" w:cs="Arial"/>
                      <w:sz w:val="18"/>
                      <w:szCs w:val="18"/>
                      <w:lang w:eastAsia="it-IT"/>
                    </w:rPr>
                    <w:t>2,850,723</w:t>
                  </w:r>
                </w:p>
              </w:tc>
              <w:tc>
                <w:tcPr>
                  <w:tcW w:w="773" w:type="pct"/>
                  <w:tcBorders>
                    <w:top w:val="single" w:sz="4" w:space="0" w:color="1F497D"/>
                    <w:left w:val="nil"/>
                    <w:bottom w:val="nil"/>
                    <w:right w:val="single" w:sz="4" w:space="0" w:color="1F497D"/>
                  </w:tcBorders>
                  <w:shd w:val="clear" w:color="auto" w:fill="auto"/>
                  <w:noWrap/>
                  <w:vAlign w:val="bottom"/>
                  <w:hideMark/>
                </w:tcPr>
                <w:p w:rsidR="00A23C41" w:rsidRPr="000E4530" w:rsidRDefault="00A23C41" w:rsidP="005D72C2">
                  <w:pPr>
                    <w:framePr w:hSpace="141" w:wrap="around" w:vAnchor="text" w:hAnchor="margin" w:xAlign="center" w:y="26"/>
                    <w:spacing w:before="0" w:after="0"/>
                    <w:suppressOverlap/>
                    <w:jc w:val="center"/>
                    <w:rPr>
                      <w:rFonts w:ascii="Arial" w:hAnsi="Arial" w:cs="Arial"/>
                      <w:sz w:val="18"/>
                      <w:szCs w:val="18"/>
                      <w:lang w:eastAsia="it-IT"/>
                    </w:rPr>
                  </w:pPr>
                  <w:r w:rsidRPr="000E4530">
                    <w:rPr>
                      <w:rFonts w:ascii="Arial" w:hAnsi="Arial" w:cs="Arial"/>
                      <w:sz w:val="18"/>
                      <w:szCs w:val="18"/>
                      <w:lang w:eastAsia="it-IT"/>
                    </w:rPr>
                    <w:t>3,718,054</w:t>
                  </w:r>
                </w:p>
              </w:tc>
              <w:tc>
                <w:tcPr>
                  <w:tcW w:w="773" w:type="pct"/>
                  <w:tcBorders>
                    <w:top w:val="single" w:sz="4" w:space="0" w:color="1F497D"/>
                    <w:left w:val="nil"/>
                    <w:bottom w:val="nil"/>
                    <w:right w:val="single" w:sz="4" w:space="0" w:color="1F497D"/>
                  </w:tcBorders>
                  <w:shd w:val="clear" w:color="auto" w:fill="auto"/>
                  <w:noWrap/>
                  <w:vAlign w:val="bottom"/>
                  <w:hideMark/>
                </w:tcPr>
                <w:p w:rsidR="00A23C41" w:rsidRPr="000E4530" w:rsidRDefault="00A23C41" w:rsidP="005D72C2">
                  <w:pPr>
                    <w:framePr w:hSpace="141" w:wrap="around" w:vAnchor="text" w:hAnchor="margin" w:xAlign="center" w:y="26"/>
                    <w:spacing w:before="0" w:after="0"/>
                    <w:suppressOverlap/>
                    <w:jc w:val="center"/>
                    <w:rPr>
                      <w:rFonts w:ascii="Arial" w:hAnsi="Arial" w:cs="Arial"/>
                      <w:sz w:val="18"/>
                      <w:szCs w:val="18"/>
                      <w:lang w:eastAsia="it-IT"/>
                    </w:rPr>
                  </w:pPr>
                  <w:r w:rsidRPr="000E4530">
                    <w:rPr>
                      <w:rFonts w:ascii="Arial" w:hAnsi="Arial" w:cs="Arial"/>
                      <w:sz w:val="18"/>
                      <w:szCs w:val="18"/>
                      <w:lang w:eastAsia="it-IT"/>
                    </w:rPr>
                    <w:t>23,240,521</w:t>
                  </w:r>
                </w:p>
              </w:tc>
              <w:tc>
                <w:tcPr>
                  <w:tcW w:w="873" w:type="pct"/>
                  <w:tcBorders>
                    <w:top w:val="single" w:sz="4" w:space="0" w:color="1F497D"/>
                    <w:left w:val="nil"/>
                    <w:bottom w:val="nil"/>
                    <w:right w:val="single" w:sz="4" w:space="0" w:color="1F497D"/>
                  </w:tcBorders>
                  <w:shd w:val="clear" w:color="auto" w:fill="F2F2F2" w:themeFill="background1" w:themeFillShade="F2"/>
                  <w:noWrap/>
                  <w:vAlign w:val="bottom"/>
                  <w:hideMark/>
                </w:tcPr>
                <w:p w:rsidR="00A23C41" w:rsidRPr="000E4530" w:rsidRDefault="00A23C41" w:rsidP="005D72C2">
                  <w:pPr>
                    <w:framePr w:hSpace="141" w:wrap="around" w:vAnchor="text" w:hAnchor="margin" w:xAlign="center" w:y="26"/>
                    <w:spacing w:before="0" w:after="0"/>
                    <w:suppressOverlap/>
                    <w:jc w:val="center"/>
                    <w:rPr>
                      <w:rFonts w:ascii="Arial" w:hAnsi="Arial" w:cs="Arial"/>
                      <w:sz w:val="18"/>
                      <w:szCs w:val="18"/>
                      <w:lang w:eastAsia="it-IT"/>
                    </w:rPr>
                  </w:pPr>
                  <w:r w:rsidRPr="000E4530">
                    <w:rPr>
                      <w:rFonts w:ascii="Arial" w:hAnsi="Arial" w:cs="Arial"/>
                      <w:sz w:val="18"/>
                      <w:szCs w:val="18"/>
                      <w:lang w:eastAsia="it-IT"/>
                    </w:rPr>
                    <w:t>29,809,298</w:t>
                  </w:r>
                </w:p>
              </w:tc>
              <w:tc>
                <w:tcPr>
                  <w:tcW w:w="438" w:type="pct"/>
                  <w:tcBorders>
                    <w:top w:val="single" w:sz="4" w:space="0" w:color="1F497D"/>
                    <w:left w:val="nil"/>
                    <w:bottom w:val="nil"/>
                    <w:right w:val="single" w:sz="12" w:space="0" w:color="1F497D"/>
                  </w:tcBorders>
                  <w:shd w:val="clear" w:color="auto" w:fill="F2F2F2" w:themeFill="background1" w:themeFillShade="F2"/>
                  <w:noWrap/>
                  <w:vAlign w:val="bottom"/>
                  <w:hideMark/>
                </w:tcPr>
                <w:p w:rsidR="00A23C41" w:rsidRPr="000E4530" w:rsidRDefault="00A23C41" w:rsidP="005D72C2">
                  <w:pPr>
                    <w:framePr w:hSpace="141" w:wrap="around" w:vAnchor="text" w:hAnchor="margin" w:xAlign="center" w:y="26"/>
                    <w:spacing w:before="0" w:after="0"/>
                    <w:suppressOverlap/>
                    <w:jc w:val="right"/>
                    <w:rPr>
                      <w:rFonts w:ascii="Arial" w:hAnsi="Arial" w:cs="Arial"/>
                      <w:sz w:val="18"/>
                      <w:szCs w:val="18"/>
                      <w:lang w:eastAsia="it-IT"/>
                    </w:rPr>
                  </w:pPr>
                  <w:r w:rsidRPr="000E4530">
                    <w:rPr>
                      <w:rFonts w:ascii="Arial" w:hAnsi="Arial" w:cs="Arial"/>
                      <w:sz w:val="18"/>
                      <w:szCs w:val="18"/>
                      <w:lang w:eastAsia="it-IT"/>
                    </w:rPr>
                    <w:t>1.4%</w:t>
                  </w:r>
                </w:p>
              </w:tc>
            </w:tr>
            <w:tr w:rsidR="00A23C41" w:rsidRPr="003C7C4A" w:rsidTr="00A23C41">
              <w:trPr>
                <w:trHeight w:val="262"/>
                <w:jc w:val="center"/>
              </w:trPr>
              <w:tc>
                <w:tcPr>
                  <w:tcW w:w="1269" w:type="pct"/>
                  <w:tcBorders>
                    <w:top w:val="nil"/>
                    <w:left w:val="single" w:sz="12" w:space="0" w:color="1F497D"/>
                    <w:bottom w:val="single" w:sz="4" w:space="0" w:color="1F497D"/>
                    <w:right w:val="single" w:sz="4" w:space="0" w:color="1F497D"/>
                  </w:tcBorders>
                  <w:shd w:val="clear" w:color="auto" w:fill="auto"/>
                  <w:noWrap/>
                  <w:vAlign w:val="bottom"/>
                  <w:hideMark/>
                </w:tcPr>
                <w:p w:rsidR="00A23C41" w:rsidRPr="000E4530" w:rsidRDefault="00A23C41" w:rsidP="005D72C2">
                  <w:pPr>
                    <w:framePr w:hSpace="141" w:wrap="around" w:vAnchor="text" w:hAnchor="margin" w:xAlign="center" w:y="26"/>
                    <w:spacing w:before="0" w:after="0"/>
                    <w:suppressOverlap/>
                    <w:jc w:val="left"/>
                    <w:rPr>
                      <w:rFonts w:ascii="Arial" w:hAnsi="Arial" w:cs="Arial"/>
                      <w:sz w:val="18"/>
                      <w:szCs w:val="18"/>
                      <w:lang w:eastAsia="it-IT"/>
                    </w:rPr>
                  </w:pPr>
                  <w:r w:rsidRPr="000E4530">
                    <w:rPr>
                      <w:rFonts w:ascii="Arial" w:hAnsi="Arial" w:cs="Arial"/>
                      <w:sz w:val="18"/>
                      <w:szCs w:val="18"/>
                      <w:lang w:eastAsia="it-IT"/>
                    </w:rPr>
                    <w:t>ENPI</w:t>
                  </w:r>
                  <w:r w:rsidRPr="003C7C4A">
                    <w:rPr>
                      <w:rStyle w:val="Rimandonotaapidipagina"/>
                      <w:rFonts w:ascii="Arial" w:hAnsi="Arial" w:cs="Arial"/>
                      <w:sz w:val="18"/>
                      <w:szCs w:val="18"/>
                    </w:rPr>
                    <w:footnoteReference w:id="82"/>
                  </w:r>
                </w:p>
              </w:tc>
              <w:tc>
                <w:tcPr>
                  <w:tcW w:w="874" w:type="pct"/>
                  <w:tcBorders>
                    <w:top w:val="nil"/>
                    <w:left w:val="nil"/>
                    <w:bottom w:val="single" w:sz="4" w:space="0" w:color="1F497D"/>
                    <w:right w:val="single" w:sz="4" w:space="0" w:color="1F497D"/>
                  </w:tcBorders>
                  <w:shd w:val="clear" w:color="auto" w:fill="auto"/>
                  <w:noWrap/>
                  <w:vAlign w:val="bottom"/>
                  <w:hideMark/>
                </w:tcPr>
                <w:p w:rsidR="00A23C41" w:rsidRPr="000E4530" w:rsidRDefault="00A23C41" w:rsidP="005D72C2">
                  <w:pPr>
                    <w:framePr w:hSpace="141" w:wrap="around" w:vAnchor="text" w:hAnchor="margin" w:xAlign="center" w:y="26"/>
                    <w:spacing w:before="0" w:after="0"/>
                    <w:suppressOverlap/>
                    <w:jc w:val="center"/>
                    <w:rPr>
                      <w:rFonts w:ascii="Arial" w:hAnsi="Arial" w:cs="Arial"/>
                      <w:sz w:val="18"/>
                      <w:szCs w:val="18"/>
                      <w:lang w:eastAsia="it-IT"/>
                    </w:rPr>
                  </w:pPr>
                  <w:r w:rsidRPr="000E4530">
                    <w:rPr>
                      <w:rFonts w:ascii="Arial" w:hAnsi="Arial" w:cs="Arial"/>
                      <w:sz w:val="18"/>
                      <w:szCs w:val="18"/>
                      <w:lang w:eastAsia="it-IT"/>
                    </w:rPr>
                    <w:t>1,209,023,962</w:t>
                  </w:r>
                </w:p>
              </w:tc>
              <w:tc>
                <w:tcPr>
                  <w:tcW w:w="773" w:type="pct"/>
                  <w:tcBorders>
                    <w:top w:val="nil"/>
                    <w:left w:val="nil"/>
                    <w:bottom w:val="single" w:sz="4" w:space="0" w:color="1F497D"/>
                    <w:right w:val="single" w:sz="4" w:space="0" w:color="1F497D"/>
                  </w:tcBorders>
                  <w:shd w:val="clear" w:color="auto" w:fill="auto"/>
                  <w:noWrap/>
                  <w:vAlign w:val="bottom"/>
                  <w:hideMark/>
                </w:tcPr>
                <w:p w:rsidR="00A23C41" w:rsidRPr="000E4530" w:rsidRDefault="00A23C41" w:rsidP="005D72C2">
                  <w:pPr>
                    <w:framePr w:hSpace="141" w:wrap="around" w:vAnchor="text" w:hAnchor="margin" w:xAlign="center" w:y="26"/>
                    <w:spacing w:before="0" w:after="0"/>
                    <w:suppressOverlap/>
                    <w:jc w:val="center"/>
                    <w:rPr>
                      <w:rFonts w:ascii="Arial" w:hAnsi="Arial" w:cs="Arial"/>
                      <w:sz w:val="18"/>
                      <w:szCs w:val="18"/>
                      <w:lang w:eastAsia="it-IT"/>
                    </w:rPr>
                  </w:pPr>
                  <w:r w:rsidRPr="000E4530">
                    <w:rPr>
                      <w:rFonts w:ascii="Arial" w:hAnsi="Arial" w:cs="Arial"/>
                      <w:sz w:val="18"/>
                      <w:szCs w:val="18"/>
                      <w:lang w:eastAsia="it-IT"/>
                    </w:rPr>
                    <w:t>250,688,389</w:t>
                  </w:r>
                </w:p>
              </w:tc>
              <w:tc>
                <w:tcPr>
                  <w:tcW w:w="773" w:type="pct"/>
                  <w:tcBorders>
                    <w:top w:val="nil"/>
                    <w:left w:val="nil"/>
                    <w:bottom w:val="single" w:sz="4" w:space="0" w:color="1F497D"/>
                    <w:right w:val="single" w:sz="4" w:space="0" w:color="1F497D"/>
                  </w:tcBorders>
                  <w:shd w:val="clear" w:color="auto" w:fill="auto"/>
                  <w:noWrap/>
                  <w:vAlign w:val="bottom"/>
                  <w:hideMark/>
                </w:tcPr>
                <w:p w:rsidR="00A23C41" w:rsidRPr="000E4530" w:rsidRDefault="00A23C41" w:rsidP="005D72C2">
                  <w:pPr>
                    <w:framePr w:hSpace="141" w:wrap="around" w:vAnchor="text" w:hAnchor="margin" w:xAlign="center" w:y="26"/>
                    <w:spacing w:before="0" w:after="0"/>
                    <w:suppressOverlap/>
                    <w:jc w:val="center"/>
                    <w:rPr>
                      <w:rFonts w:ascii="Arial" w:hAnsi="Arial" w:cs="Arial"/>
                      <w:sz w:val="18"/>
                      <w:szCs w:val="18"/>
                      <w:lang w:eastAsia="it-IT"/>
                    </w:rPr>
                  </w:pPr>
                  <w:r w:rsidRPr="000E4530">
                    <w:rPr>
                      <w:rFonts w:ascii="Arial" w:hAnsi="Arial" w:cs="Arial"/>
                      <w:sz w:val="18"/>
                      <w:szCs w:val="18"/>
                      <w:lang w:eastAsia="it-IT"/>
                    </w:rPr>
                    <w:t>414,762,254</w:t>
                  </w:r>
                </w:p>
              </w:tc>
              <w:tc>
                <w:tcPr>
                  <w:tcW w:w="873" w:type="pct"/>
                  <w:tcBorders>
                    <w:top w:val="nil"/>
                    <w:left w:val="nil"/>
                    <w:bottom w:val="single" w:sz="4" w:space="0" w:color="1F497D"/>
                    <w:right w:val="single" w:sz="4" w:space="0" w:color="1F497D"/>
                  </w:tcBorders>
                  <w:shd w:val="clear" w:color="auto" w:fill="F2F2F2" w:themeFill="background1" w:themeFillShade="F2"/>
                  <w:noWrap/>
                  <w:vAlign w:val="bottom"/>
                  <w:hideMark/>
                </w:tcPr>
                <w:p w:rsidR="00A23C41" w:rsidRPr="000E4530" w:rsidRDefault="00A23C41" w:rsidP="005D72C2">
                  <w:pPr>
                    <w:framePr w:hSpace="141" w:wrap="around" w:vAnchor="text" w:hAnchor="margin" w:xAlign="center" w:y="26"/>
                    <w:spacing w:before="0" w:after="0"/>
                    <w:suppressOverlap/>
                    <w:jc w:val="center"/>
                    <w:rPr>
                      <w:rFonts w:ascii="Arial" w:hAnsi="Arial" w:cs="Arial"/>
                      <w:sz w:val="18"/>
                      <w:szCs w:val="18"/>
                      <w:lang w:eastAsia="it-IT"/>
                    </w:rPr>
                  </w:pPr>
                  <w:r w:rsidRPr="000E4530">
                    <w:rPr>
                      <w:rFonts w:ascii="Arial" w:hAnsi="Arial" w:cs="Arial"/>
                      <w:sz w:val="18"/>
                      <w:szCs w:val="18"/>
                      <w:lang w:eastAsia="it-IT"/>
                    </w:rPr>
                    <w:t>1,874,474,604</w:t>
                  </w:r>
                </w:p>
              </w:tc>
              <w:tc>
                <w:tcPr>
                  <w:tcW w:w="438" w:type="pct"/>
                  <w:tcBorders>
                    <w:top w:val="nil"/>
                    <w:left w:val="nil"/>
                    <w:bottom w:val="single" w:sz="4" w:space="0" w:color="1F497D"/>
                    <w:right w:val="single" w:sz="12" w:space="0" w:color="1F497D"/>
                  </w:tcBorders>
                  <w:shd w:val="clear" w:color="auto" w:fill="F2F2F2" w:themeFill="background1" w:themeFillShade="F2"/>
                  <w:noWrap/>
                  <w:vAlign w:val="bottom"/>
                  <w:hideMark/>
                </w:tcPr>
                <w:p w:rsidR="00A23C41" w:rsidRPr="000E4530" w:rsidRDefault="00A23C41" w:rsidP="005D72C2">
                  <w:pPr>
                    <w:framePr w:hSpace="141" w:wrap="around" w:vAnchor="text" w:hAnchor="margin" w:xAlign="center" w:y="26"/>
                    <w:spacing w:before="0" w:after="0"/>
                    <w:suppressOverlap/>
                    <w:jc w:val="right"/>
                    <w:rPr>
                      <w:rFonts w:ascii="Arial" w:hAnsi="Arial" w:cs="Arial"/>
                      <w:sz w:val="18"/>
                      <w:szCs w:val="18"/>
                      <w:lang w:eastAsia="it-IT"/>
                    </w:rPr>
                  </w:pPr>
                  <w:r w:rsidRPr="000E4530">
                    <w:rPr>
                      <w:rFonts w:ascii="Arial" w:hAnsi="Arial" w:cs="Arial"/>
                      <w:sz w:val="18"/>
                      <w:szCs w:val="18"/>
                      <w:lang w:eastAsia="it-IT"/>
                    </w:rPr>
                    <w:t>89.8%</w:t>
                  </w:r>
                </w:p>
              </w:tc>
            </w:tr>
            <w:tr w:rsidR="00A23C41" w:rsidRPr="003C7C4A" w:rsidTr="00A23C41">
              <w:trPr>
                <w:trHeight w:val="262"/>
                <w:jc w:val="center"/>
              </w:trPr>
              <w:tc>
                <w:tcPr>
                  <w:tcW w:w="1269" w:type="pct"/>
                  <w:tcBorders>
                    <w:top w:val="nil"/>
                    <w:left w:val="single" w:sz="12" w:space="0" w:color="1F497D"/>
                    <w:bottom w:val="nil"/>
                    <w:right w:val="single" w:sz="4" w:space="0" w:color="1F497D"/>
                  </w:tcBorders>
                  <w:shd w:val="clear" w:color="auto" w:fill="auto"/>
                  <w:noWrap/>
                  <w:vAlign w:val="bottom"/>
                  <w:hideMark/>
                </w:tcPr>
                <w:p w:rsidR="00A23C41" w:rsidRPr="000E4530" w:rsidRDefault="00A23C41" w:rsidP="005D72C2">
                  <w:pPr>
                    <w:framePr w:hSpace="141" w:wrap="around" w:vAnchor="text" w:hAnchor="margin" w:xAlign="center" w:y="26"/>
                    <w:spacing w:before="0" w:after="0"/>
                    <w:suppressOverlap/>
                    <w:jc w:val="left"/>
                    <w:rPr>
                      <w:rFonts w:ascii="Arial" w:hAnsi="Arial" w:cs="Arial"/>
                      <w:sz w:val="18"/>
                      <w:szCs w:val="18"/>
                      <w:lang w:eastAsia="it-IT"/>
                    </w:rPr>
                  </w:pPr>
                  <w:r w:rsidRPr="000E4530">
                    <w:rPr>
                      <w:rFonts w:ascii="Arial" w:hAnsi="Arial" w:cs="Arial"/>
                      <w:sz w:val="18"/>
                      <w:szCs w:val="18"/>
                      <w:lang w:eastAsia="it-IT"/>
                    </w:rPr>
                    <w:t>DCI-FOOD</w:t>
                  </w:r>
                </w:p>
              </w:tc>
              <w:tc>
                <w:tcPr>
                  <w:tcW w:w="874" w:type="pct"/>
                  <w:tcBorders>
                    <w:top w:val="nil"/>
                    <w:left w:val="nil"/>
                    <w:bottom w:val="nil"/>
                    <w:right w:val="single" w:sz="4" w:space="0" w:color="1F497D"/>
                  </w:tcBorders>
                  <w:shd w:val="clear" w:color="auto" w:fill="auto"/>
                  <w:noWrap/>
                  <w:vAlign w:val="bottom"/>
                  <w:hideMark/>
                </w:tcPr>
                <w:p w:rsidR="00A23C41" w:rsidRPr="000E4530" w:rsidRDefault="00A23C41" w:rsidP="005D72C2">
                  <w:pPr>
                    <w:framePr w:hSpace="141" w:wrap="around" w:vAnchor="text" w:hAnchor="margin" w:xAlign="center" w:y="26"/>
                    <w:spacing w:before="0" w:after="0"/>
                    <w:suppressOverlap/>
                    <w:jc w:val="center"/>
                    <w:rPr>
                      <w:rFonts w:ascii="Arial" w:hAnsi="Arial" w:cs="Arial"/>
                      <w:sz w:val="18"/>
                      <w:szCs w:val="18"/>
                      <w:lang w:eastAsia="it-IT"/>
                    </w:rPr>
                  </w:pPr>
                  <w:r w:rsidRPr="000E4530">
                    <w:rPr>
                      <w:rFonts w:ascii="Arial" w:hAnsi="Arial" w:cs="Arial"/>
                      <w:sz w:val="18"/>
                      <w:szCs w:val="18"/>
                      <w:lang w:eastAsia="it-IT"/>
                    </w:rPr>
                    <w:t> </w:t>
                  </w:r>
                </w:p>
              </w:tc>
              <w:tc>
                <w:tcPr>
                  <w:tcW w:w="773" w:type="pct"/>
                  <w:tcBorders>
                    <w:top w:val="nil"/>
                    <w:left w:val="nil"/>
                    <w:bottom w:val="nil"/>
                    <w:right w:val="single" w:sz="4" w:space="0" w:color="1F497D"/>
                  </w:tcBorders>
                  <w:shd w:val="clear" w:color="auto" w:fill="auto"/>
                  <w:noWrap/>
                  <w:vAlign w:val="bottom"/>
                  <w:hideMark/>
                </w:tcPr>
                <w:p w:rsidR="00A23C41" w:rsidRPr="000E4530" w:rsidRDefault="00A23C41" w:rsidP="005D72C2">
                  <w:pPr>
                    <w:framePr w:hSpace="141" w:wrap="around" w:vAnchor="text" w:hAnchor="margin" w:xAlign="center" w:y="26"/>
                    <w:spacing w:before="0" w:after="0"/>
                    <w:suppressOverlap/>
                    <w:jc w:val="center"/>
                    <w:rPr>
                      <w:rFonts w:ascii="Arial" w:hAnsi="Arial" w:cs="Arial"/>
                      <w:sz w:val="18"/>
                      <w:szCs w:val="18"/>
                      <w:lang w:eastAsia="it-IT"/>
                    </w:rPr>
                  </w:pPr>
                  <w:r w:rsidRPr="000E4530">
                    <w:rPr>
                      <w:rFonts w:ascii="Arial" w:hAnsi="Arial" w:cs="Arial"/>
                      <w:sz w:val="18"/>
                      <w:szCs w:val="18"/>
                      <w:lang w:eastAsia="it-IT"/>
                    </w:rPr>
                    <w:t>26,096,629</w:t>
                  </w:r>
                </w:p>
              </w:tc>
              <w:tc>
                <w:tcPr>
                  <w:tcW w:w="773" w:type="pct"/>
                  <w:tcBorders>
                    <w:top w:val="nil"/>
                    <w:left w:val="nil"/>
                    <w:bottom w:val="nil"/>
                    <w:right w:val="single" w:sz="4" w:space="0" w:color="1F497D"/>
                  </w:tcBorders>
                  <w:shd w:val="clear" w:color="auto" w:fill="auto"/>
                  <w:noWrap/>
                  <w:vAlign w:val="bottom"/>
                  <w:hideMark/>
                </w:tcPr>
                <w:p w:rsidR="00A23C41" w:rsidRPr="000E4530" w:rsidRDefault="00A23C41" w:rsidP="005D72C2">
                  <w:pPr>
                    <w:framePr w:hSpace="141" w:wrap="around" w:vAnchor="text" w:hAnchor="margin" w:xAlign="center" w:y="26"/>
                    <w:spacing w:before="0" w:after="0"/>
                    <w:suppressOverlap/>
                    <w:jc w:val="center"/>
                    <w:rPr>
                      <w:rFonts w:ascii="Arial" w:hAnsi="Arial" w:cs="Arial"/>
                      <w:sz w:val="18"/>
                      <w:szCs w:val="18"/>
                      <w:lang w:eastAsia="it-IT"/>
                    </w:rPr>
                  </w:pPr>
                  <w:r w:rsidRPr="000E4530">
                    <w:rPr>
                      <w:rFonts w:ascii="Arial" w:hAnsi="Arial" w:cs="Arial"/>
                      <w:sz w:val="18"/>
                      <w:szCs w:val="18"/>
                      <w:lang w:eastAsia="it-IT"/>
                    </w:rPr>
                    <w:t>64,500,549</w:t>
                  </w:r>
                </w:p>
              </w:tc>
              <w:tc>
                <w:tcPr>
                  <w:tcW w:w="873" w:type="pct"/>
                  <w:tcBorders>
                    <w:top w:val="nil"/>
                    <w:left w:val="nil"/>
                    <w:bottom w:val="nil"/>
                    <w:right w:val="single" w:sz="4" w:space="0" w:color="1F497D"/>
                  </w:tcBorders>
                  <w:shd w:val="clear" w:color="auto" w:fill="F2F2F2" w:themeFill="background1" w:themeFillShade="F2"/>
                  <w:noWrap/>
                  <w:vAlign w:val="bottom"/>
                  <w:hideMark/>
                </w:tcPr>
                <w:p w:rsidR="00A23C41" w:rsidRPr="000E4530" w:rsidRDefault="00A23C41" w:rsidP="005D72C2">
                  <w:pPr>
                    <w:framePr w:hSpace="141" w:wrap="around" w:vAnchor="text" w:hAnchor="margin" w:xAlign="center" w:y="26"/>
                    <w:spacing w:before="0" w:after="0"/>
                    <w:suppressOverlap/>
                    <w:jc w:val="center"/>
                    <w:rPr>
                      <w:rFonts w:ascii="Arial" w:hAnsi="Arial" w:cs="Arial"/>
                      <w:sz w:val="18"/>
                      <w:szCs w:val="18"/>
                      <w:lang w:eastAsia="it-IT"/>
                    </w:rPr>
                  </w:pPr>
                  <w:r w:rsidRPr="000E4530">
                    <w:rPr>
                      <w:rFonts w:ascii="Arial" w:hAnsi="Arial" w:cs="Arial"/>
                      <w:sz w:val="18"/>
                      <w:szCs w:val="18"/>
                      <w:lang w:eastAsia="it-IT"/>
                    </w:rPr>
                    <w:t>90,597,178</w:t>
                  </w:r>
                </w:p>
              </w:tc>
              <w:tc>
                <w:tcPr>
                  <w:tcW w:w="438" w:type="pct"/>
                  <w:tcBorders>
                    <w:top w:val="nil"/>
                    <w:left w:val="nil"/>
                    <w:bottom w:val="nil"/>
                    <w:right w:val="single" w:sz="12" w:space="0" w:color="1F497D"/>
                  </w:tcBorders>
                  <w:shd w:val="clear" w:color="auto" w:fill="F2F2F2" w:themeFill="background1" w:themeFillShade="F2"/>
                  <w:noWrap/>
                  <w:vAlign w:val="bottom"/>
                  <w:hideMark/>
                </w:tcPr>
                <w:p w:rsidR="00A23C41" w:rsidRPr="000E4530" w:rsidRDefault="00A23C41" w:rsidP="005D72C2">
                  <w:pPr>
                    <w:framePr w:hSpace="141" w:wrap="around" w:vAnchor="text" w:hAnchor="margin" w:xAlign="center" w:y="26"/>
                    <w:spacing w:before="0" w:after="0"/>
                    <w:suppressOverlap/>
                    <w:jc w:val="right"/>
                    <w:rPr>
                      <w:rFonts w:ascii="Arial" w:hAnsi="Arial" w:cs="Arial"/>
                      <w:sz w:val="18"/>
                      <w:szCs w:val="18"/>
                      <w:lang w:eastAsia="it-IT"/>
                    </w:rPr>
                  </w:pPr>
                  <w:r w:rsidRPr="000E4530">
                    <w:rPr>
                      <w:rFonts w:ascii="Arial" w:hAnsi="Arial" w:cs="Arial"/>
                      <w:sz w:val="18"/>
                      <w:szCs w:val="18"/>
                      <w:lang w:eastAsia="it-IT"/>
                    </w:rPr>
                    <w:t>4.3%</w:t>
                  </w:r>
                </w:p>
              </w:tc>
            </w:tr>
            <w:tr w:rsidR="00A23C41" w:rsidRPr="003C7C4A" w:rsidTr="00A23C41">
              <w:trPr>
                <w:trHeight w:val="262"/>
                <w:jc w:val="center"/>
              </w:trPr>
              <w:tc>
                <w:tcPr>
                  <w:tcW w:w="1269" w:type="pct"/>
                  <w:tcBorders>
                    <w:top w:val="nil"/>
                    <w:left w:val="single" w:sz="12" w:space="0" w:color="1F497D"/>
                    <w:bottom w:val="nil"/>
                    <w:right w:val="single" w:sz="4" w:space="0" w:color="1F497D"/>
                  </w:tcBorders>
                  <w:shd w:val="clear" w:color="auto" w:fill="auto"/>
                  <w:noWrap/>
                  <w:vAlign w:val="bottom"/>
                  <w:hideMark/>
                </w:tcPr>
                <w:p w:rsidR="00A23C41" w:rsidRPr="000E4530" w:rsidRDefault="00A23C41" w:rsidP="005D72C2">
                  <w:pPr>
                    <w:framePr w:hSpace="141" w:wrap="around" w:vAnchor="text" w:hAnchor="margin" w:xAlign="center" w:y="26"/>
                    <w:spacing w:before="0" w:after="0"/>
                    <w:suppressOverlap/>
                    <w:jc w:val="left"/>
                    <w:rPr>
                      <w:rFonts w:ascii="Arial" w:hAnsi="Arial" w:cs="Arial"/>
                      <w:sz w:val="18"/>
                      <w:szCs w:val="18"/>
                      <w:lang w:eastAsia="it-IT"/>
                    </w:rPr>
                  </w:pPr>
                  <w:r w:rsidRPr="000E4530">
                    <w:rPr>
                      <w:rFonts w:ascii="Arial" w:hAnsi="Arial" w:cs="Arial"/>
                      <w:sz w:val="18"/>
                      <w:szCs w:val="18"/>
                      <w:lang w:eastAsia="it-IT"/>
                    </w:rPr>
                    <w:t>IFS-RRM</w:t>
                  </w:r>
                  <w:r w:rsidRPr="003C7C4A">
                    <w:rPr>
                      <w:rStyle w:val="Rimandonotaapidipagina"/>
                      <w:rFonts w:ascii="Arial" w:hAnsi="Arial" w:cs="Arial"/>
                      <w:sz w:val="18"/>
                      <w:szCs w:val="18"/>
                    </w:rPr>
                    <w:footnoteReference w:id="83"/>
                  </w:r>
                </w:p>
              </w:tc>
              <w:tc>
                <w:tcPr>
                  <w:tcW w:w="874" w:type="pct"/>
                  <w:tcBorders>
                    <w:top w:val="nil"/>
                    <w:left w:val="nil"/>
                    <w:bottom w:val="nil"/>
                    <w:right w:val="single" w:sz="4" w:space="0" w:color="1F497D"/>
                  </w:tcBorders>
                  <w:shd w:val="clear" w:color="auto" w:fill="auto"/>
                  <w:noWrap/>
                  <w:vAlign w:val="bottom"/>
                  <w:hideMark/>
                </w:tcPr>
                <w:p w:rsidR="00A23C41" w:rsidRPr="000E4530" w:rsidRDefault="00A23C41" w:rsidP="005D72C2">
                  <w:pPr>
                    <w:framePr w:hSpace="141" w:wrap="around" w:vAnchor="text" w:hAnchor="margin" w:xAlign="center" w:y="26"/>
                    <w:spacing w:before="0" w:after="0"/>
                    <w:suppressOverlap/>
                    <w:jc w:val="center"/>
                    <w:rPr>
                      <w:rFonts w:ascii="Arial" w:hAnsi="Arial" w:cs="Arial"/>
                      <w:sz w:val="18"/>
                      <w:szCs w:val="18"/>
                      <w:lang w:eastAsia="it-IT"/>
                    </w:rPr>
                  </w:pPr>
                  <w:r w:rsidRPr="000E4530">
                    <w:rPr>
                      <w:rFonts w:ascii="Arial" w:hAnsi="Arial" w:cs="Arial"/>
                      <w:sz w:val="18"/>
                      <w:szCs w:val="18"/>
                      <w:lang w:eastAsia="it-IT"/>
                    </w:rPr>
                    <w:t>4,500,000</w:t>
                  </w:r>
                </w:p>
              </w:tc>
              <w:tc>
                <w:tcPr>
                  <w:tcW w:w="773" w:type="pct"/>
                  <w:tcBorders>
                    <w:top w:val="nil"/>
                    <w:left w:val="nil"/>
                    <w:bottom w:val="nil"/>
                    <w:right w:val="single" w:sz="4" w:space="0" w:color="1F497D"/>
                  </w:tcBorders>
                  <w:shd w:val="clear" w:color="auto" w:fill="auto"/>
                  <w:noWrap/>
                  <w:vAlign w:val="bottom"/>
                  <w:hideMark/>
                </w:tcPr>
                <w:p w:rsidR="00A23C41" w:rsidRPr="000E4530" w:rsidRDefault="00A23C41" w:rsidP="005D72C2">
                  <w:pPr>
                    <w:framePr w:hSpace="141" w:wrap="around" w:vAnchor="text" w:hAnchor="margin" w:xAlign="center" w:y="26"/>
                    <w:spacing w:before="0" w:after="0"/>
                    <w:suppressOverlap/>
                    <w:jc w:val="center"/>
                    <w:rPr>
                      <w:rFonts w:ascii="Arial" w:hAnsi="Arial" w:cs="Arial"/>
                      <w:sz w:val="18"/>
                      <w:szCs w:val="18"/>
                      <w:lang w:eastAsia="it-IT"/>
                    </w:rPr>
                  </w:pPr>
                  <w:r w:rsidRPr="000E4530">
                    <w:rPr>
                      <w:rFonts w:ascii="Arial" w:hAnsi="Arial" w:cs="Arial"/>
                      <w:sz w:val="18"/>
                      <w:szCs w:val="18"/>
                      <w:lang w:eastAsia="it-IT"/>
                    </w:rPr>
                    <w:t>15,575,187</w:t>
                  </w:r>
                </w:p>
              </w:tc>
              <w:tc>
                <w:tcPr>
                  <w:tcW w:w="773" w:type="pct"/>
                  <w:tcBorders>
                    <w:top w:val="nil"/>
                    <w:left w:val="nil"/>
                    <w:bottom w:val="nil"/>
                    <w:right w:val="single" w:sz="4" w:space="0" w:color="1F497D"/>
                  </w:tcBorders>
                  <w:shd w:val="clear" w:color="auto" w:fill="auto"/>
                  <w:noWrap/>
                  <w:vAlign w:val="bottom"/>
                  <w:hideMark/>
                </w:tcPr>
                <w:p w:rsidR="00A23C41" w:rsidRPr="000E4530" w:rsidRDefault="00A23C41" w:rsidP="005D72C2">
                  <w:pPr>
                    <w:framePr w:hSpace="141" w:wrap="around" w:vAnchor="text" w:hAnchor="margin" w:xAlign="center" w:y="26"/>
                    <w:spacing w:before="0" w:after="0"/>
                    <w:suppressOverlap/>
                    <w:jc w:val="center"/>
                    <w:rPr>
                      <w:rFonts w:ascii="Arial" w:hAnsi="Arial" w:cs="Arial"/>
                      <w:sz w:val="18"/>
                      <w:szCs w:val="18"/>
                      <w:lang w:eastAsia="it-IT"/>
                    </w:rPr>
                  </w:pPr>
                  <w:r w:rsidRPr="000E4530">
                    <w:rPr>
                      <w:rFonts w:ascii="Arial" w:hAnsi="Arial" w:cs="Arial"/>
                      <w:sz w:val="18"/>
                      <w:szCs w:val="18"/>
                      <w:lang w:eastAsia="it-IT"/>
                    </w:rPr>
                    <w:t>32,841,810</w:t>
                  </w:r>
                </w:p>
              </w:tc>
              <w:tc>
                <w:tcPr>
                  <w:tcW w:w="873" w:type="pct"/>
                  <w:tcBorders>
                    <w:top w:val="nil"/>
                    <w:left w:val="nil"/>
                    <w:bottom w:val="nil"/>
                    <w:right w:val="single" w:sz="4" w:space="0" w:color="1F497D"/>
                  </w:tcBorders>
                  <w:shd w:val="clear" w:color="auto" w:fill="F2F2F2" w:themeFill="background1" w:themeFillShade="F2"/>
                  <w:noWrap/>
                  <w:vAlign w:val="bottom"/>
                  <w:hideMark/>
                </w:tcPr>
                <w:p w:rsidR="00A23C41" w:rsidRPr="000E4530" w:rsidRDefault="00A23C41" w:rsidP="005D72C2">
                  <w:pPr>
                    <w:framePr w:hSpace="141" w:wrap="around" w:vAnchor="text" w:hAnchor="margin" w:xAlign="center" w:y="26"/>
                    <w:spacing w:before="0" w:after="0"/>
                    <w:suppressOverlap/>
                    <w:jc w:val="center"/>
                    <w:rPr>
                      <w:rFonts w:ascii="Arial" w:hAnsi="Arial" w:cs="Arial"/>
                      <w:sz w:val="18"/>
                      <w:szCs w:val="18"/>
                      <w:lang w:eastAsia="it-IT"/>
                    </w:rPr>
                  </w:pPr>
                  <w:r w:rsidRPr="000E4530">
                    <w:rPr>
                      <w:rFonts w:ascii="Arial" w:hAnsi="Arial" w:cs="Arial"/>
                      <w:sz w:val="18"/>
                      <w:szCs w:val="18"/>
                      <w:lang w:eastAsia="it-IT"/>
                    </w:rPr>
                    <w:t>52,916,998</w:t>
                  </w:r>
                </w:p>
              </w:tc>
              <w:tc>
                <w:tcPr>
                  <w:tcW w:w="438" w:type="pct"/>
                  <w:tcBorders>
                    <w:top w:val="nil"/>
                    <w:left w:val="nil"/>
                    <w:bottom w:val="nil"/>
                    <w:right w:val="single" w:sz="12" w:space="0" w:color="1F497D"/>
                  </w:tcBorders>
                  <w:shd w:val="clear" w:color="auto" w:fill="F2F2F2" w:themeFill="background1" w:themeFillShade="F2"/>
                  <w:noWrap/>
                  <w:vAlign w:val="bottom"/>
                  <w:hideMark/>
                </w:tcPr>
                <w:p w:rsidR="00A23C41" w:rsidRPr="000E4530" w:rsidRDefault="00A23C41" w:rsidP="005D72C2">
                  <w:pPr>
                    <w:framePr w:hSpace="141" w:wrap="around" w:vAnchor="text" w:hAnchor="margin" w:xAlign="center" w:y="26"/>
                    <w:spacing w:before="0" w:after="0"/>
                    <w:suppressOverlap/>
                    <w:jc w:val="right"/>
                    <w:rPr>
                      <w:rFonts w:ascii="Arial" w:hAnsi="Arial" w:cs="Arial"/>
                      <w:sz w:val="18"/>
                      <w:szCs w:val="18"/>
                      <w:lang w:eastAsia="it-IT"/>
                    </w:rPr>
                  </w:pPr>
                  <w:r w:rsidRPr="000E4530">
                    <w:rPr>
                      <w:rFonts w:ascii="Arial" w:hAnsi="Arial" w:cs="Arial"/>
                      <w:sz w:val="18"/>
                      <w:szCs w:val="18"/>
                      <w:lang w:eastAsia="it-IT"/>
                    </w:rPr>
                    <w:t>2.5%</w:t>
                  </w:r>
                </w:p>
              </w:tc>
            </w:tr>
            <w:tr w:rsidR="00A23C41" w:rsidRPr="003C7C4A" w:rsidTr="00A23C41">
              <w:trPr>
                <w:trHeight w:val="262"/>
                <w:jc w:val="center"/>
              </w:trPr>
              <w:tc>
                <w:tcPr>
                  <w:tcW w:w="1269" w:type="pct"/>
                  <w:tcBorders>
                    <w:top w:val="nil"/>
                    <w:left w:val="single" w:sz="12" w:space="0" w:color="1F497D"/>
                    <w:bottom w:val="nil"/>
                    <w:right w:val="single" w:sz="4" w:space="0" w:color="1F497D"/>
                  </w:tcBorders>
                  <w:shd w:val="clear" w:color="auto" w:fill="auto"/>
                  <w:noWrap/>
                  <w:vAlign w:val="bottom"/>
                  <w:hideMark/>
                </w:tcPr>
                <w:p w:rsidR="00A23C41" w:rsidRPr="000E4530" w:rsidRDefault="00A23C41" w:rsidP="005D72C2">
                  <w:pPr>
                    <w:framePr w:hSpace="141" w:wrap="around" w:vAnchor="text" w:hAnchor="margin" w:xAlign="center" w:y="26"/>
                    <w:spacing w:before="0" w:after="0"/>
                    <w:suppressOverlap/>
                    <w:jc w:val="left"/>
                    <w:rPr>
                      <w:rFonts w:ascii="Arial" w:hAnsi="Arial" w:cs="Arial"/>
                      <w:sz w:val="18"/>
                      <w:szCs w:val="18"/>
                      <w:lang w:eastAsia="it-IT"/>
                    </w:rPr>
                  </w:pPr>
                  <w:r w:rsidRPr="000E4530">
                    <w:rPr>
                      <w:rFonts w:ascii="Arial" w:hAnsi="Arial" w:cs="Arial"/>
                      <w:sz w:val="18"/>
                      <w:szCs w:val="18"/>
                      <w:lang w:eastAsia="it-IT"/>
                    </w:rPr>
                    <w:t>DCI-NSAPVD</w:t>
                  </w:r>
                  <w:r w:rsidRPr="003C7C4A">
                    <w:rPr>
                      <w:rStyle w:val="Rimandonotaapidipagina"/>
                      <w:rFonts w:ascii="Arial" w:hAnsi="Arial" w:cs="Arial"/>
                      <w:sz w:val="18"/>
                      <w:szCs w:val="18"/>
                    </w:rPr>
                    <w:footnoteReference w:id="84"/>
                  </w:r>
                </w:p>
              </w:tc>
              <w:tc>
                <w:tcPr>
                  <w:tcW w:w="874" w:type="pct"/>
                  <w:tcBorders>
                    <w:top w:val="nil"/>
                    <w:left w:val="nil"/>
                    <w:bottom w:val="nil"/>
                    <w:right w:val="single" w:sz="4" w:space="0" w:color="1F497D"/>
                  </w:tcBorders>
                  <w:shd w:val="clear" w:color="auto" w:fill="auto"/>
                  <w:noWrap/>
                  <w:vAlign w:val="bottom"/>
                  <w:hideMark/>
                </w:tcPr>
                <w:p w:rsidR="00A23C41" w:rsidRPr="000E4530" w:rsidRDefault="00A23C41" w:rsidP="005D72C2">
                  <w:pPr>
                    <w:framePr w:hSpace="141" w:wrap="around" w:vAnchor="text" w:hAnchor="margin" w:xAlign="center" w:y="26"/>
                    <w:spacing w:before="0" w:after="0"/>
                    <w:suppressOverlap/>
                    <w:jc w:val="center"/>
                    <w:rPr>
                      <w:rFonts w:ascii="Arial" w:hAnsi="Arial" w:cs="Arial"/>
                      <w:sz w:val="18"/>
                      <w:szCs w:val="18"/>
                      <w:lang w:eastAsia="it-IT"/>
                    </w:rPr>
                  </w:pPr>
                  <w:r w:rsidRPr="000E4530">
                    <w:rPr>
                      <w:rFonts w:ascii="Arial" w:hAnsi="Arial" w:cs="Arial"/>
                      <w:sz w:val="18"/>
                      <w:szCs w:val="18"/>
                      <w:lang w:eastAsia="it-IT"/>
                    </w:rPr>
                    <w:t> </w:t>
                  </w:r>
                </w:p>
              </w:tc>
              <w:tc>
                <w:tcPr>
                  <w:tcW w:w="773" w:type="pct"/>
                  <w:tcBorders>
                    <w:top w:val="nil"/>
                    <w:left w:val="nil"/>
                    <w:bottom w:val="nil"/>
                    <w:right w:val="single" w:sz="4" w:space="0" w:color="1F497D"/>
                  </w:tcBorders>
                  <w:shd w:val="clear" w:color="auto" w:fill="auto"/>
                  <w:noWrap/>
                  <w:vAlign w:val="bottom"/>
                  <w:hideMark/>
                </w:tcPr>
                <w:p w:rsidR="00A23C41" w:rsidRPr="000E4530" w:rsidRDefault="00A23C41" w:rsidP="005D72C2">
                  <w:pPr>
                    <w:framePr w:hSpace="141" w:wrap="around" w:vAnchor="text" w:hAnchor="margin" w:xAlign="center" w:y="26"/>
                    <w:spacing w:before="0" w:after="0"/>
                    <w:suppressOverlap/>
                    <w:jc w:val="center"/>
                    <w:rPr>
                      <w:rFonts w:ascii="Arial" w:hAnsi="Arial" w:cs="Arial"/>
                      <w:sz w:val="18"/>
                      <w:szCs w:val="18"/>
                      <w:lang w:eastAsia="it-IT"/>
                    </w:rPr>
                  </w:pPr>
                  <w:r w:rsidRPr="000E4530">
                    <w:rPr>
                      <w:rFonts w:ascii="Arial" w:hAnsi="Arial" w:cs="Arial"/>
                      <w:sz w:val="18"/>
                      <w:szCs w:val="18"/>
                      <w:lang w:eastAsia="it-IT"/>
                    </w:rPr>
                    <w:t>14,989,395</w:t>
                  </w:r>
                </w:p>
              </w:tc>
              <w:tc>
                <w:tcPr>
                  <w:tcW w:w="773" w:type="pct"/>
                  <w:tcBorders>
                    <w:top w:val="nil"/>
                    <w:left w:val="nil"/>
                    <w:bottom w:val="nil"/>
                    <w:right w:val="single" w:sz="4" w:space="0" w:color="1F497D"/>
                  </w:tcBorders>
                  <w:shd w:val="clear" w:color="auto" w:fill="auto"/>
                  <w:noWrap/>
                  <w:vAlign w:val="bottom"/>
                  <w:hideMark/>
                </w:tcPr>
                <w:p w:rsidR="00A23C41" w:rsidRPr="000E4530" w:rsidRDefault="00A23C41" w:rsidP="005D72C2">
                  <w:pPr>
                    <w:framePr w:hSpace="141" w:wrap="around" w:vAnchor="text" w:hAnchor="margin" w:xAlign="center" w:y="26"/>
                    <w:spacing w:before="0" w:after="0"/>
                    <w:suppressOverlap/>
                    <w:jc w:val="center"/>
                    <w:rPr>
                      <w:rFonts w:ascii="Arial" w:hAnsi="Arial" w:cs="Arial"/>
                      <w:sz w:val="18"/>
                      <w:szCs w:val="18"/>
                      <w:lang w:eastAsia="it-IT"/>
                    </w:rPr>
                  </w:pPr>
                  <w:r w:rsidRPr="000E4530">
                    <w:rPr>
                      <w:rFonts w:ascii="Arial" w:hAnsi="Arial" w:cs="Arial"/>
                      <w:sz w:val="18"/>
                      <w:szCs w:val="18"/>
                      <w:lang w:eastAsia="it-IT"/>
                    </w:rPr>
                    <w:t> </w:t>
                  </w:r>
                </w:p>
              </w:tc>
              <w:tc>
                <w:tcPr>
                  <w:tcW w:w="873" w:type="pct"/>
                  <w:tcBorders>
                    <w:top w:val="nil"/>
                    <w:left w:val="nil"/>
                    <w:bottom w:val="nil"/>
                    <w:right w:val="single" w:sz="4" w:space="0" w:color="1F497D"/>
                  </w:tcBorders>
                  <w:shd w:val="clear" w:color="auto" w:fill="F2F2F2" w:themeFill="background1" w:themeFillShade="F2"/>
                  <w:noWrap/>
                  <w:vAlign w:val="bottom"/>
                  <w:hideMark/>
                </w:tcPr>
                <w:p w:rsidR="00A23C41" w:rsidRPr="000E4530" w:rsidRDefault="00A23C41" w:rsidP="005D72C2">
                  <w:pPr>
                    <w:framePr w:hSpace="141" w:wrap="around" w:vAnchor="text" w:hAnchor="margin" w:xAlign="center" w:y="26"/>
                    <w:spacing w:before="0" w:after="0"/>
                    <w:suppressOverlap/>
                    <w:jc w:val="center"/>
                    <w:rPr>
                      <w:rFonts w:ascii="Arial" w:hAnsi="Arial" w:cs="Arial"/>
                      <w:sz w:val="18"/>
                      <w:szCs w:val="18"/>
                      <w:lang w:eastAsia="it-IT"/>
                    </w:rPr>
                  </w:pPr>
                  <w:r w:rsidRPr="000E4530">
                    <w:rPr>
                      <w:rFonts w:ascii="Arial" w:hAnsi="Arial" w:cs="Arial"/>
                      <w:sz w:val="18"/>
                      <w:szCs w:val="18"/>
                      <w:lang w:eastAsia="it-IT"/>
                    </w:rPr>
                    <w:t>14,989,395</w:t>
                  </w:r>
                </w:p>
              </w:tc>
              <w:tc>
                <w:tcPr>
                  <w:tcW w:w="438" w:type="pct"/>
                  <w:tcBorders>
                    <w:top w:val="nil"/>
                    <w:left w:val="nil"/>
                    <w:bottom w:val="nil"/>
                    <w:right w:val="single" w:sz="12" w:space="0" w:color="1F497D"/>
                  </w:tcBorders>
                  <w:shd w:val="clear" w:color="auto" w:fill="F2F2F2" w:themeFill="background1" w:themeFillShade="F2"/>
                  <w:noWrap/>
                  <w:vAlign w:val="bottom"/>
                  <w:hideMark/>
                </w:tcPr>
                <w:p w:rsidR="00A23C41" w:rsidRPr="000E4530" w:rsidRDefault="00A23C41" w:rsidP="005D72C2">
                  <w:pPr>
                    <w:framePr w:hSpace="141" w:wrap="around" w:vAnchor="text" w:hAnchor="margin" w:xAlign="center" w:y="26"/>
                    <w:spacing w:before="0" w:after="0"/>
                    <w:suppressOverlap/>
                    <w:jc w:val="right"/>
                    <w:rPr>
                      <w:rFonts w:ascii="Arial" w:hAnsi="Arial" w:cs="Arial"/>
                      <w:sz w:val="18"/>
                      <w:szCs w:val="18"/>
                      <w:lang w:eastAsia="it-IT"/>
                    </w:rPr>
                  </w:pPr>
                  <w:r w:rsidRPr="000E4530">
                    <w:rPr>
                      <w:rFonts w:ascii="Arial" w:hAnsi="Arial" w:cs="Arial"/>
                      <w:sz w:val="18"/>
                      <w:szCs w:val="18"/>
                      <w:lang w:eastAsia="it-IT"/>
                    </w:rPr>
                    <w:t>0.7%</w:t>
                  </w:r>
                </w:p>
              </w:tc>
            </w:tr>
            <w:tr w:rsidR="00A23C41" w:rsidRPr="003C7C4A" w:rsidTr="00A23C41">
              <w:trPr>
                <w:trHeight w:val="262"/>
                <w:jc w:val="center"/>
              </w:trPr>
              <w:tc>
                <w:tcPr>
                  <w:tcW w:w="1269" w:type="pct"/>
                  <w:tcBorders>
                    <w:top w:val="nil"/>
                    <w:left w:val="single" w:sz="12" w:space="0" w:color="1F497D"/>
                    <w:bottom w:val="nil"/>
                    <w:right w:val="single" w:sz="4" w:space="0" w:color="1F497D"/>
                  </w:tcBorders>
                  <w:shd w:val="clear" w:color="auto" w:fill="auto"/>
                  <w:noWrap/>
                  <w:vAlign w:val="bottom"/>
                  <w:hideMark/>
                </w:tcPr>
                <w:p w:rsidR="00A23C41" w:rsidRPr="000E4530" w:rsidRDefault="00A23C41" w:rsidP="005D72C2">
                  <w:pPr>
                    <w:framePr w:hSpace="141" w:wrap="around" w:vAnchor="text" w:hAnchor="margin" w:xAlign="center" w:y="26"/>
                    <w:spacing w:before="0" w:after="0"/>
                    <w:suppressOverlap/>
                    <w:jc w:val="left"/>
                    <w:rPr>
                      <w:rFonts w:ascii="Arial" w:hAnsi="Arial" w:cs="Arial"/>
                      <w:sz w:val="18"/>
                      <w:szCs w:val="18"/>
                      <w:lang w:eastAsia="it-IT"/>
                    </w:rPr>
                  </w:pPr>
                  <w:r w:rsidRPr="000E4530">
                    <w:rPr>
                      <w:rFonts w:ascii="Arial" w:hAnsi="Arial" w:cs="Arial"/>
                      <w:sz w:val="18"/>
                      <w:szCs w:val="18"/>
                      <w:lang w:eastAsia="it-IT"/>
                    </w:rPr>
                    <w:t>EIDHR</w:t>
                  </w:r>
                </w:p>
              </w:tc>
              <w:tc>
                <w:tcPr>
                  <w:tcW w:w="874" w:type="pct"/>
                  <w:tcBorders>
                    <w:top w:val="nil"/>
                    <w:left w:val="nil"/>
                    <w:bottom w:val="nil"/>
                    <w:right w:val="single" w:sz="4" w:space="0" w:color="1F497D"/>
                  </w:tcBorders>
                  <w:shd w:val="clear" w:color="auto" w:fill="auto"/>
                  <w:noWrap/>
                  <w:vAlign w:val="bottom"/>
                  <w:hideMark/>
                </w:tcPr>
                <w:p w:rsidR="00A23C41" w:rsidRPr="000E4530" w:rsidRDefault="00A23C41" w:rsidP="005D72C2">
                  <w:pPr>
                    <w:framePr w:hSpace="141" w:wrap="around" w:vAnchor="text" w:hAnchor="margin" w:xAlign="center" w:y="26"/>
                    <w:spacing w:before="0" w:after="0"/>
                    <w:suppressOverlap/>
                    <w:jc w:val="center"/>
                    <w:rPr>
                      <w:rFonts w:ascii="Arial" w:hAnsi="Arial" w:cs="Arial"/>
                      <w:sz w:val="18"/>
                      <w:szCs w:val="18"/>
                      <w:lang w:eastAsia="it-IT"/>
                    </w:rPr>
                  </w:pPr>
                  <w:r w:rsidRPr="000E4530">
                    <w:rPr>
                      <w:rFonts w:ascii="Arial" w:hAnsi="Arial" w:cs="Arial"/>
                      <w:sz w:val="18"/>
                      <w:szCs w:val="18"/>
                      <w:lang w:eastAsia="it-IT"/>
                    </w:rPr>
                    <w:t> </w:t>
                  </w:r>
                </w:p>
              </w:tc>
              <w:tc>
                <w:tcPr>
                  <w:tcW w:w="773" w:type="pct"/>
                  <w:tcBorders>
                    <w:top w:val="nil"/>
                    <w:left w:val="nil"/>
                    <w:bottom w:val="nil"/>
                    <w:right w:val="single" w:sz="4" w:space="0" w:color="1F497D"/>
                  </w:tcBorders>
                  <w:shd w:val="clear" w:color="auto" w:fill="auto"/>
                  <w:noWrap/>
                  <w:vAlign w:val="bottom"/>
                  <w:hideMark/>
                </w:tcPr>
                <w:p w:rsidR="00A23C41" w:rsidRPr="000E4530" w:rsidRDefault="00A23C41" w:rsidP="005D72C2">
                  <w:pPr>
                    <w:framePr w:hSpace="141" w:wrap="around" w:vAnchor="text" w:hAnchor="margin" w:xAlign="center" w:y="26"/>
                    <w:spacing w:before="0" w:after="0"/>
                    <w:suppressOverlap/>
                    <w:jc w:val="center"/>
                    <w:rPr>
                      <w:rFonts w:ascii="Arial" w:hAnsi="Arial" w:cs="Arial"/>
                      <w:sz w:val="18"/>
                      <w:szCs w:val="18"/>
                      <w:lang w:eastAsia="it-IT"/>
                    </w:rPr>
                  </w:pPr>
                  <w:r w:rsidRPr="000E4530">
                    <w:rPr>
                      <w:rFonts w:ascii="Arial" w:hAnsi="Arial" w:cs="Arial"/>
                      <w:sz w:val="18"/>
                      <w:szCs w:val="18"/>
                      <w:lang w:eastAsia="it-IT"/>
                    </w:rPr>
                    <w:t>13,253,736</w:t>
                  </w:r>
                </w:p>
              </w:tc>
              <w:tc>
                <w:tcPr>
                  <w:tcW w:w="773" w:type="pct"/>
                  <w:tcBorders>
                    <w:top w:val="nil"/>
                    <w:left w:val="nil"/>
                    <w:bottom w:val="nil"/>
                    <w:right w:val="single" w:sz="4" w:space="0" w:color="1F497D"/>
                  </w:tcBorders>
                  <w:shd w:val="clear" w:color="auto" w:fill="auto"/>
                  <w:noWrap/>
                  <w:vAlign w:val="bottom"/>
                  <w:hideMark/>
                </w:tcPr>
                <w:p w:rsidR="00A23C41" w:rsidRPr="000E4530" w:rsidRDefault="00A23C41" w:rsidP="005D72C2">
                  <w:pPr>
                    <w:framePr w:hSpace="141" w:wrap="around" w:vAnchor="text" w:hAnchor="margin" w:xAlign="center" w:y="26"/>
                    <w:spacing w:before="0" w:after="0"/>
                    <w:suppressOverlap/>
                    <w:jc w:val="center"/>
                    <w:rPr>
                      <w:rFonts w:ascii="Arial" w:hAnsi="Arial" w:cs="Arial"/>
                      <w:sz w:val="18"/>
                      <w:szCs w:val="18"/>
                      <w:lang w:eastAsia="it-IT"/>
                    </w:rPr>
                  </w:pPr>
                  <w:r w:rsidRPr="000E4530">
                    <w:rPr>
                      <w:rFonts w:ascii="Arial" w:hAnsi="Arial" w:cs="Arial"/>
                      <w:sz w:val="18"/>
                      <w:szCs w:val="18"/>
                      <w:lang w:eastAsia="it-IT"/>
                    </w:rPr>
                    <w:t> </w:t>
                  </w:r>
                </w:p>
              </w:tc>
              <w:tc>
                <w:tcPr>
                  <w:tcW w:w="873" w:type="pct"/>
                  <w:tcBorders>
                    <w:top w:val="nil"/>
                    <w:left w:val="nil"/>
                    <w:bottom w:val="nil"/>
                    <w:right w:val="single" w:sz="4" w:space="0" w:color="1F497D"/>
                  </w:tcBorders>
                  <w:shd w:val="clear" w:color="auto" w:fill="F2F2F2" w:themeFill="background1" w:themeFillShade="F2"/>
                  <w:noWrap/>
                  <w:vAlign w:val="bottom"/>
                  <w:hideMark/>
                </w:tcPr>
                <w:p w:rsidR="00A23C41" w:rsidRPr="000E4530" w:rsidRDefault="00A23C41" w:rsidP="005D72C2">
                  <w:pPr>
                    <w:framePr w:hSpace="141" w:wrap="around" w:vAnchor="text" w:hAnchor="margin" w:xAlign="center" w:y="26"/>
                    <w:spacing w:before="0" w:after="0"/>
                    <w:suppressOverlap/>
                    <w:jc w:val="center"/>
                    <w:rPr>
                      <w:rFonts w:ascii="Arial" w:hAnsi="Arial" w:cs="Arial"/>
                      <w:sz w:val="18"/>
                      <w:szCs w:val="18"/>
                      <w:lang w:eastAsia="it-IT"/>
                    </w:rPr>
                  </w:pPr>
                  <w:r w:rsidRPr="000E4530">
                    <w:rPr>
                      <w:rFonts w:ascii="Arial" w:hAnsi="Arial" w:cs="Arial"/>
                      <w:sz w:val="18"/>
                      <w:szCs w:val="18"/>
                      <w:lang w:eastAsia="it-IT"/>
                    </w:rPr>
                    <w:t>13,253,736</w:t>
                  </w:r>
                </w:p>
              </w:tc>
              <w:tc>
                <w:tcPr>
                  <w:tcW w:w="438" w:type="pct"/>
                  <w:tcBorders>
                    <w:top w:val="nil"/>
                    <w:left w:val="nil"/>
                    <w:bottom w:val="nil"/>
                    <w:right w:val="single" w:sz="12" w:space="0" w:color="1F497D"/>
                  </w:tcBorders>
                  <w:shd w:val="clear" w:color="auto" w:fill="F2F2F2" w:themeFill="background1" w:themeFillShade="F2"/>
                  <w:noWrap/>
                  <w:vAlign w:val="bottom"/>
                  <w:hideMark/>
                </w:tcPr>
                <w:p w:rsidR="00A23C41" w:rsidRPr="000E4530" w:rsidRDefault="00A23C41" w:rsidP="005D72C2">
                  <w:pPr>
                    <w:framePr w:hSpace="141" w:wrap="around" w:vAnchor="text" w:hAnchor="margin" w:xAlign="center" w:y="26"/>
                    <w:spacing w:before="0" w:after="0"/>
                    <w:suppressOverlap/>
                    <w:jc w:val="right"/>
                    <w:rPr>
                      <w:rFonts w:ascii="Arial" w:hAnsi="Arial" w:cs="Arial"/>
                      <w:sz w:val="18"/>
                      <w:szCs w:val="18"/>
                      <w:lang w:eastAsia="it-IT"/>
                    </w:rPr>
                  </w:pPr>
                  <w:r w:rsidRPr="000E4530">
                    <w:rPr>
                      <w:rFonts w:ascii="Arial" w:hAnsi="Arial" w:cs="Arial"/>
                      <w:sz w:val="18"/>
                      <w:szCs w:val="18"/>
                      <w:lang w:eastAsia="it-IT"/>
                    </w:rPr>
                    <w:t>0.6%</w:t>
                  </w:r>
                </w:p>
              </w:tc>
            </w:tr>
            <w:tr w:rsidR="00A23C41" w:rsidRPr="003C7C4A" w:rsidTr="00A23C41">
              <w:trPr>
                <w:trHeight w:val="262"/>
                <w:jc w:val="center"/>
              </w:trPr>
              <w:tc>
                <w:tcPr>
                  <w:tcW w:w="1269" w:type="pct"/>
                  <w:tcBorders>
                    <w:top w:val="nil"/>
                    <w:left w:val="single" w:sz="12" w:space="0" w:color="1F497D"/>
                    <w:bottom w:val="nil"/>
                    <w:right w:val="single" w:sz="4" w:space="0" w:color="1F497D"/>
                  </w:tcBorders>
                  <w:shd w:val="clear" w:color="auto" w:fill="auto"/>
                  <w:noWrap/>
                  <w:vAlign w:val="bottom"/>
                  <w:hideMark/>
                </w:tcPr>
                <w:p w:rsidR="00A23C41" w:rsidRPr="000E4530" w:rsidRDefault="00A23C41" w:rsidP="005D72C2">
                  <w:pPr>
                    <w:framePr w:hSpace="141" w:wrap="around" w:vAnchor="text" w:hAnchor="margin" w:xAlign="center" w:y="26"/>
                    <w:spacing w:before="0" w:after="0"/>
                    <w:suppressOverlap/>
                    <w:jc w:val="left"/>
                    <w:rPr>
                      <w:rFonts w:ascii="Arial" w:hAnsi="Arial" w:cs="Arial"/>
                      <w:sz w:val="18"/>
                      <w:szCs w:val="18"/>
                      <w:lang w:eastAsia="it-IT"/>
                    </w:rPr>
                  </w:pPr>
                  <w:r w:rsidRPr="000E4530">
                    <w:rPr>
                      <w:rFonts w:ascii="Arial" w:hAnsi="Arial" w:cs="Arial"/>
                      <w:sz w:val="18"/>
                      <w:szCs w:val="18"/>
                      <w:lang w:eastAsia="it-IT"/>
                    </w:rPr>
                    <w:t>DCI-GENRE</w:t>
                  </w:r>
                </w:p>
              </w:tc>
              <w:tc>
                <w:tcPr>
                  <w:tcW w:w="874" w:type="pct"/>
                  <w:tcBorders>
                    <w:top w:val="nil"/>
                    <w:left w:val="nil"/>
                    <w:bottom w:val="nil"/>
                    <w:right w:val="single" w:sz="4" w:space="0" w:color="1F497D"/>
                  </w:tcBorders>
                  <w:shd w:val="clear" w:color="auto" w:fill="auto"/>
                  <w:noWrap/>
                  <w:vAlign w:val="bottom"/>
                  <w:hideMark/>
                </w:tcPr>
                <w:p w:rsidR="00A23C41" w:rsidRPr="000E4530" w:rsidRDefault="00A23C41" w:rsidP="005D72C2">
                  <w:pPr>
                    <w:framePr w:hSpace="141" w:wrap="around" w:vAnchor="text" w:hAnchor="margin" w:xAlign="center" w:y="26"/>
                    <w:spacing w:before="0" w:after="0"/>
                    <w:suppressOverlap/>
                    <w:jc w:val="center"/>
                    <w:rPr>
                      <w:rFonts w:ascii="Arial" w:hAnsi="Arial" w:cs="Arial"/>
                      <w:sz w:val="18"/>
                      <w:szCs w:val="18"/>
                      <w:lang w:eastAsia="it-IT"/>
                    </w:rPr>
                  </w:pPr>
                  <w:r w:rsidRPr="000E4530">
                    <w:rPr>
                      <w:rFonts w:ascii="Arial" w:hAnsi="Arial" w:cs="Arial"/>
                      <w:sz w:val="18"/>
                      <w:szCs w:val="18"/>
                      <w:lang w:eastAsia="it-IT"/>
                    </w:rPr>
                    <w:t> </w:t>
                  </w:r>
                </w:p>
              </w:tc>
              <w:tc>
                <w:tcPr>
                  <w:tcW w:w="773" w:type="pct"/>
                  <w:tcBorders>
                    <w:top w:val="nil"/>
                    <w:left w:val="nil"/>
                    <w:bottom w:val="nil"/>
                    <w:right w:val="single" w:sz="4" w:space="0" w:color="1F497D"/>
                  </w:tcBorders>
                  <w:shd w:val="clear" w:color="auto" w:fill="auto"/>
                  <w:noWrap/>
                  <w:vAlign w:val="bottom"/>
                  <w:hideMark/>
                </w:tcPr>
                <w:p w:rsidR="00A23C41" w:rsidRPr="000E4530" w:rsidRDefault="00A23C41" w:rsidP="005D72C2">
                  <w:pPr>
                    <w:framePr w:hSpace="141" w:wrap="around" w:vAnchor="text" w:hAnchor="margin" w:xAlign="center" w:y="26"/>
                    <w:spacing w:before="0" w:after="0"/>
                    <w:suppressOverlap/>
                    <w:jc w:val="center"/>
                    <w:rPr>
                      <w:rFonts w:ascii="Arial" w:hAnsi="Arial" w:cs="Arial"/>
                      <w:sz w:val="18"/>
                      <w:szCs w:val="18"/>
                      <w:lang w:eastAsia="it-IT"/>
                    </w:rPr>
                  </w:pPr>
                  <w:r w:rsidRPr="000E4530">
                    <w:rPr>
                      <w:rFonts w:ascii="Arial" w:hAnsi="Arial" w:cs="Arial"/>
                      <w:sz w:val="18"/>
                      <w:szCs w:val="18"/>
                      <w:lang w:eastAsia="it-IT"/>
                    </w:rPr>
                    <w:t>6,386,118</w:t>
                  </w:r>
                </w:p>
              </w:tc>
              <w:tc>
                <w:tcPr>
                  <w:tcW w:w="773" w:type="pct"/>
                  <w:tcBorders>
                    <w:top w:val="nil"/>
                    <w:left w:val="nil"/>
                    <w:bottom w:val="nil"/>
                    <w:right w:val="single" w:sz="4" w:space="0" w:color="1F497D"/>
                  </w:tcBorders>
                  <w:shd w:val="clear" w:color="auto" w:fill="auto"/>
                  <w:noWrap/>
                  <w:vAlign w:val="bottom"/>
                  <w:hideMark/>
                </w:tcPr>
                <w:p w:rsidR="00A23C41" w:rsidRPr="000E4530" w:rsidRDefault="00A23C41" w:rsidP="005D72C2">
                  <w:pPr>
                    <w:framePr w:hSpace="141" w:wrap="around" w:vAnchor="text" w:hAnchor="margin" w:xAlign="center" w:y="26"/>
                    <w:spacing w:before="0" w:after="0"/>
                    <w:suppressOverlap/>
                    <w:jc w:val="center"/>
                    <w:rPr>
                      <w:rFonts w:ascii="Arial" w:hAnsi="Arial" w:cs="Arial"/>
                      <w:sz w:val="18"/>
                      <w:szCs w:val="18"/>
                      <w:lang w:eastAsia="it-IT"/>
                    </w:rPr>
                  </w:pPr>
                  <w:r w:rsidRPr="000E4530">
                    <w:rPr>
                      <w:rFonts w:ascii="Arial" w:hAnsi="Arial" w:cs="Arial"/>
                      <w:sz w:val="18"/>
                      <w:szCs w:val="18"/>
                      <w:lang w:eastAsia="it-IT"/>
                    </w:rPr>
                    <w:t> </w:t>
                  </w:r>
                </w:p>
              </w:tc>
              <w:tc>
                <w:tcPr>
                  <w:tcW w:w="873" w:type="pct"/>
                  <w:tcBorders>
                    <w:top w:val="nil"/>
                    <w:left w:val="nil"/>
                    <w:bottom w:val="nil"/>
                    <w:right w:val="single" w:sz="4" w:space="0" w:color="1F497D"/>
                  </w:tcBorders>
                  <w:shd w:val="clear" w:color="auto" w:fill="F2F2F2" w:themeFill="background1" w:themeFillShade="F2"/>
                  <w:noWrap/>
                  <w:vAlign w:val="bottom"/>
                  <w:hideMark/>
                </w:tcPr>
                <w:p w:rsidR="00A23C41" w:rsidRPr="000E4530" w:rsidRDefault="00A23C41" w:rsidP="005D72C2">
                  <w:pPr>
                    <w:framePr w:hSpace="141" w:wrap="around" w:vAnchor="text" w:hAnchor="margin" w:xAlign="center" w:y="26"/>
                    <w:spacing w:before="0" w:after="0"/>
                    <w:suppressOverlap/>
                    <w:jc w:val="center"/>
                    <w:rPr>
                      <w:rFonts w:ascii="Arial" w:hAnsi="Arial" w:cs="Arial"/>
                      <w:sz w:val="18"/>
                      <w:szCs w:val="18"/>
                      <w:lang w:eastAsia="it-IT"/>
                    </w:rPr>
                  </w:pPr>
                  <w:r w:rsidRPr="000E4530">
                    <w:rPr>
                      <w:rFonts w:ascii="Arial" w:hAnsi="Arial" w:cs="Arial"/>
                      <w:sz w:val="18"/>
                      <w:szCs w:val="18"/>
                      <w:lang w:eastAsia="it-IT"/>
                    </w:rPr>
                    <w:t>6,386,118</w:t>
                  </w:r>
                </w:p>
              </w:tc>
              <w:tc>
                <w:tcPr>
                  <w:tcW w:w="438" w:type="pct"/>
                  <w:tcBorders>
                    <w:top w:val="nil"/>
                    <w:left w:val="nil"/>
                    <w:bottom w:val="nil"/>
                    <w:right w:val="single" w:sz="12" w:space="0" w:color="1F497D"/>
                  </w:tcBorders>
                  <w:shd w:val="clear" w:color="auto" w:fill="F2F2F2" w:themeFill="background1" w:themeFillShade="F2"/>
                  <w:noWrap/>
                  <w:vAlign w:val="bottom"/>
                  <w:hideMark/>
                </w:tcPr>
                <w:p w:rsidR="00A23C41" w:rsidRPr="000E4530" w:rsidRDefault="00A23C41" w:rsidP="005D72C2">
                  <w:pPr>
                    <w:framePr w:hSpace="141" w:wrap="around" w:vAnchor="text" w:hAnchor="margin" w:xAlign="center" w:y="26"/>
                    <w:spacing w:before="0" w:after="0"/>
                    <w:suppressOverlap/>
                    <w:jc w:val="right"/>
                    <w:rPr>
                      <w:rFonts w:ascii="Arial" w:hAnsi="Arial" w:cs="Arial"/>
                      <w:sz w:val="18"/>
                      <w:szCs w:val="18"/>
                      <w:lang w:eastAsia="it-IT"/>
                    </w:rPr>
                  </w:pPr>
                  <w:r w:rsidRPr="000E4530">
                    <w:rPr>
                      <w:rFonts w:ascii="Arial" w:hAnsi="Arial" w:cs="Arial"/>
                      <w:sz w:val="18"/>
                      <w:szCs w:val="18"/>
                      <w:lang w:eastAsia="it-IT"/>
                    </w:rPr>
                    <w:t>0.3%</w:t>
                  </w:r>
                </w:p>
              </w:tc>
            </w:tr>
            <w:tr w:rsidR="00A23C41" w:rsidRPr="003C7C4A" w:rsidTr="00A23C41">
              <w:trPr>
                <w:trHeight w:val="262"/>
                <w:jc w:val="center"/>
              </w:trPr>
              <w:tc>
                <w:tcPr>
                  <w:tcW w:w="1269" w:type="pct"/>
                  <w:tcBorders>
                    <w:top w:val="nil"/>
                    <w:left w:val="single" w:sz="12" w:space="0" w:color="1F497D"/>
                    <w:bottom w:val="nil"/>
                    <w:right w:val="single" w:sz="4" w:space="0" w:color="1F497D"/>
                  </w:tcBorders>
                  <w:shd w:val="clear" w:color="auto" w:fill="auto"/>
                  <w:noWrap/>
                  <w:vAlign w:val="bottom"/>
                  <w:hideMark/>
                </w:tcPr>
                <w:p w:rsidR="00A23C41" w:rsidRPr="000E4530" w:rsidRDefault="00A23C41" w:rsidP="005D72C2">
                  <w:pPr>
                    <w:framePr w:hSpace="141" w:wrap="around" w:vAnchor="text" w:hAnchor="margin" w:xAlign="center" w:y="26"/>
                    <w:spacing w:before="0" w:after="0"/>
                    <w:suppressOverlap/>
                    <w:jc w:val="left"/>
                    <w:rPr>
                      <w:rFonts w:ascii="Arial" w:hAnsi="Arial" w:cs="Arial"/>
                      <w:sz w:val="18"/>
                      <w:szCs w:val="18"/>
                      <w:lang w:eastAsia="it-IT"/>
                    </w:rPr>
                  </w:pPr>
                  <w:r w:rsidRPr="000E4530">
                    <w:rPr>
                      <w:rFonts w:ascii="Arial" w:hAnsi="Arial" w:cs="Arial"/>
                      <w:sz w:val="18"/>
                      <w:szCs w:val="18"/>
                      <w:lang w:eastAsia="it-IT"/>
                    </w:rPr>
                    <w:t>DCI-HUM</w:t>
                  </w:r>
                </w:p>
              </w:tc>
              <w:tc>
                <w:tcPr>
                  <w:tcW w:w="874" w:type="pct"/>
                  <w:tcBorders>
                    <w:top w:val="nil"/>
                    <w:left w:val="nil"/>
                    <w:bottom w:val="nil"/>
                    <w:right w:val="single" w:sz="4" w:space="0" w:color="1F497D"/>
                  </w:tcBorders>
                  <w:shd w:val="clear" w:color="auto" w:fill="auto"/>
                  <w:noWrap/>
                  <w:vAlign w:val="bottom"/>
                  <w:hideMark/>
                </w:tcPr>
                <w:p w:rsidR="00A23C41" w:rsidRPr="000E4530" w:rsidRDefault="00A23C41" w:rsidP="005D72C2">
                  <w:pPr>
                    <w:framePr w:hSpace="141" w:wrap="around" w:vAnchor="text" w:hAnchor="margin" w:xAlign="center" w:y="26"/>
                    <w:spacing w:before="0" w:after="0"/>
                    <w:suppressOverlap/>
                    <w:jc w:val="center"/>
                    <w:rPr>
                      <w:rFonts w:ascii="Arial" w:hAnsi="Arial" w:cs="Arial"/>
                      <w:sz w:val="18"/>
                      <w:szCs w:val="18"/>
                      <w:lang w:eastAsia="it-IT"/>
                    </w:rPr>
                  </w:pPr>
                  <w:r w:rsidRPr="000E4530">
                    <w:rPr>
                      <w:rFonts w:ascii="Arial" w:hAnsi="Arial" w:cs="Arial"/>
                      <w:sz w:val="18"/>
                      <w:szCs w:val="18"/>
                      <w:lang w:eastAsia="it-IT"/>
                    </w:rPr>
                    <w:t> </w:t>
                  </w:r>
                </w:p>
              </w:tc>
              <w:tc>
                <w:tcPr>
                  <w:tcW w:w="773" w:type="pct"/>
                  <w:tcBorders>
                    <w:top w:val="nil"/>
                    <w:left w:val="nil"/>
                    <w:bottom w:val="nil"/>
                    <w:right w:val="single" w:sz="4" w:space="0" w:color="1F497D"/>
                  </w:tcBorders>
                  <w:shd w:val="clear" w:color="auto" w:fill="auto"/>
                  <w:noWrap/>
                  <w:vAlign w:val="bottom"/>
                  <w:hideMark/>
                </w:tcPr>
                <w:p w:rsidR="00A23C41" w:rsidRPr="000E4530" w:rsidRDefault="00A23C41" w:rsidP="005D72C2">
                  <w:pPr>
                    <w:framePr w:hSpace="141" w:wrap="around" w:vAnchor="text" w:hAnchor="margin" w:xAlign="center" w:y="26"/>
                    <w:spacing w:before="0" w:after="0"/>
                    <w:suppressOverlap/>
                    <w:jc w:val="center"/>
                    <w:rPr>
                      <w:rFonts w:ascii="Arial" w:hAnsi="Arial" w:cs="Arial"/>
                      <w:sz w:val="18"/>
                      <w:szCs w:val="18"/>
                      <w:lang w:eastAsia="it-IT"/>
                    </w:rPr>
                  </w:pPr>
                  <w:r w:rsidRPr="000E4530">
                    <w:rPr>
                      <w:rFonts w:ascii="Arial" w:hAnsi="Arial" w:cs="Arial"/>
                      <w:sz w:val="18"/>
                      <w:szCs w:val="18"/>
                      <w:lang w:eastAsia="it-IT"/>
                    </w:rPr>
                    <w:t>3,311,072</w:t>
                  </w:r>
                </w:p>
              </w:tc>
              <w:tc>
                <w:tcPr>
                  <w:tcW w:w="773" w:type="pct"/>
                  <w:tcBorders>
                    <w:top w:val="nil"/>
                    <w:left w:val="nil"/>
                    <w:bottom w:val="nil"/>
                    <w:right w:val="single" w:sz="4" w:space="0" w:color="1F497D"/>
                  </w:tcBorders>
                  <w:shd w:val="clear" w:color="auto" w:fill="auto"/>
                  <w:noWrap/>
                  <w:vAlign w:val="bottom"/>
                  <w:hideMark/>
                </w:tcPr>
                <w:p w:rsidR="00A23C41" w:rsidRPr="000E4530" w:rsidRDefault="00A23C41" w:rsidP="005D72C2">
                  <w:pPr>
                    <w:framePr w:hSpace="141" w:wrap="around" w:vAnchor="text" w:hAnchor="margin" w:xAlign="center" w:y="26"/>
                    <w:spacing w:before="0" w:after="0"/>
                    <w:suppressOverlap/>
                    <w:jc w:val="center"/>
                    <w:rPr>
                      <w:rFonts w:ascii="Arial" w:hAnsi="Arial" w:cs="Arial"/>
                      <w:sz w:val="18"/>
                      <w:szCs w:val="18"/>
                      <w:lang w:eastAsia="it-IT"/>
                    </w:rPr>
                  </w:pPr>
                  <w:r w:rsidRPr="000E4530">
                    <w:rPr>
                      <w:rFonts w:ascii="Arial" w:hAnsi="Arial" w:cs="Arial"/>
                      <w:sz w:val="18"/>
                      <w:szCs w:val="18"/>
                      <w:lang w:eastAsia="it-IT"/>
                    </w:rPr>
                    <w:t> </w:t>
                  </w:r>
                </w:p>
              </w:tc>
              <w:tc>
                <w:tcPr>
                  <w:tcW w:w="873" w:type="pct"/>
                  <w:tcBorders>
                    <w:top w:val="nil"/>
                    <w:left w:val="nil"/>
                    <w:bottom w:val="nil"/>
                    <w:right w:val="single" w:sz="4" w:space="0" w:color="1F497D"/>
                  </w:tcBorders>
                  <w:shd w:val="clear" w:color="auto" w:fill="F2F2F2" w:themeFill="background1" w:themeFillShade="F2"/>
                  <w:noWrap/>
                  <w:vAlign w:val="bottom"/>
                  <w:hideMark/>
                </w:tcPr>
                <w:p w:rsidR="00A23C41" w:rsidRPr="000E4530" w:rsidRDefault="00A23C41" w:rsidP="005D72C2">
                  <w:pPr>
                    <w:framePr w:hSpace="141" w:wrap="around" w:vAnchor="text" w:hAnchor="margin" w:xAlign="center" w:y="26"/>
                    <w:spacing w:before="0" w:after="0"/>
                    <w:suppressOverlap/>
                    <w:jc w:val="center"/>
                    <w:rPr>
                      <w:rFonts w:ascii="Arial" w:hAnsi="Arial" w:cs="Arial"/>
                      <w:sz w:val="18"/>
                      <w:szCs w:val="18"/>
                      <w:lang w:eastAsia="it-IT"/>
                    </w:rPr>
                  </w:pPr>
                  <w:r w:rsidRPr="000E4530">
                    <w:rPr>
                      <w:rFonts w:ascii="Arial" w:hAnsi="Arial" w:cs="Arial"/>
                      <w:sz w:val="18"/>
                      <w:szCs w:val="18"/>
                      <w:lang w:eastAsia="it-IT"/>
                    </w:rPr>
                    <w:t>3,311,072</w:t>
                  </w:r>
                </w:p>
              </w:tc>
              <w:tc>
                <w:tcPr>
                  <w:tcW w:w="438" w:type="pct"/>
                  <w:tcBorders>
                    <w:top w:val="nil"/>
                    <w:left w:val="nil"/>
                    <w:bottom w:val="nil"/>
                    <w:right w:val="single" w:sz="12" w:space="0" w:color="1F497D"/>
                  </w:tcBorders>
                  <w:shd w:val="clear" w:color="auto" w:fill="F2F2F2" w:themeFill="background1" w:themeFillShade="F2"/>
                  <w:noWrap/>
                  <w:vAlign w:val="bottom"/>
                  <w:hideMark/>
                </w:tcPr>
                <w:p w:rsidR="00A23C41" w:rsidRPr="000E4530" w:rsidRDefault="00A23C41" w:rsidP="005D72C2">
                  <w:pPr>
                    <w:framePr w:hSpace="141" w:wrap="around" w:vAnchor="text" w:hAnchor="margin" w:xAlign="center" w:y="26"/>
                    <w:spacing w:before="0" w:after="0"/>
                    <w:suppressOverlap/>
                    <w:jc w:val="right"/>
                    <w:rPr>
                      <w:rFonts w:ascii="Arial" w:hAnsi="Arial" w:cs="Arial"/>
                      <w:sz w:val="18"/>
                      <w:szCs w:val="18"/>
                      <w:lang w:eastAsia="it-IT"/>
                    </w:rPr>
                  </w:pPr>
                  <w:r w:rsidRPr="000E4530">
                    <w:rPr>
                      <w:rFonts w:ascii="Arial" w:hAnsi="Arial" w:cs="Arial"/>
                      <w:sz w:val="18"/>
                      <w:szCs w:val="18"/>
                      <w:lang w:eastAsia="it-IT"/>
                    </w:rPr>
                    <w:t>0.2%</w:t>
                  </w:r>
                </w:p>
              </w:tc>
            </w:tr>
            <w:tr w:rsidR="00A23C41" w:rsidRPr="003C7C4A" w:rsidTr="00A23C41">
              <w:trPr>
                <w:trHeight w:val="262"/>
                <w:jc w:val="center"/>
              </w:trPr>
              <w:tc>
                <w:tcPr>
                  <w:tcW w:w="1269" w:type="pct"/>
                  <w:tcBorders>
                    <w:top w:val="nil"/>
                    <w:left w:val="single" w:sz="12" w:space="0" w:color="1F497D"/>
                    <w:bottom w:val="nil"/>
                    <w:right w:val="single" w:sz="4" w:space="0" w:color="1F497D"/>
                  </w:tcBorders>
                  <w:shd w:val="clear" w:color="auto" w:fill="auto"/>
                  <w:noWrap/>
                  <w:vAlign w:val="bottom"/>
                  <w:hideMark/>
                </w:tcPr>
                <w:p w:rsidR="00A23C41" w:rsidRPr="000E4530" w:rsidRDefault="00A23C41" w:rsidP="005D72C2">
                  <w:pPr>
                    <w:framePr w:hSpace="141" w:wrap="around" w:vAnchor="text" w:hAnchor="margin" w:xAlign="center" w:y="26"/>
                    <w:spacing w:before="0" w:after="0"/>
                    <w:suppressOverlap/>
                    <w:jc w:val="left"/>
                    <w:rPr>
                      <w:rFonts w:ascii="Arial" w:hAnsi="Arial" w:cs="Arial"/>
                      <w:sz w:val="18"/>
                      <w:szCs w:val="18"/>
                      <w:lang w:eastAsia="it-IT"/>
                    </w:rPr>
                  </w:pPr>
                  <w:r w:rsidRPr="000E4530">
                    <w:rPr>
                      <w:rFonts w:ascii="Arial" w:hAnsi="Arial" w:cs="Arial"/>
                      <w:sz w:val="18"/>
                      <w:szCs w:val="18"/>
                      <w:lang w:eastAsia="it-IT"/>
                    </w:rPr>
                    <w:t>DCI-ENV</w:t>
                  </w:r>
                </w:p>
              </w:tc>
              <w:tc>
                <w:tcPr>
                  <w:tcW w:w="874" w:type="pct"/>
                  <w:tcBorders>
                    <w:top w:val="nil"/>
                    <w:left w:val="nil"/>
                    <w:bottom w:val="nil"/>
                    <w:right w:val="single" w:sz="4" w:space="0" w:color="1F497D"/>
                  </w:tcBorders>
                  <w:shd w:val="clear" w:color="auto" w:fill="auto"/>
                  <w:noWrap/>
                  <w:vAlign w:val="bottom"/>
                  <w:hideMark/>
                </w:tcPr>
                <w:p w:rsidR="00A23C41" w:rsidRPr="000E4530" w:rsidRDefault="00A23C41" w:rsidP="005D72C2">
                  <w:pPr>
                    <w:framePr w:hSpace="141" w:wrap="around" w:vAnchor="text" w:hAnchor="margin" w:xAlign="center" w:y="26"/>
                    <w:spacing w:before="0" w:after="0"/>
                    <w:suppressOverlap/>
                    <w:jc w:val="center"/>
                    <w:rPr>
                      <w:rFonts w:ascii="Arial" w:hAnsi="Arial" w:cs="Arial"/>
                      <w:sz w:val="18"/>
                      <w:szCs w:val="18"/>
                      <w:lang w:eastAsia="it-IT"/>
                    </w:rPr>
                  </w:pPr>
                  <w:r w:rsidRPr="000E4530">
                    <w:rPr>
                      <w:rFonts w:ascii="Arial" w:hAnsi="Arial" w:cs="Arial"/>
                      <w:sz w:val="18"/>
                      <w:szCs w:val="18"/>
                      <w:lang w:eastAsia="it-IT"/>
                    </w:rPr>
                    <w:t> </w:t>
                  </w:r>
                </w:p>
              </w:tc>
              <w:tc>
                <w:tcPr>
                  <w:tcW w:w="773" w:type="pct"/>
                  <w:tcBorders>
                    <w:top w:val="nil"/>
                    <w:left w:val="nil"/>
                    <w:bottom w:val="nil"/>
                    <w:right w:val="single" w:sz="4" w:space="0" w:color="1F497D"/>
                  </w:tcBorders>
                  <w:shd w:val="clear" w:color="auto" w:fill="auto"/>
                  <w:noWrap/>
                  <w:vAlign w:val="bottom"/>
                  <w:hideMark/>
                </w:tcPr>
                <w:p w:rsidR="00A23C41" w:rsidRPr="000E4530" w:rsidRDefault="00A23C41" w:rsidP="005D72C2">
                  <w:pPr>
                    <w:framePr w:hSpace="141" w:wrap="around" w:vAnchor="text" w:hAnchor="margin" w:xAlign="center" w:y="26"/>
                    <w:spacing w:before="0" w:after="0"/>
                    <w:suppressOverlap/>
                    <w:jc w:val="center"/>
                    <w:rPr>
                      <w:rFonts w:ascii="Arial" w:hAnsi="Arial" w:cs="Arial"/>
                      <w:sz w:val="18"/>
                      <w:szCs w:val="18"/>
                      <w:lang w:eastAsia="it-IT"/>
                    </w:rPr>
                  </w:pPr>
                  <w:r w:rsidRPr="000E4530">
                    <w:rPr>
                      <w:rFonts w:ascii="Arial" w:hAnsi="Arial" w:cs="Arial"/>
                      <w:sz w:val="18"/>
                      <w:szCs w:val="18"/>
                      <w:lang w:eastAsia="it-IT"/>
                    </w:rPr>
                    <w:t>1,309,440</w:t>
                  </w:r>
                </w:p>
              </w:tc>
              <w:tc>
                <w:tcPr>
                  <w:tcW w:w="773" w:type="pct"/>
                  <w:tcBorders>
                    <w:top w:val="nil"/>
                    <w:left w:val="nil"/>
                    <w:bottom w:val="nil"/>
                    <w:right w:val="single" w:sz="4" w:space="0" w:color="1F497D"/>
                  </w:tcBorders>
                  <w:shd w:val="clear" w:color="auto" w:fill="auto"/>
                  <w:noWrap/>
                  <w:vAlign w:val="bottom"/>
                  <w:hideMark/>
                </w:tcPr>
                <w:p w:rsidR="00A23C41" w:rsidRPr="000E4530" w:rsidRDefault="00A23C41" w:rsidP="005D72C2">
                  <w:pPr>
                    <w:framePr w:hSpace="141" w:wrap="around" w:vAnchor="text" w:hAnchor="margin" w:xAlign="center" w:y="26"/>
                    <w:spacing w:before="0" w:after="0"/>
                    <w:suppressOverlap/>
                    <w:jc w:val="center"/>
                    <w:rPr>
                      <w:rFonts w:ascii="Arial" w:hAnsi="Arial" w:cs="Arial"/>
                      <w:sz w:val="18"/>
                      <w:szCs w:val="18"/>
                      <w:lang w:eastAsia="it-IT"/>
                    </w:rPr>
                  </w:pPr>
                  <w:r w:rsidRPr="000E4530">
                    <w:rPr>
                      <w:rFonts w:ascii="Arial" w:hAnsi="Arial" w:cs="Arial"/>
                      <w:sz w:val="18"/>
                      <w:szCs w:val="18"/>
                      <w:lang w:eastAsia="it-IT"/>
                    </w:rPr>
                    <w:t> </w:t>
                  </w:r>
                </w:p>
              </w:tc>
              <w:tc>
                <w:tcPr>
                  <w:tcW w:w="873" w:type="pct"/>
                  <w:tcBorders>
                    <w:top w:val="nil"/>
                    <w:left w:val="nil"/>
                    <w:bottom w:val="nil"/>
                    <w:right w:val="single" w:sz="4" w:space="0" w:color="1F497D"/>
                  </w:tcBorders>
                  <w:shd w:val="clear" w:color="auto" w:fill="F2F2F2" w:themeFill="background1" w:themeFillShade="F2"/>
                  <w:noWrap/>
                  <w:vAlign w:val="bottom"/>
                  <w:hideMark/>
                </w:tcPr>
                <w:p w:rsidR="00A23C41" w:rsidRPr="000E4530" w:rsidRDefault="00A23C41" w:rsidP="005D72C2">
                  <w:pPr>
                    <w:framePr w:hSpace="141" w:wrap="around" w:vAnchor="text" w:hAnchor="margin" w:xAlign="center" w:y="26"/>
                    <w:spacing w:before="0" w:after="0"/>
                    <w:suppressOverlap/>
                    <w:jc w:val="center"/>
                    <w:rPr>
                      <w:rFonts w:ascii="Arial" w:hAnsi="Arial" w:cs="Arial"/>
                      <w:sz w:val="18"/>
                      <w:szCs w:val="18"/>
                      <w:lang w:eastAsia="it-IT"/>
                    </w:rPr>
                  </w:pPr>
                  <w:r w:rsidRPr="000E4530">
                    <w:rPr>
                      <w:rFonts w:ascii="Arial" w:hAnsi="Arial" w:cs="Arial"/>
                      <w:sz w:val="18"/>
                      <w:szCs w:val="18"/>
                      <w:lang w:eastAsia="it-IT"/>
                    </w:rPr>
                    <w:t>1,309,440</w:t>
                  </w:r>
                </w:p>
              </w:tc>
              <w:tc>
                <w:tcPr>
                  <w:tcW w:w="438" w:type="pct"/>
                  <w:tcBorders>
                    <w:top w:val="nil"/>
                    <w:left w:val="nil"/>
                    <w:bottom w:val="nil"/>
                    <w:right w:val="single" w:sz="12" w:space="0" w:color="1F497D"/>
                  </w:tcBorders>
                  <w:shd w:val="clear" w:color="auto" w:fill="F2F2F2" w:themeFill="background1" w:themeFillShade="F2"/>
                  <w:noWrap/>
                  <w:vAlign w:val="bottom"/>
                  <w:hideMark/>
                </w:tcPr>
                <w:p w:rsidR="00A23C41" w:rsidRPr="000E4530" w:rsidRDefault="00A23C41" w:rsidP="005D72C2">
                  <w:pPr>
                    <w:framePr w:hSpace="141" w:wrap="around" w:vAnchor="text" w:hAnchor="margin" w:xAlign="center" w:y="26"/>
                    <w:spacing w:before="0" w:after="0"/>
                    <w:suppressOverlap/>
                    <w:jc w:val="right"/>
                    <w:rPr>
                      <w:rFonts w:ascii="Arial" w:hAnsi="Arial" w:cs="Arial"/>
                      <w:sz w:val="18"/>
                      <w:szCs w:val="18"/>
                      <w:lang w:eastAsia="it-IT"/>
                    </w:rPr>
                  </w:pPr>
                  <w:r w:rsidRPr="000E4530">
                    <w:rPr>
                      <w:rFonts w:ascii="Arial" w:hAnsi="Arial" w:cs="Arial"/>
                      <w:sz w:val="18"/>
                      <w:szCs w:val="18"/>
                      <w:lang w:eastAsia="it-IT"/>
                    </w:rPr>
                    <w:t>0.1%</w:t>
                  </w:r>
                </w:p>
              </w:tc>
            </w:tr>
            <w:tr w:rsidR="00A23C41" w:rsidRPr="003C7C4A" w:rsidTr="00A23C41">
              <w:trPr>
                <w:trHeight w:val="262"/>
                <w:jc w:val="center"/>
              </w:trPr>
              <w:tc>
                <w:tcPr>
                  <w:tcW w:w="1269" w:type="pct"/>
                  <w:tcBorders>
                    <w:top w:val="nil"/>
                    <w:left w:val="single" w:sz="12" w:space="0" w:color="1F497D"/>
                    <w:bottom w:val="nil"/>
                    <w:right w:val="single" w:sz="4" w:space="0" w:color="1F497D"/>
                  </w:tcBorders>
                  <w:shd w:val="clear" w:color="auto" w:fill="auto"/>
                  <w:noWrap/>
                  <w:vAlign w:val="bottom"/>
                  <w:hideMark/>
                </w:tcPr>
                <w:p w:rsidR="00A23C41" w:rsidRPr="000E4530" w:rsidRDefault="00A23C41" w:rsidP="005D72C2">
                  <w:pPr>
                    <w:framePr w:hSpace="141" w:wrap="around" w:vAnchor="text" w:hAnchor="margin" w:xAlign="center" w:y="26"/>
                    <w:spacing w:before="0" w:after="0"/>
                    <w:suppressOverlap/>
                    <w:jc w:val="left"/>
                    <w:rPr>
                      <w:rFonts w:ascii="Arial" w:hAnsi="Arial" w:cs="Arial"/>
                      <w:sz w:val="18"/>
                      <w:szCs w:val="18"/>
                      <w:lang w:eastAsia="it-IT"/>
                    </w:rPr>
                  </w:pPr>
                  <w:r w:rsidRPr="000E4530">
                    <w:rPr>
                      <w:rFonts w:ascii="Arial" w:hAnsi="Arial" w:cs="Arial"/>
                      <w:sz w:val="18"/>
                      <w:szCs w:val="18"/>
                      <w:lang w:eastAsia="it-IT"/>
                    </w:rPr>
                    <w:t>DCI-MIGR</w:t>
                  </w:r>
                </w:p>
              </w:tc>
              <w:tc>
                <w:tcPr>
                  <w:tcW w:w="874" w:type="pct"/>
                  <w:tcBorders>
                    <w:top w:val="nil"/>
                    <w:left w:val="nil"/>
                    <w:bottom w:val="nil"/>
                    <w:right w:val="single" w:sz="4" w:space="0" w:color="1F497D"/>
                  </w:tcBorders>
                  <w:shd w:val="clear" w:color="auto" w:fill="auto"/>
                  <w:noWrap/>
                  <w:vAlign w:val="bottom"/>
                  <w:hideMark/>
                </w:tcPr>
                <w:p w:rsidR="00A23C41" w:rsidRPr="000E4530" w:rsidRDefault="00A23C41" w:rsidP="005D72C2">
                  <w:pPr>
                    <w:framePr w:hSpace="141" w:wrap="around" w:vAnchor="text" w:hAnchor="margin" w:xAlign="center" w:y="26"/>
                    <w:spacing w:before="0" w:after="0"/>
                    <w:suppressOverlap/>
                    <w:jc w:val="center"/>
                    <w:rPr>
                      <w:rFonts w:ascii="Arial" w:hAnsi="Arial" w:cs="Arial"/>
                      <w:sz w:val="18"/>
                      <w:szCs w:val="18"/>
                      <w:lang w:eastAsia="it-IT"/>
                    </w:rPr>
                  </w:pPr>
                  <w:r w:rsidRPr="000E4530">
                    <w:rPr>
                      <w:rFonts w:ascii="Arial" w:hAnsi="Arial" w:cs="Arial"/>
                      <w:sz w:val="18"/>
                      <w:szCs w:val="18"/>
                      <w:lang w:eastAsia="it-IT"/>
                    </w:rPr>
                    <w:t> </w:t>
                  </w:r>
                </w:p>
              </w:tc>
              <w:tc>
                <w:tcPr>
                  <w:tcW w:w="773" w:type="pct"/>
                  <w:tcBorders>
                    <w:top w:val="nil"/>
                    <w:left w:val="nil"/>
                    <w:bottom w:val="nil"/>
                    <w:right w:val="single" w:sz="4" w:space="0" w:color="1F497D"/>
                  </w:tcBorders>
                  <w:shd w:val="clear" w:color="auto" w:fill="auto"/>
                  <w:noWrap/>
                  <w:vAlign w:val="bottom"/>
                  <w:hideMark/>
                </w:tcPr>
                <w:p w:rsidR="00A23C41" w:rsidRPr="000E4530" w:rsidRDefault="00A23C41" w:rsidP="005D72C2">
                  <w:pPr>
                    <w:framePr w:hSpace="141" w:wrap="around" w:vAnchor="text" w:hAnchor="margin" w:xAlign="center" w:y="26"/>
                    <w:spacing w:before="0" w:after="0"/>
                    <w:suppressOverlap/>
                    <w:jc w:val="center"/>
                    <w:rPr>
                      <w:rFonts w:ascii="Arial" w:hAnsi="Arial" w:cs="Arial"/>
                      <w:sz w:val="18"/>
                      <w:szCs w:val="18"/>
                      <w:lang w:eastAsia="it-IT"/>
                    </w:rPr>
                  </w:pPr>
                  <w:r w:rsidRPr="000E4530">
                    <w:rPr>
                      <w:rFonts w:ascii="Arial" w:hAnsi="Arial" w:cs="Arial"/>
                      <w:sz w:val="18"/>
                      <w:szCs w:val="18"/>
                      <w:lang w:eastAsia="it-IT"/>
                    </w:rPr>
                    <w:t>346,164</w:t>
                  </w:r>
                </w:p>
              </w:tc>
              <w:tc>
                <w:tcPr>
                  <w:tcW w:w="773" w:type="pct"/>
                  <w:tcBorders>
                    <w:top w:val="nil"/>
                    <w:left w:val="nil"/>
                    <w:bottom w:val="nil"/>
                    <w:right w:val="single" w:sz="4" w:space="0" w:color="1F497D"/>
                  </w:tcBorders>
                  <w:shd w:val="clear" w:color="auto" w:fill="auto"/>
                  <w:noWrap/>
                  <w:vAlign w:val="bottom"/>
                  <w:hideMark/>
                </w:tcPr>
                <w:p w:rsidR="00A23C41" w:rsidRPr="000E4530" w:rsidRDefault="00A23C41" w:rsidP="005D72C2">
                  <w:pPr>
                    <w:framePr w:hSpace="141" w:wrap="around" w:vAnchor="text" w:hAnchor="margin" w:xAlign="center" w:y="26"/>
                    <w:spacing w:before="0" w:after="0"/>
                    <w:suppressOverlap/>
                    <w:jc w:val="center"/>
                    <w:rPr>
                      <w:rFonts w:ascii="Arial" w:hAnsi="Arial" w:cs="Arial"/>
                      <w:sz w:val="18"/>
                      <w:szCs w:val="18"/>
                      <w:lang w:eastAsia="it-IT"/>
                    </w:rPr>
                  </w:pPr>
                  <w:r w:rsidRPr="000E4530">
                    <w:rPr>
                      <w:rFonts w:ascii="Arial" w:hAnsi="Arial" w:cs="Arial"/>
                      <w:sz w:val="18"/>
                      <w:szCs w:val="18"/>
                      <w:lang w:eastAsia="it-IT"/>
                    </w:rPr>
                    <w:t> </w:t>
                  </w:r>
                </w:p>
              </w:tc>
              <w:tc>
                <w:tcPr>
                  <w:tcW w:w="873" w:type="pct"/>
                  <w:tcBorders>
                    <w:top w:val="nil"/>
                    <w:left w:val="nil"/>
                    <w:bottom w:val="nil"/>
                    <w:right w:val="single" w:sz="4" w:space="0" w:color="1F497D"/>
                  </w:tcBorders>
                  <w:shd w:val="clear" w:color="auto" w:fill="F2F2F2" w:themeFill="background1" w:themeFillShade="F2"/>
                  <w:noWrap/>
                  <w:vAlign w:val="bottom"/>
                  <w:hideMark/>
                </w:tcPr>
                <w:p w:rsidR="00A23C41" w:rsidRPr="000E4530" w:rsidRDefault="00A23C41" w:rsidP="005D72C2">
                  <w:pPr>
                    <w:framePr w:hSpace="141" w:wrap="around" w:vAnchor="text" w:hAnchor="margin" w:xAlign="center" w:y="26"/>
                    <w:spacing w:before="0" w:after="0"/>
                    <w:suppressOverlap/>
                    <w:jc w:val="center"/>
                    <w:rPr>
                      <w:rFonts w:ascii="Arial" w:hAnsi="Arial" w:cs="Arial"/>
                      <w:sz w:val="18"/>
                      <w:szCs w:val="18"/>
                      <w:lang w:eastAsia="it-IT"/>
                    </w:rPr>
                  </w:pPr>
                  <w:r w:rsidRPr="000E4530">
                    <w:rPr>
                      <w:rFonts w:ascii="Arial" w:hAnsi="Arial" w:cs="Arial"/>
                      <w:sz w:val="18"/>
                      <w:szCs w:val="18"/>
                      <w:lang w:eastAsia="it-IT"/>
                    </w:rPr>
                    <w:t>346,164</w:t>
                  </w:r>
                </w:p>
              </w:tc>
              <w:tc>
                <w:tcPr>
                  <w:tcW w:w="438" w:type="pct"/>
                  <w:tcBorders>
                    <w:top w:val="nil"/>
                    <w:left w:val="nil"/>
                    <w:bottom w:val="nil"/>
                    <w:right w:val="single" w:sz="12" w:space="0" w:color="1F497D"/>
                  </w:tcBorders>
                  <w:shd w:val="clear" w:color="auto" w:fill="F2F2F2" w:themeFill="background1" w:themeFillShade="F2"/>
                  <w:noWrap/>
                  <w:vAlign w:val="bottom"/>
                  <w:hideMark/>
                </w:tcPr>
                <w:p w:rsidR="00A23C41" w:rsidRPr="000E4530" w:rsidRDefault="00A23C41" w:rsidP="005D72C2">
                  <w:pPr>
                    <w:framePr w:hSpace="141" w:wrap="around" w:vAnchor="text" w:hAnchor="margin" w:xAlign="center" w:y="26"/>
                    <w:spacing w:before="0" w:after="0"/>
                    <w:suppressOverlap/>
                    <w:jc w:val="right"/>
                    <w:rPr>
                      <w:rFonts w:ascii="Arial" w:hAnsi="Arial" w:cs="Arial"/>
                      <w:sz w:val="18"/>
                      <w:szCs w:val="18"/>
                      <w:lang w:eastAsia="it-IT"/>
                    </w:rPr>
                  </w:pPr>
                  <w:r w:rsidRPr="000E4530">
                    <w:rPr>
                      <w:rFonts w:ascii="Arial" w:hAnsi="Arial" w:cs="Arial"/>
                      <w:sz w:val="18"/>
                      <w:szCs w:val="18"/>
                      <w:lang w:eastAsia="it-IT"/>
                    </w:rPr>
                    <w:t>0.0%</w:t>
                  </w:r>
                </w:p>
              </w:tc>
            </w:tr>
            <w:tr w:rsidR="00A23C41" w:rsidRPr="003C7C4A" w:rsidTr="00A23C41">
              <w:trPr>
                <w:trHeight w:val="262"/>
                <w:jc w:val="center"/>
              </w:trPr>
              <w:tc>
                <w:tcPr>
                  <w:tcW w:w="1269" w:type="pct"/>
                  <w:tcBorders>
                    <w:top w:val="nil"/>
                    <w:left w:val="single" w:sz="12" w:space="0" w:color="1F497D"/>
                    <w:bottom w:val="nil"/>
                    <w:right w:val="single" w:sz="4" w:space="0" w:color="1F497D"/>
                  </w:tcBorders>
                  <w:shd w:val="clear" w:color="auto" w:fill="auto"/>
                  <w:noWrap/>
                  <w:vAlign w:val="bottom"/>
                  <w:hideMark/>
                </w:tcPr>
                <w:p w:rsidR="00A23C41" w:rsidRPr="000E4530" w:rsidRDefault="00A23C41" w:rsidP="005D72C2">
                  <w:pPr>
                    <w:framePr w:hSpace="141" w:wrap="around" w:vAnchor="text" w:hAnchor="margin" w:xAlign="center" w:y="26"/>
                    <w:spacing w:before="0" w:after="0"/>
                    <w:suppressOverlap/>
                    <w:jc w:val="left"/>
                    <w:rPr>
                      <w:rFonts w:ascii="Arial" w:hAnsi="Arial" w:cs="Arial"/>
                      <w:sz w:val="18"/>
                      <w:szCs w:val="18"/>
                      <w:lang w:eastAsia="it-IT"/>
                    </w:rPr>
                  </w:pPr>
                  <w:r w:rsidRPr="000E4530">
                    <w:rPr>
                      <w:rFonts w:ascii="Arial" w:hAnsi="Arial" w:cs="Arial"/>
                      <w:sz w:val="18"/>
                      <w:szCs w:val="18"/>
                      <w:lang w:eastAsia="it-IT"/>
                    </w:rPr>
                    <w:t>DCI-NSA</w:t>
                  </w:r>
                </w:p>
              </w:tc>
              <w:tc>
                <w:tcPr>
                  <w:tcW w:w="874" w:type="pct"/>
                  <w:tcBorders>
                    <w:top w:val="nil"/>
                    <w:left w:val="nil"/>
                    <w:bottom w:val="nil"/>
                    <w:right w:val="single" w:sz="4" w:space="0" w:color="1F497D"/>
                  </w:tcBorders>
                  <w:shd w:val="clear" w:color="auto" w:fill="auto"/>
                  <w:noWrap/>
                  <w:vAlign w:val="bottom"/>
                  <w:hideMark/>
                </w:tcPr>
                <w:p w:rsidR="00A23C41" w:rsidRPr="000E4530" w:rsidRDefault="00A23C41" w:rsidP="005D72C2">
                  <w:pPr>
                    <w:framePr w:hSpace="141" w:wrap="around" w:vAnchor="text" w:hAnchor="margin" w:xAlign="center" w:y="26"/>
                    <w:spacing w:before="0" w:after="0"/>
                    <w:suppressOverlap/>
                    <w:jc w:val="center"/>
                    <w:rPr>
                      <w:rFonts w:ascii="Arial" w:hAnsi="Arial" w:cs="Arial"/>
                      <w:sz w:val="18"/>
                      <w:szCs w:val="18"/>
                      <w:lang w:eastAsia="it-IT"/>
                    </w:rPr>
                  </w:pPr>
                  <w:r w:rsidRPr="000E4530">
                    <w:rPr>
                      <w:rFonts w:ascii="Arial" w:hAnsi="Arial" w:cs="Arial"/>
                      <w:sz w:val="18"/>
                      <w:szCs w:val="18"/>
                      <w:lang w:eastAsia="it-IT"/>
                    </w:rPr>
                    <w:t> </w:t>
                  </w:r>
                </w:p>
              </w:tc>
              <w:tc>
                <w:tcPr>
                  <w:tcW w:w="773" w:type="pct"/>
                  <w:tcBorders>
                    <w:top w:val="nil"/>
                    <w:left w:val="nil"/>
                    <w:bottom w:val="nil"/>
                    <w:right w:val="single" w:sz="4" w:space="0" w:color="1F497D"/>
                  </w:tcBorders>
                  <w:shd w:val="clear" w:color="auto" w:fill="auto"/>
                  <w:noWrap/>
                  <w:vAlign w:val="bottom"/>
                  <w:hideMark/>
                </w:tcPr>
                <w:p w:rsidR="00A23C41" w:rsidRPr="000E4530" w:rsidRDefault="00A23C41" w:rsidP="005D72C2">
                  <w:pPr>
                    <w:framePr w:hSpace="141" w:wrap="around" w:vAnchor="text" w:hAnchor="margin" w:xAlign="center" w:y="26"/>
                    <w:spacing w:before="0" w:after="0"/>
                    <w:suppressOverlap/>
                    <w:jc w:val="center"/>
                    <w:rPr>
                      <w:rFonts w:ascii="Arial" w:hAnsi="Arial" w:cs="Arial"/>
                      <w:sz w:val="18"/>
                      <w:szCs w:val="18"/>
                      <w:lang w:eastAsia="it-IT"/>
                    </w:rPr>
                  </w:pPr>
                  <w:r w:rsidRPr="000E4530">
                    <w:rPr>
                      <w:rFonts w:ascii="Arial" w:hAnsi="Arial" w:cs="Arial"/>
                      <w:sz w:val="18"/>
                      <w:szCs w:val="18"/>
                      <w:lang w:eastAsia="it-IT"/>
                    </w:rPr>
                    <w:t>86,236</w:t>
                  </w:r>
                </w:p>
              </w:tc>
              <w:tc>
                <w:tcPr>
                  <w:tcW w:w="773" w:type="pct"/>
                  <w:tcBorders>
                    <w:top w:val="nil"/>
                    <w:left w:val="nil"/>
                    <w:bottom w:val="nil"/>
                    <w:right w:val="single" w:sz="4" w:space="0" w:color="1F497D"/>
                  </w:tcBorders>
                  <w:shd w:val="clear" w:color="auto" w:fill="auto"/>
                  <w:noWrap/>
                  <w:vAlign w:val="bottom"/>
                  <w:hideMark/>
                </w:tcPr>
                <w:p w:rsidR="00A23C41" w:rsidRPr="000E4530" w:rsidRDefault="00A23C41" w:rsidP="005D72C2">
                  <w:pPr>
                    <w:framePr w:hSpace="141" w:wrap="around" w:vAnchor="text" w:hAnchor="margin" w:xAlign="center" w:y="26"/>
                    <w:spacing w:before="0" w:after="0"/>
                    <w:suppressOverlap/>
                    <w:jc w:val="center"/>
                    <w:rPr>
                      <w:rFonts w:ascii="Arial" w:hAnsi="Arial" w:cs="Arial"/>
                      <w:sz w:val="18"/>
                      <w:szCs w:val="18"/>
                      <w:lang w:eastAsia="it-IT"/>
                    </w:rPr>
                  </w:pPr>
                  <w:r w:rsidRPr="000E4530">
                    <w:rPr>
                      <w:rFonts w:ascii="Arial" w:hAnsi="Arial" w:cs="Arial"/>
                      <w:sz w:val="18"/>
                      <w:szCs w:val="18"/>
                      <w:lang w:eastAsia="it-IT"/>
                    </w:rPr>
                    <w:t> </w:t>
                  </w:r>
                </w:p>
              </w:tc>
              <w:tc>
                <w:tcPr>
                  <w:tcW w:w="873" w:type="pct"/>
                  <w:tcBorders>
                    <w:top w:val="nil"/>
                    <w:left w:val="nil"/>
                    <w:bottom w:val="nil"/>
                    <w:right w:val="single" w:sz="4" w:space="0" w:color="1F497D"/>
                  </w:tcBorders>
                  <w:shd w:val="clear" w:color="auto" w:fill="F2F2F2" w:themeFill="background1" w:themeFillShade="F2"/>
                  <w:noWrap/>
                  <w:vAlign w:val="bottom"/>
                  <w:hideMark/>
                </w:tcPr>
                <w:p w:rsidR="00A23C41" w:rsidRPr="000E4530" w:rsidRDefault="00A23C41" w:rsidP="005D72C2">
                  <w:pPr>
                    <w:framePr w:hSpace="141" w:wrap="around" w:vAnchor="text" w:hAnchor="margin" w:xAlign="center" w:y="26"/>
                    <w:spacing w:before="0" w:after="0"/>
                    <w:suppressOverlap/>
                    <w:jc w:val="center"/>
                    <w:rPr>
                      <w:rFonts w:ascii="Arial" w:hAnsi="Arial" w:cs="Arial"/>
                      <w:sz w:val="18"/>
                      <w:szCs w:val="18"/>
                      <w:lang w:eastAsia="it-IT"/>
                    </w:rPr>
                  </w:pPr>
                  <w:r w:rsidRPr="000E4530">
                    <w:rPr>
                      <w:rFonts w:ascii="Arial" w:hAnsi="Arial" w:cs="Arial"/>
                      <w:sz w:val="18"/>
                      <w:szCs w:val="18"/>
                      <w:lang w:eastAsia="it-IT"/>
                    </w:rPr>
                    <w:t>86,236</w:t>
                  </w:r>
                </w:p>
              </w:tc>
              <w:tc>
                <w:tcPr>
                  <w:tcW w:w="438" w:type="pct"/>
                  <w:tcBorders>
                    <w:top w:val="nil"/>
                    <w:left w:val="nil"/>
                    <w:bottom w:val="nil"/>
                    <w:right w:val="single" w:sz="12" w:space="0" w:color="1F497D"/>
                  </w:tcBorders>
                  <w:shd w:val="clear" w:color="auto" w:fill="F2F2F2" w:themeFill="background1" w:themeFillShade="F2"/>
                  <w:noWrap/>
                  <w:vAlign w:val="bottom"/>
                  <w:hideMark/>
                </w:tcPr>
                <w:p w:rsidR="00A23C41" w:rsidRPr="000E4530" w:rsidRDefault="00A23C41" w:rsidP="005D72C2">
                  <w:pPr>
                    <w:framePr w:hSpace="141" w:wrap="around" w:vAnchor="text" w:hAnchor="margin" w:xAlign="center" w:y="26"/>
                    <w:spacing w:before="0" w:after="0"/>
                    <w:suppressOverlap/>
                    <w:jc w:val="right"/>
                    <w:rPr>
                      <w:rFonts w:ascii="Arial" w:hAnsi="Arial" w:cs="Arial"/>
                      <w:sz w:val="18"/>
                      <w:szCs w:val="18"/>
                      <w:lang w:eastAsia="it-IT"/>
                    </w:rPr>
                  </w:pPr>
                  <w:r w:rsidRPr="000E4530">
                    <w:rPr>
                      <w:rFonts w:ascii="Arial" w:hAnsi="Arial" w:cs="Arial"/>
                      <w:sz w:val="18"/>
                      <w:szCs w:val="18"/>
                      <w:lang w:eastAsia="it-IT"/>
                    </w:rPr>
                    <w:t>0.0%</w:t>
                  </w:r>
                </w:p>
              </w:tc>
            </w:tr>
            <w:tr w:rsidR="00A23C41" w:rsidRPr="003C7C4A" w:rsidTr="00A23C41">
              <w:trPr>
                <w:trHeight w:val="262"/>
                <w:jc w:val="center"/>
              </w:trPr>
              <w:tc>
                <w:tcPr>
                  <w:tcW w:w="1269" w:type="pct"/>
                  <w:tcBorders>
                    <w:top w:val="nil"/>
                    <w:left w:val="single" w:sz="12" w:space="0" w:color="1F497D"/>
                    <w:bottom w:val="nil"/>
                    <w:right w:val="single" w:sz="4" w:space="0" w:color="1F497D"/>
                  </w:tcBorders>
                  <w:shd w:val="clear" w:color="auto" w:fill="auto"/>
                  <w:noWrap/>
                  <w:vAlign w:val="bottom"/>
                  <w:hideMark/>
                </w:tcPr>
                <w:p w:rsidR="00A23C41" w:rsidRPr="000E4530" w:rsidRDefault="00A23C41" w:rsidP="005D72C2">
                  <w:pPr>
                    <w:framePr w:hSpace="141" w:wrap="around" w:vAnchor="text" w:hAnchor="margin" w:xAlign="center" w:y="26"/>
                    <w:spacing w:before="0" w:after="0"/>
                    <w:suppressOverlap/>
                    <w:jc w:val="left"/>
                    <w:rPr>
                      <w:rFonts w:ascii="Arial" w:hAnsi="Arial" w:cs="Arial"/>
                      <w:sz w:val="18"/>
                      <w:szCs w:val="18"/>
                      <w:lang w:eastAsia="it-IT"/>
                    </w:rPr>
                  </w:pPr>
                  <w:r w:rsidRPr="000E4530">
                    <w:rPr>
                      <w:rFonts w:ascii="Arial" w:hAnsi="Arial" w:cs="Arial"/>
                      <w:sz w:val="18"/>
                      <w:szCs w:val="18"/>
                      <w:lang w:eastAsia="it-IT"/>
                    </w:rPr>
                    <w:t>ADM-MULTI</w:t>
                  </w:r>
                </w:p>
              </w:tc>
              <w:tc>
                <w:tcPr>
                  <w:tcW w:w="874" w:type="pct"/>
                  <w:tcBorders>
                    <w:top w:val="nil"/>
                    <w:left w:val="nil"/>
                    <w:bottom w:val="nil"/>
                    <w:right w:val="single" w:sz="4" w:space="0" w:color="1F497D"/>
                  </w:tcBorders>
                  <w:shd w:val="clear" w:color="auto" w:fill="auto"/>
                  <w:noWrap/>
                  <w:vAlign w:val="bottom"/>
                  <w:hideMark/>
                </w:tcPr>
                <w:p w:rsidR="00A23C41" w:rsidRPr="000E4530" w:rsidRDefault="00A23C41" w:rsidP="005D72C2">
                  <w:pPr>
                    <w:framePr w:hSpace="141" w:wrap="around" w:vAnchor="text" w:hAnchor="margin" w:xAlign="center" w:y="26"/>
                    <w:spacing w:before="0" w:after="0"/>
                    <w:suppressOverlap/>
                    <w:jc w:val="center"/>
                    <w:rPr>
                      <w:rFonts w:ascii="Arial" w:hAnsi="Arial" w:cs="Arial"/>
                      <w:sz w:val="18"/>
                      <w:szCs w:val="18"/>
                      <w:lang w:eastAsia="it-IT"/>
                    </w:rPr>
                  </w:pPr>
                  <w:r w:rsidRPr="000E4530">
                    <w:rPr>
                      <w:rFonts w:ascii="Arial" w:hAnsi="Arial" w:cs="Arial"/>
                      <w:sz w:val="18"/>
                      <w:szCs w:val="18"/>
                      <w:lang w:eastAsia="it-IT"/>
                    </w:rPr>
                    <w:t> </w:t>
                  </w:r>
                </w:p>
              </w:tc>
              <w:tc>
                <w:tcPr>
                  <w:tcW w:w="773" w:type="pct"/>
                  <w:tcBorders>
                    <w:top w:val="nil"/>
                    <w:left w:val="nil"/>
                    <w:bottom w:val="nil"/>
                    <w:right w:val="single" w:sz="4" w:space="0" w:color="1F497D"/>
                  </w:tcBorders>
                  <w:shd w:val="clear" w:color="auto" w:fill="auto"/>
                  <w:noWrap/>
                  <w:vAlign w:val="bottom"/>
                  <w:hideMark/>
                </w:tcPr>
                <w:p w:rsidR="00A23C41" w:rsidRPr="000E4530" w:rsidRDefault="00A23C41" w:rsidP="005D72C2">
                  <w:pPr>
                    <w:framePr w:hSpace="141" w:wrap="around" w:vAnchor="text" w:hAnchor="margin" w:xAlign="center" w:y="26"/>
                    <w:spacing w:before="0" w:after="0"/>
                    <w:suppressOverlap/>
                    <w:jc w:val="center"/>
                    <w:rPr>
                      <w:rFonts w:ascii="Arial" w:hAnsi="Arial" w:cs="Arial"/>
                      <w:sz w:val="18"/>
                      <w:szCs w:val="18"/>
                      <w:lang w:eastAsia="it-IT"/>
                    </w:rPr>
                  </w:pPr>
                  <w:r w:rsidRPr="000E4530">
                    <w:rPr>
                      <w:rFonts w:ascii="Arial" w:hAnsi="Arial" w:cs="Arial"/>
                      <w:sz w:val="18"/>
                      <w:szCs w:val="18"/>
                      <w:lang w:eastAsia="it-IT"/>
                    </w:rPr>
                    <w:t>24,500</w:t>
                  </w:r>
                </w:p>
              </w:tc>
              <w:tc>
                <w:tcPr>
                  <w:tcW w:w="773" w:type="pct"/>
                  <w:tcBorders>
                    <w:top w:val="nil"/>
                    <w:left w:val="nil"/>
                    <w:bottom w:val="nil"/>
                    <w:right w:val="single" w:sz="4" w:space="0" w:color="1F497D"/>
                  </w:tcBorders>
                  <w:shd w:val="clear" w:color="auto" w:fill="auto"/>
                  <w:noWrap/>
                  <w:vAlign w:val="bottom"/>
                  <w:hideMark/>
                </w:tcPr>
                <w:p w:rsidR="00A23C41" w:rsidRPr="000E4530" w:rsidRDefault="00A23C41" w:rsidP="005D72C2">
                  <w:pPr>
                    <w:framePr w:hSpace="141" w:wrap="around" w:vAnchor="text" w:hAnchor="margin" w:xAlign="center" w:y="26"/>
                    <w:spacing w:before="0" w:after="0"/>
                    <w:suppressOverlap/>
                    <w:jc w:val="center"/>
                    <w:rPr>
                      <w:rFonts w:ascii="Arial" w:hAnsi="Arial" w:cs="Arial"/>
                      <w:sz w:val="18"/>
                      <w:szCs w:val="18"/>
                      <w:lang w:eastAsia="it-IT"/>
                    </w:rPr>
                  </w:pPr>
                  <w:r w:rsidRPr="000E4530">
                    <w:rPr>
                      <w:rFonts w:ascii="Arial" w:hAnsi="Arial" w:cs="Arial"/>
                      <w:sz w:val="18"/>
                      <w:szCs w:val="18"/>
                      <w:lang w:eastAsia="it-IT"/>
                    </w:rPr>
                    <w:t> </w:t>
                  </w:r>
                </w:p>
              </w:tc>
              <w:tc>
                <w:tcPr>
                  <w:tcW w:w="873" w:type="pct"/>
                  <w:tcBorders>
                    <w:top w:val="nil"/>
                    <w:left w:val="nil"/>
                    <w:bottom w:val="nil"/>
                    <w:right w:val="single" w:sz="4" w:space="0" w:color="1F497D"/>
                  </w:tcBorders>
                  <w:shd w:val="clear" w:color="auto" w:fill="F2F2F2" w:themeFill="background1" w:themeFillShade="F2"/>
                  <w:noWrap/>
                  <w:vAlign w:val="bottom"/>
                  <w:hideMark/>
                </w:tcPr>
                <w:p w:rsidR="00A23C41" w:rsidRPr="000E4530" w:rsidRDefault="00A23C41" w:rsidP="005D72C2">
                  <w:pPr>
                    <w:framePr w:hSpace="141" w:wrap="around" w:vAnchor="text" w:hAnchor="margin" w:xAlign="center" w:y="26"/>
                    <w:spacing w:before="0" w:after="0"/>
                    <w:suppressOverlap/>
                    <w:jc w:val="center"/>
                    <w:rPr>
                      <w:rFonts w:ascii="Arial" w:hAnsi="Arial" w:cs="Arial"/>
                      <w:sz w:val="18"/>
                      <w:szCs w:val="18"/>
                      <w:lang w:eastAsia="it-IT"/>
                    </w:rPr>
                  </w:pPr>
                  <w:r w:rsidRPr="000E4530">
                    <w:rPr>
                      <w:rFonts w:ascii="Arial" w:hAnsi="Arial" w:cs="Arial"/>
                      <w:sz w:val="18"/>
                      <w:szCs w:val="18"/>
                      <w:lang w:eastAsia="it-IT"/>
                    </w:rPr>
                    <w:t>24,500</w:t>
                  </w:r>
                </w:p>
              </w:tc>
              <w:tc>
                <w:tcPr>
                  <w:tcW w:w="438" w:type="pct"/>
                  <w:tcBorders>
                    <w:top w:val="nil"/>
                    <w:left w:val="nil"/>
                    <w:bottom w:val="nil"/>
                    <w:right w:val="single" w:sz="12" w:space="0" w:color="1F497D"/>
                  </w:tcBorders>
                  <w:shd w:val="clear" w:color="auto" w:fill="F2F2F2" w:themeFill="background1" w:themeFillShade="F2"/>
                  <w:noWrap/>
                  <w:vAlign w:val="bottom"/>
                  <w:hideMark/>
                </w:tcPr>
                <w:p w:rsidR="00A23C41" w:rsidRPr="000E4530" w:rsidRDefault="00A23C41" w:rsidP="005D72C2">
                  <w:pPr>
                    <w:framePr w:hSpace="141" w:wrap="around" w:vAnchor="text" w:hAnchor="margin" w:xAlign="center" w:y="26"/>
                    <w:spacing w:before="0" w:after="0"/>
                    <w:suppressOverlap/>
                    <w:jc w:val="right"/>
                    <w:rPr>
                      <w:rFonts w:ascii="Arial" w:hAnsi="Arial" w:cs="Arial"/>
                      <w:sz w:val="18"/>
                      <w:szCs w:val="18"/>
                      <w:lang w:eastAsia="it-IT"/>
                    </w:rPr>
                  </w:pPr>
                  <w:r w:rsidRPr="000E4530">
                    <w:rPr>
                      <w:rFonts w:ascii="Arial" w:hAnsi="Arial" w:cs="Arial"/>
                      <w:sz w:val="18"/>
                      <w:szCs w:val="18"/>
                      <w:lang w:eastAsia="it-IT"/>
                    </w:rPr>
                    <w:t>0.0%</w:t>
                  </w:r>
                </w:p>
              </w:tc>
            </w:tr>
            <w:tr w:rsidR="00A23C41" w:rsidRPr="003C7C4A" w:rsidTr="00A23C41">
              <w:trPr>
                <w:trHeight w:val="262"/>
                <w:jc w:val="center"/>
              </w:trPr>
              <w:tc>
                <w:tcPr>
                  <w:tcW w:w="1269" w:type="pct"/>
                  <w:tcBorders>
                    <w:top w:val="nil"/>
                    <w:left w:val="single" w:sz="12" w:space="0" w:color="1F497D"/>
                    <w:bottom w:val="single" w:sz="12" w:space="0" w:color="1F497D"/>
                    <w:right w:val="single" w:sz="4" w:space="0" w:color="1F497D"/>
                  </w:tcBorders>
                  <w:shd w:val="clear" w:color="auto" w:fill="4F81BD" w:themeFill="accent1"/>
                  <w:noWrap/>
                  <w:vAlign w:val="bottom"/>
                  <w:hideMark/>
                </w:tcPr>
                <w:p w:rsidR="00A23C41" w:rsidRPr="000E4530" w:rsidRDefault="00A23C41" w:rsidP="005D72C2">
                  <w:pPr>
                    <w:framePr w:hSpace="141" w:wrap="around" w:vAnchor="text" w:hAnchor="margin" w:xAlign="center" w:y="26"/>
                    <w:spacing w:before="0" w:after="0"/>
                    <w:suppressOverlap/>
                    <w:jc w:val="left"/>
                    <w:rPr>
                      <w:rFonts w:ascii="Arial" w:hAnsi="Arial" w:cs="Arial"/>
                      <w:b/>
                      <w:color w:val="FFFFFF" w:themeColor="background1"/>
                      <w:sz w:val="18"/>
                      <w:szCs w:val="18"/>
                      <w:lang w:eastAsia="it-IT"/>
                    </w:rPr>
                  </w:pPr>
                  <w:r w:rsidRPr="000E4530">
                    <w:rPr>
                      <w:rFonts w:ascii="Arial" w:hAnsi="Arial" w:cs="Arial"/>
                      <w:b/>
                      <w:color w:val="FFFFFF" w:themeColor="background1"/>
                      <w:sz w:val="18"/>
                      <w:szCs w:val="18"/>
                      <w:lang w:eastAsia="it-IT"/>
                    </w:rPr>
                    <w:t>TOT</w:t>
                  </w:r>
                </w:p>
              </w:tc>
              <w:tc>
                <w:tcPr>
                  <w:tcW w:w="874" w:type="pct"/>
                  <w:tcBorders>
                    <w:top w:val="nil"/>
                    <w:left w:val="nil"/>
                    <w:bottom w:val="single" w:sz="12" w:space="0" w:color="1F497D"/>
                    <w:right w:val="single" w:sz="4" w:space="0" w:color="1F497D"/>
                  </w:tcBorders>
                  <w:shd w:val="clear" w:color="auto" w:fill="4F81BD" w:themeFill="accent1"/>
                  <w:noWrap/>
                  <w:vAlign w:val="bottom"/>
                  <w:hideMark/>
                </w:tcPr>
                <w:p w:rsidR="00A23C41" w:rsidRPr="000E4530" w:rsidRDefault="00A23C41" w:rsidP="005D72C2">
                  <w:pPr>
                    <w:framePr w:hSpace="141" w:wrap="around" w:vAnchor="text" w:hAnchor="margin" w:xAlign="center" w:y="26"/>
                    <w:spacing w:before="0" w:after="0"/>
                    <w:suppressOverlap/>
                    <w:jc w:val="center"/>
                    <w:rPr>
                      <w:rFonts w:ascii="Arial" w:hAnsi="Arial" w:cs="Arial"/>
                      <w:b/>
                      <w:color w:val="FFFFFF" w:themeColor="background1"/>
                      <w:sz w:val="18"/>
                      <w:szCs w:val="18"/>
                      <w:lang w:eastAsia="it-IT"/>
                    </w:rPr>
                  </w:pPr>
                  <w:r w:rsidRPr="000E4530">
                    <w:rPr>
                      <w:rFonts w:ascii="Arial" w:hAnsi="Arial" w:cs="Arial"/>
                      <w:b/>
                      <w:color w:val="FFFFFF" w:themeColor="background1"/>
                      <w:sz w:val="18"/>
                      <w:szCs w:val="18"/>
                      <w:lang w:eastAsia="it-IT"/>
                    </w:rPr>
                    <w:t>1,216,374,685</w:t>
                  </w:r>
                </w:p>
              </w:tc>
              <w:tc>
                <w:tcPr>
                  <w:tcW w:w="773" w:type="pct"/>
                  <w:tcBorders>
                    <w:top w:val="nil"/>
                    <w:left w:val="nil"/>
                    <w:bottom w:val="single" w:sz="12" w:space="0" w:color="1F497D"/>
                    <w:right w:val="single" w:sz="4" w:space="0" w:color="1F497D"/>
                  </w:tcBorders>
                  <w:shd w:val="clear" w:color="auto" w:fill="4F81BD" w:themeFill="accent1"/>
                  <w:noWrap/>
                  <w:vAlign w:val="bottom"/>
                  <w:hideMark/>
                </w:tcPr>
                <w:p w:rsidR="00A23C41" w:rsidRPr="000E4530" w:rsidRDefault="00A23C41" w:rsidP="005D72C2">
                  <w:pPr>
                    <w:framePr w:hSpace="141" w:wrap="around" w:vAnchor="text" w:hAnchor="margin" w:xAlign="center" w:y="26"/>
                    <w:spacing w:before="0" w:after="0"/>
                    <w:suppressOverlap/>
                    <w:jc w:val="center"/>
                    <w:rPr>
                      <w:rFonts w:ascii="Arial" w:hAnsi="Arial" w:cs="Arial"/>
                      <w:b/>
                      <w:color w:val="FFFFFF" w:themeColor="background1"/>
                      <w:sz w:val="18"/>
                      <w:szCs w:val="18"/>
                      <w:lang w:eastAsia="it-IT"/>
                    </w:rPr>
                  </w:pPr>
                  <w:r w:rsidRPr="000E4530">
                    <w:rPr>
                      <w:rFonts w:ascii="Arial" w:hAnsi="Arial" w:cs="Arial"/>
                      <w:b/>
                      <w:color w:val="FFFFFF" w:themeColor="background1"/>
                      <w:sz w:val="18"/>
                      <w:szCs w:val="18"/>
                      <w:lang w:eastAsia="it-IT"/>
                    </w:rPr>
                    <w:t>335,784,921</w:t>
                  </w:r>
                </w:p>
              </w:tc>
              <w:tc>
                <w:tcPr>
                  <w:tcW w:w="773" w:type="pct"/>
                  <w:tcBorders>
                    <w:top w:val="nil"/>
                    <w:left w:val="nil"/>
                    <w:bottom w:val="single" w:sz="12" w:space="0" w:color="1F497D"/>
                    <w:right w:val="single" w:sz="4" w:space="0" w:color="1F497D"/>
                  </w:tcBorders>
                  <w:shd w:val="clear" w:color="auto" w:fill="4F81BD" w:themeFill="accent1"/>
                  <w:noWrap/>
                  <w:vAlign w:val="bottom"/>
                  <w:hideMark/>
                </w:tcPr>
                <w:p w:rsidR="00A23C41" w:rsidRPr="000E4530" w:rsidRDefault="00A23C41" w:rsidP="005D72C2">
                  <w:pPr>
                    <w:framePr w:hSpace="141" w:wrap="around" w:vAnchor="text" w:hAnchor="margin" w:xAlign="center" w:y="26"/>
                    <w:spacing w:before="0" w:after="0"/>
                    <w:suppressOverlap/>
                    <w:jc w:val="center"/>
                    <w:rPr>
                      <w:rFonts w:ascii="Arial" w:hAnsi="Arial" w:cs="Arial"/>
                      <w:b/>
                      <w:color w:val="FFFFFF" w:themeColor="background1"/>
                      <w:sz w:val="18"/>
                      <w:szCs w:val="18"/>
                      <w:lang w:eastAsia="it-IT"/>
                    </w:rPr>
                  </w:pPr>
                  <w:r w:rsidRPr="000E4530">
                    <w:rPr>
                      <w:rFonts w:ascii="Arial" w:hAnsi="Arial" w:cs="Arial"/>
                      <w:b/>
                      <w:color w:val="FFFFFF" w:themeColor="background1"/>
                      <w:sz w:val="18"/>
                      <w:szCs w:val="18"/>
                      <w:lang w:eastAsia="it-IT"/>
                    </w:rPr>
                    <w:t>535,345,135</w:t>
                  </w:r>
                </w:p>
              </w:tc>
              <w:tc>
                <w:tcPr>
                  <w:tcW w:w="873" w:type="pct"/>
                  <w:tcBorders>
                    <w:top w:val="nil"/>
                    <w:left w:val="nil"/>
                    <w:bottom w:val="single" w:sz="12" w:space="0" w:color="1F497D"/>
                    <w:right w:val="single" w:sz="4" w:space="0" w:color="1F497D"/>
                  </w:tcBorders>
                  <w:shd w:val="clear" w:color="auto" w:fill="4F81BD" w:themeFill="accent1"/>
                  <w:noWrap/>
                  <w:vAlign w:val="bottom"/>
                  <w:hideMark/>
                </w:tcPr>
                <w:p w:rsidR="00A23C41" w:rsidRPr="000E4530" w:rsidRDefault="00A23C41" w:rsidP="005D72C2">
                  <w:pPr>
                    <w:framePr w:hSpace="141" w:wrap="around" w:vAnchor="text" w:hAnchor="margin" w:xAlign="center" w:y="26"/>
                    <w:spacing w:before="0" w:after="0"/>
                    <w:suppressOverlap/>
                    <w:jc w:val="center"/>
                    <w:rPr>
                      <w:rFonts w:ascii="Arial" w:hAnsi="Arial" w:cs="Arial"/>
                      <w:b/>
                      <w:color w:val="FFFFFF" w:themeColor="background1"/>
                      <w:sz w:val="18"/>
                      <w:szCs w:val="18"/>
                      <w:lang w:eastAsia="it-IT"/>
                    </w:rPr>
                  </w:pPr>
                  <w:r w:rsidRPr="000E4530">
                    <w:rPr>
                      <w:rFonts w:ascii="Arial" w:hAnsi="Arial" w:cs="Arial"/>
                      <w:b/>
                      <w:color w:val="FFFFFF" w:themeColor="background1"/>
                      <w:sz w:val="18"/>
                      <w:szCs w:val="18"/>
                      <w:lang w:eastAsia="it-IT"/>
                    </w:rPr>
                    <w:t>2,087,504,740</w:t>
                  </w:r>
                </w:p>
              </w:tc>
              <w:tc>
                <w:tcPr>
                  <w:tcW w:w="438" w:type="pct"/>
                  <w:tcBorders>
                    <w:top w:val="nil"/>
                    <w:left w:val="nil"/>
                    <w:bottom w:val="single" w:sz="12" w:space="0" w:color="1F497D"/>
                    <w:right w:val="single" w:sz="12" w:space="0" w:color="1F497D"/>
                  </w:tcBorders>
                  <w:shd w:val="clear" w:color="auto" w:fill="4F81BD" w:themeFill="accent1"/>
                  <w:noWrap/>
                  <w:vAlign w:val="bottom"/>
                  <w:hideMark/>
                </w:tcPr>
                <w:p w:rsidR="00A23C41" w:rsidRPr="000E4530" w:rsidRDefault="00A23C41" w:rsidP="005D72C2">
                  <w:pPr>
                    <w:framePr w:hSpace="141" w:wrap="around" w:vAnchor="text" w:hAnchor="margin" w:xAlign="center" w:y="26"/>
                    <w:spacing w:before="0" w:after="0"/>
                    <w:suppressOverlap/>
                    <w:jc w:val="right"/>
                    <w:rPr>
                      <w:rFonts w:ascii="Arial" w:hAnsi="Arial" w:cs="Arial"/>
                      <w:b/>
                      <w:color w:val="FFFFFF" w:themeColor="background1"/>
                      <w:sz w:val="18"/>
                      <w:szCs w:val="18"/>
                      <w:lang w:eastAsia="it-IT"/>
                    </w:rPr>
                  </w:pPr>
                  <w:r w:rsidRPr="000E4530">
                    <w:rPr>
                      <w:rFonts w:ascii="Arial" w:hAnsi="Arial" w:cs="Arial"/>
                      <w:b/>
                      <w:color w:val="FFFFFF" w:themeColor="background1"/>
                      <w:sz w:val="18"/>
                      <w:szCs w:val="18"/>
                      <w:lang w:eastAsia="it-IT"/>
                    </w:rPr>
                    <w:t>100.0%</w:t>
                  </w:r>
                </w:p>
              </w:tc>
            </w:tr>
          </w:tbl>
          <w:p w:rsidR="00A23C41" w:rsidRPr="003C7C4A" w:rsidRDefault="00A23C41" w:rsidP="00A23C41">
            <w:pPr>
              <w:spacing w:before="0" w:after="0"/>
              <w:jc w:val="center"/>
              <w:rPr>
                <w:rFonts w:ascii="Arial" w:hAnsi="Arial" w:cs="Arial"/>
                <w:i/>
                <w:sz w:val="16"/>
                <w:szCs w:val="16"/>
                <w:lang w:eastAsia="pl-PL"/>
              </w:rPr>
            </w:pPr>
            <w:r w:rsidRPr="003C7C4A">
              <w:rPr>
                <w:rFonts w:ascii="Arial" w:hAnsi="Arial" w:cs="Arial"/>
                <w:i/>
                <w:sz w:val="16"/>
                <w:szCs w:val="16"/>
                <w:lang w:eastAsia="pl-PL"/>
              </w:rPr>
              <w:t>Source: DWH and DRN elaboration</w:t>
            </w:r>
          </w:p>
        </w:tc>
      </w:tr>
    </w:tbl>
    <w:p w:rsidR="00A23C41" w:rsidRPr="003C7C4A" w:rsidRDefault="00A23C41" w:rsidP="00A23C41">
      <w:pPr>
        <w:spacing w:before="0" w:after="0"/>
        <w:rPr>
          <w:rFonts w:ascii="Arial" w:hAnsi="Arial" w:cs="Arial"/>
          <w:sz w:val="22"/>
          <w:szCs w:val="22"/>
        </w:rPr>
      </w:pPr>
    </w:p>
    <w:p w:rsidR="00A23C41" w:rsidRPr="003C7C4A" w:rsidRDefault="00A23C41" w:rsidP="00A23C41">
      <w:pPr>
        <w:spacing w:before="0" w:after="0"/>
        <w:rPr>
          <w:rFonts w:ascii="Arial" w:hAnsi="Arial" w:cs="Arial"/>
          <w:sz w:val="22"/>
          <w:szCs w:val="22"/>
        </w:rPr>
      </w:pPr>
      <w:r>
        <w:rPr>
          <w:rFonts w:ascii="Arial" w:hAnsi="Arial" w:cs="Arial"/>
          <w:sz w:val="22"/>
          <w:szCs w:val="22"/>
        </w:rPr>
        <w:t>The remaining 10</w:t>
      </w:r>
      <w:r w:rsidRPr="003C7C4A">
        <w:rPr>
          <w:rFonts w:ascii="Arial" w:hAnsi="Arial" w:cs="Arial"/>
          <w:sz w:val="22"/>
          <w:szCs w:val="22"/>
        </w:rPr>
        <w:t>% is disbursed through thematic instruments, which</w:t>
      </w:r>
      <w:r>
        <w:rPr>
          <w:rFonts w:ascii="Arial" w:hAnsi="Arial" w:cs="Arial"/>
          <w:sz w:val="22"/>
          <w:szCs w:val="22"/>
        </w:rPr>
        <w:t xml:space="preserve"> mainly</w:t>
      </w:r>
      <w:r w:rsidRPr="003C7C4A">
        <w:rPr>
          <w:rFonts w:ascii="Arial" w:hAnsi="Arial" w:cs="Arial"/>
          <w:sz w:val="22"/>
          <w:szCs w:val="22"/>
        </w:rPr>
        <w:t xml:space="preserve"> support inte</w:t>
      </w:r>
      <w:r>
        <w:rPr>
          <w:rFonts w:ascii="Arial" w:hAnsi="Arial" w:cs="Arial"/>
          <w:sz w:val="22"/>
          <w:szCs w:val="22"/>
        </w:rPr>
        <w:t>rventions under Track 2 (Table 12</w:t>
      </w:r>
      <w:r w:rsidRPr="003C7C4A">
        <w:rPr>
          <w:rFonts w:ascii="Arial" w:hAnsi="Arial" w:cs="Arial"/>
          <w:sz w:val="22"/>
          <w:szCs w:val="22"/>
        </w:rPr>
        <w:t>).</w:t>
      </w:r>
    </w:p>
    <w:p w:rsidR="00A23C41" w:rsidRPr="003C7C4A" w:rsidRDefault="00A23C41" w:rsidP="00A23C41">
      <w:pPr>
        <w:spacing w:before="0" w:after="0"/>
        <w:rPr>
          <w:rFonts w:ascii="Arial" w:hAnsi="Arial" w:cs="Arial"/>
          <w:sz w:val="22"/>
          <w:szCs w:val="22"/>
        </w:rPr>
      </w:pPr>
    </w:p>
    <w:p w:rsidR="00A23C41" w:rsidRPr="003C7C4A" w:rsidRDefault="00A23C41" w:rsidP="00A23C41">
      <w:pPr>
        <w:spacing w:before="0" w:after="0"/>
        <w:rPr>
          <w:rFonts w:ascii="Arial" w:hAnsi="Arial" w:cs="Arial"/>
          <w:sz w:val="22"/>
          <w:szCs w:val="22"/>
        </w:rPr>
      </w:pPr>
      <w:r w:rsidRPr="003C7C4A">
        <w:rPr>
          <w:rFonts w:ascii="Arial" w:hAnsi="Arial" w:cs="Arial"/>
          <w:sz w:val="22"/>
          <w:szCs w:val="22"/>
        </w:rPr>
        <w:t>DCI-FOOD is the main thematic instrument with €</w:t>
      </w:r>
      <w:r>
        <w:rPr>
          <w:rFonts w:ascii="Arial" w:hAnsi="Arial" w:cs="Arial"/>
          <w:sz w:val="22"/>
          <w:szCs w:val="22"/>
        </w:rPr>
        <w:t>91</w:t>
      </w:r>
      <w:r w:rsidRPr="003C7C4A">
        <w:rPr>
          <w:rFonts w:ascii="Arial" w:hAnsi="Arial" w:cs="Arial"/>
          <w:sz w:val="22"/>
          <w:szCs w:val="22"/>
        </w:rPr>
        <w:t>m,</w:t>
      </w:r>
      <w:r>
        <w:rPr>
          <w:rFonts w:ascii="Arial" w:hAnsi="Arial" w:cs="Arial"/>
          <w:sz w:val="22"/>
          <w:szCs w:val="22"/>
        </w:rPr>
        <w:t xml:space="preserve"> accounting for 4.3</w:t>
      </w:r>
      <w:r w:rsidRPr="003C7C4A">
        <w:rPr>
          <w:rFonts w:ascii="Arial" w:hAnsi="Arial" w:cs="Arial"/>
          <w:sz w:val="22"/>
          <w:szCs w:val="22"/>
        </w:rPr>
        <w:t xml:space="preserve">% of the total </w:t>
      </w:r>
      <w:r w:rsidR="009D7E2C">
        <w:rPr>
          <w:rFonts w:ascii="Arial" w:hAnsi="Arial" w:cs="Arial"/>
          <w:sz w:val="22"/>
          <w:szCs w:val="22"/>
        </w:rPr>
        <w:t>committed amount</w:t>
      </w:r>
      <w:r w:rsidRPr="003C7C4A">
        <w:rPr>
          <w:rFonts w:ascii="Arial" w:hAnsi="Arial" w:cs="Arial"/>
          <w:sz w:val="22"/>
          <w:szCs w:val="22"/>
        </w:rPr>
        <w:t xml:space="preserve">. It includes two “Food Facility” contracts for a total of €40m and 11 contracts under FSTP </w:t>
      </w:r>
      <w:r w:rsidRPr="003C7C4A">
        <w:rPr>
          <w:rFonts w:ascii="Arial" w:hAnsi="Arial" w:cs="Arial"/>
          <w:sz w:val="22"/>
          <w:szCs w:val="22"/>
        </w:rPr>
        <w:lastRenderedPageBreak/>
        <w:t xml:space="preserve">for a total amount of €25m. The remaining €20m of DCI-FOOD relates to rural and agricultural interventions or to the development of safety nets. </w:t>
      </w:r>
    </w:p>
    <w:p w:rsidR="00A23C41" w:rsidRPr="00EF09A2" w:rsidRDefault="00A23C41" w:rsidP="00A23C41">
      <w:pPr>
        <w:spacing w:before="0" w:after="0"/>
        <w:rPr>
          <w:rFonts w:ascii="Arial" w:hAnsi="Arial" w:cs="Arial"/>
          <w:sz w:val="24"/>
          <w:szCs w:val="24"/>
        </w:rPr>
      </w:pPr>
    </w:p>
    <w:p w:rsidR="00A23C41" w:rsidRPr="00D0794F" w:rsidRDefault="00A23C41" w:rsidP="00A23C41">
      <w:pPr>
        <w:spacing w:before="0" w:after="0"/>
        <w:rPr>
          <w:rFonts w:ascii="Arial" w:hAnsi="Arial" w:cs="Arial"/>
          <w:sz w:val="22"/>
          <w:szCs w:val="22"/>
        </w:rPr>
      </w:pPr>
      <w:r w:rsidRPr="00D0794F">
        <w:rPr>
          <w:rFonts w:ascii="Arial" w:hAnsi="Arial" w:cs="Arial"/>
          <w:sz w:val="22"/>
          <w:szCs w:val="22"/>
        </w:rPr>
        <w:t xml:space="preserve">IFS-RRM follows with a total </w:t>
      </w:r>
      <w:r w:rsidR="009D7E2C">
        <w:rPr>
          <w:rFonts w:ascii="Arial" w:hAnsi="Arial" w:cs="Arial"/>
          <w:sz w:val="22"/>
          <w:szCs w:val="22"/>
        </w:rPr>
        <w:t>committed amount</w:t>
      </w:r>
      <w:r w:rsidRPr="00D0794F">
        <w:rPr>
          <w:rFonts w:ascii="Arial" w:hAnsi="Arial" w:cs="Arial"/>
          <w:sz w:val="22"/>
          <w:szCs w:val="22"/>
        </w:rPr>
        <w:t xml:space="preserve"> of €52m, including </w:t>
      </w:r>
      <w:r w:rsidRPr="00D0794F">
        <w:rPr>
          <w:rFonts w:ascii="Arial" w:hAnsi="Arial" w:cs="Arial"/>
          <w:i/>
          <w:sz w:val="22"/>
          <w:szCs w:val="22"/>
        </w:rPr>
        <w:t>inter alia t</w:t>
      </w:r>
      <w:r w:rsidRPr="00D0794F">
        <w:rPr>
          <w:rFonts w:ascii="Arial" w:hAnsi="Arial" w:cs="Arial"/>
          <w:sz w:val="22"/>
          <w:szCs w:val="22"/>
        </w:rPr>
        <w:t xml:space="preserve">wo contracts for “Emergency Job Creation </w:t>
      </w:r>
      <w:proofErr w:type="spellStart"/>
      <w:r w:rsidRPr="00D0794F">
        <w:rPr>
          <w:rFonts w:ascii="Arial" w:hAnsi="Arial" w:cs="Arial"/>
          <w:sz w:val="22"/>
          <w:szCs w:val="22"/>
        </w:rPr>
        <w:t>Programme</w:t>
      </w:r>
      <w:proofErr w:type="spellEnd"/>
      <w:r w:rsidRPr="00D0794F">
        <w:rPr>
          <w:rFonts w:ascii="Arial" w:hAnsi="Arial" w:cs="Arial"/>
          <w:sz w:val="22"/>
          <w:szCs w:val="22"/>
        </w:rPr>
        <w:t xml:space="preserve"> in the Gaza Strip – 2009 &amp; 2011” (€33m) and one  contract for “Support to the Palestinian Civil Police” (€4.5m).</w:t>
      </w:r>
    </w:p>
    <w:p w:rsidR="00A23C41" w:rsidRDefault="00A23C41" w:rsidP="00A23C41">
      <w:pPr>
        <w:spacing w:before="0" w:after="0"/>
        <w:rPr>
          <w:rFonts w:ascii="Arial" w:hAnsi="Arial" w:cs="Arial"/>
          <w:b/>
          <w:smallCaps/>
          <w:color w:val="1F497D" w:themeColor="text2"/>
          <w:sz w:val="24"/>
          <w:szCs w:val="24"/>
        </w:rPr>
      </w:pPr>
      <w:bookmarkStart w:id="91" w:name="_Toc367291882"/>
    </w:p>
    <w:p w:rsidR="00A23C41" w:rsidRPr="00EF09A2" w:rsidRDefault="00A23C41" w:rsidP="00A23C41">
      <w:pPr>
        <w:spacing w:before="0" w:after="0"/>
        <w:rPr>
          <w:rFonts w:ascii="Arial" w:hAnsi="Arial" w:cs="Arial"/>
          <w:b/>
          <w:smallCaps/>
          <w:color w:val="1F497D" w:themeColor="text2"/>
          <w:sz w:val="24"/>
          <w:szCs w:val="24"/>
        </w:rPr>
      </w:pPr>
      <w:r w:rsidRPr="00EF09A2">
        <w:rPr>
          <w:rFonts w:ascii="Arial" w:hAnsi="Arial" w:cs="Arial"/>
          <w:b/>
          <w:smallCaps/>
          <w:color w:val="1F497D" w:themeColor="text2"/>
          <w:sz w:val="24"/>
          <w:szCs w:val="24"/>
        </w:rPr>
        <w:t>Sector distribution</w:t>
      </w:r>
      <w:bookmarkEnd w:id="91"/>
      <w:r w:rsidRPr="00EF09A2">
        <w:rPr>
          <w:rFonts w:ascii="Arial" w:hAnsi="Arial" w:cs="Arial"/>
          <w:b/>
          <w:smallCaps/>
          <w:color w:val="1F497D" w:themeColor="text2"/>
          <w:sz w:val="24"/>
          <w:szCs w:val="24"/>
        </w:rPr>
        <w:t xml:space="preserve"> </w:t>
      </w:r>
    </w:p>
    <w:p w:rsidR="00A23C41" w:rsidRPr="004D6993" w:rsidRDefault="00A23C41" w:rsidP="00A23C41">
      <w:pPr>
        <w:spacing w:before="0" w:after="0"/>
        <w:rPr>
          <w:rFonts w:ascii="Arial" w:hAnsi="Arial" w:cs="Arial"/>
          <w:sz w:val="22"/>
          <w:szCs w:val="22"/>
        </w:rPr>
      </w:pPr>
      <w:r w:rsidRPr="004D6993">
        <w:rPr>
          <w:rFonts w:ascii="Arial" w:hAnsi="Arial" w:cs="Arial"/>
          <w:sz w:val="22"/>
          <w:szCs w:val="22"/>
        </w:rPr>
        <w:t xml:space="preserve">The inventory includes cooperation contributions to the seven sectors described in Table 2 of the methodology and synthesized in figure 5, figure 6 and table 13 here below. </w:t>
      </w:r>
    </w:p>
    <w:p w:rsidR="00A23C41" w:rsidRPr="00EF09A2" w:rsidRDefault="00A23C41" w:rsidP="00A23C41">
      <w:pPr>
        <w:spacing w:before="0" w:after="0"/>
        <w:jc w:val="center"/>
        <w:rPr>
          <w:rFonts w:ascii="Arial" w:hAnsi="Arial" w:cs="Arial"/>
          <w:sz w:val="24"/>
          <w:szCs w:val="24"/>
        </w:rPr>
      </w:pPr>
    </w:p>
    <w:p w:rsidR="00A23C41" w:rsidRPr="00EF09A2" w:rsidRDefault="00A43E18" w:rsidP="00A23C41">
      <w:pPr>
        <w:spacing w:before="0" w:after="0"/>
        <w:jc w:val="center"/>
        <w:rPr>
          <w:rFonts w:ascii="Arial" w:hAnsi="Arial" w:cs="Arial"/>
          <w:sz w:val="24"/>
          <w:szCs w:val="24"/>
        </w:rPr>
      </w:pPr>
      <w:r w:rsidRPr="00A43E18">
        <w:rPr>
          <w:rFonts w:ascii="Arial" w:hAnsi="Arial" w:cs="Arial"/>
          <w:sz w:val="24"/>
          <w:szCs w:val="24"/>
        </w:rPr>
      </w:r>
      <w:r>
        <w:rPr>
          <w:rFonts w:ascii="Arial" w:hAnsi="Arial" w:cs="Arial"/>
          <w:sz w:val="24"/>
          <w:szCs w:val="24"/>
        </w:rPr>
        <w:pict>
          <v:shape id="_x0000_s1128" type="#_x0000_t202" style="width:349.05pt;height:234.75pt;visibility:visible;mso-position-horizontal-relative:char;mso-position-vertical-relative:lin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" filled="f" strokecolor="#000090">
            <v:path arrowok="t"/>
            <v:textbox style="mso-next-textbox:#_x0000_s1128">
              <w:txbxContent>
                <w:p w:rsidR="005D72C2" w:rsidRPr="004D6993" w:rsidRDefault="005D72C2" w:rsidP="00A23C41">
                  <w:pPr>
                    <w:jc w:val="center"/>
                    <w:rPr>
                      <w:rFonts w:ascii="Arial" w:hAnsi="Arial" w:cs="Arial"/>
                      <w:b/>
                      <w:color w:val="1F497D" w:themeColor="text2"/>
                      <w:sz w:val="18"/>
                      <w:szCs w:val="18"/>
                    </w:rPr>
                  </w:pPr>
                  <w:bookmarkStart w:id="92" w:name="_Toc366743972"/>
                  <w:bookmarkStart w:id="93" w:name="_Toc366744052"/>
                  <w:bookmarkStart w:id="94" w:name="_Toc366744933"/>
                  <w:r w:rsidRPr="004D6993">
                    <w:rPr>
                      <w:rFonts w:ascii="Arial" w:hAnsi="Arial" w:cs="Arial"/>
                      <w:b/>
                      <w:color w:val="1F497D" w:themeColor="text2"/>
                      <w:sz w:val="18"/>
                      <w:szCs w:val="18"/>
                    </w:rPr>
                    <w:t xml:space="preserve">Figure 5: </w:t>
                  </w:r>
                  <w:r w:rsidR="00A96ED2">
                    <w:rPr>
                      <w:rFonts w:ascii="Arial" w:hAnsi="Arial" w:cs="Arial"/>
                      <w:b/>
                      <w:color w:val="1F497D" w:themeColor="text2"/>
                      <w:sz w:val="18"/>
                      <w:szCs w:val="18"/>
                    </w:rPr>
                    <w:t>DEVCO</w:t>
                  </w:r>
                  <w:r w:rsidRPr="004D6993">
                    <w:rPr>
                      <w:rFonts w:ascii="Arial" w:hAnsi="Arial" w:cs="Arial"/>
                      <w:b/>
                      <w:color w:val="1F497D" w:themeColor="text2"/>
                      <w:sz w:val="18"/>
                      <w:szCs w:val="18"/>
                    </w:rPr>
                    <w:t xml:space="preserve"> </w:t>
                  </w:r>
                  <w:r w:rsidR="00A96ED2">
                    <w:rPr>
                      <w:rFonts w:ascii="Arial" w:hAnsi="Arial" w:cs="Arial"/>
                      <w:b/>
                      <w:color w:val="1F497D" w:themeColor="text2"/>
                      <w:sz w:val="18"/>
                      <w:szCs w:val="18"/>
                    </w:rPr>
                    <w:t>Committed</w:t>
                  </w:r>
                  <w:r w:rsidRPr="004D6993">
                    <w:rPr>
                      <w:rFonts w:ascii="Arial" w:hAnsi="Arial" w:cs="Arial"/>
                      <w:b/>
                      <w:color w:val="1F497D" w:themeColor="text2"/>
                      <w:sz w:val="18"/>
                      <w:szCs w:val="18"/>
                    </w:rPr>
                    <w:t xml:space="preserve"> amount by sector to Palestine 2008-201</w:t>
                  </w:r>
                  <w:r>
                    <w:rPr>
                      <w:rFonts w:ascii="Arial" w:hAnsi="Arial" w:cs="Arial"/>
                      <w:b/>
                      <w:color w:val="1F497D" w:themeColor="text2"/>
                      <w:sz w:val="18"/>
                      <w:szCs w:val="18"/>
                    </w:rPr>
                    <w:t>3</w:t>
                  </w:r>
                  <w:r w:rsidRPr="004D6993">
                    <w:rPr>
                      <w:rFonts w:ascii="Arial" w:hAnsi="Arial" w:cs="Arial"/>
                      <w:b/>
                      <w:color w:val="1F497D" w:themeColor="text2"/>
                      <w:sz w:val="18"/>
                      <w:szCs w:val="18"/>
                    </w:rPr>
                    <w:t xml:space="preserve"> - €%</w:t>
                  </w:r>
                  <w:bookmarkEnd w:id="92"/>
                  <w:bookmarkEnd w:id="93"/>
                  <w:bookmarkEnd w:id="94"/>
                </w:p>
                <w:p w:rsidR="005D72C2" w:rsidRDefault="005D72C2" w:rsidP="00A23C41">
                  <w:pPr>
                    <w:jc w:val="center"/>
                    <w:rPr>
                      <w:rFonts w:ascii="Times New Roman" w:hAnsi="Times New Roman"/>
                      <w:i/>
                      <w:sz w:val="20"/>
                    </w:rPr>
                  </w:pPr>
                  <w:r w:rsidRPr="00BB1BC7">
                    <w:rPr>
                      <w:rFonts w:ascii="Times New Roman" w:hAnsi="Times New Roman"/>
                      <w:i/>
                      <w:noProof/>
                      <w:sz w:val="20"/>
                      <w:lang w:val="it-IT" w:eastAsia="it-IT"/>
                    </w:rPr>
                    <w:drawing>
                      <wp:inline distT="0" distB="0" distL="0" distR="0">
                        <wp:extent cx="4240530" cy="2544318"/>
                        <wp:effectExtent l="0" t="0" r="0" b="0"/>
                        <wp:docPr id="103" name="Grafico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47"/>
                          </a:graphicData>
                        </a:graphic>
                      </wp:inline>
                    </w:drawing>
                  </w:r>
                </w:p>
                <w:p w:rsidR="005D72C2" w:rsidRPr="004D6993" w:rsidRDefault="005D72C2" w:rsidP="00A23C41">
                  <w:pPr>
                    <w:jc w:val="center"/>
                    <w:rPr>
                      <w:rFonts w:ascii="Arial" w:hAnsi="Arial" w:cs="Arial"/>
                      <w:sz w:val="16"/>
                      <w:szCs w:val="16"/>
                    </w:rPr>
                  </w:pPr>
                  <w:r w:rsidRPr="004D6993">
                    <w:rPr>
                      <w:rFonts w:ascii="Arial" w:hAnsi="Arial" w:cs="Arial"/>
                      <w:i/>
                      <w:sz w:val="16"/>
                      <w:szCs w:val="16"/>
                    </w:rPr>
                    <w:t xml:space="preserve">Source: EC </w:t>
                  </w:r>
                  <w:proofErr w:type="spellStart"/>
                  <w:r w:rsidRPr="004D6993">
                    <w:rPr>
                      <w:rFonts w:ascii="Arial" w:hAnsi="Arial" w:cs="Arial"/>
                      <w:i/>
                      <w:sz w:val="16"/>
                      <w:szCs w:val="16"/>
                    </w:rPr>
                    <w:t>Datawarehouse</w:t>
                  </w:r>
                  <w:proofErr w:type="spellEnd"/>
                  <w:r w:rsidRPr="004D6993">
                    <w:rPr>
                      <w:rFonts w:ascii="Arial" w:hAnsi="Arial" w:cs="Arial"/>
                      <w:i/>
                      <w:sz w:val="16"/>
                      <w:szCs w:val="16"/>
                    </w:rPr>
                    <w:t xml:space="preserve"> and DRN elaboration</w:t>
                  </w:r>
                </w:p>
              </w:txbxContent>
            </v:textbox>
            <w10:wrap type="none"/>
            <w10:anchorlock/>
          </v:shape>
        </w:pict>
      </w:r>
    </w:p>
    <w:p w:rsidR="00A23C41" w:rsidRPr="00EF09A2" w:rsidRDefault="00A23C41" w:rsidP="00A23C41">
      <w:pPr>
        <w:spacing w:before="0" w:after="0"/>
        <w:jc w:val="center"/>
        <w:rPr>
          <w:rFonts w:ascii="Arial" w:hAnsi="Arial" w:cs="Arial"/>
          <w:sz w:val="24"/>
          <w:szCs w:val="24"/>
        </w:rPr>
      </w:pPr>
    </w:p>
    <w:tbl>
      <w:tblPr>
        <w:tblStyle w:val="Grigliatabella"/>
        <w:tblW w:w="0" w:type="auto"/>
        <w:jc w:val="center"/>
        <w:tblBorders>
          <w:top w:val="single" w:sz="4" w:space="0" w:color="1F497D" w:themeColor="text2"/>
          <w:left w:val="single" w:sz="4" w:space="0" w:color="1F497D" w:themeColor="text2"/>
          <w:bottom w:val="single" w:sz="4" w:space="0" w:color="1F497D" w:themeColor="text2"/>
          <w:right w:val="single" w:sz="4" w:space="0" w:color="1F497D" w:themeColor="text2"/>
          <w:insideH w:val="none" w:sz="0" w:space="0" w:color="auto"/>
          <w:insideV w:val="none" w:sz="0" w:space="0" w:color="auto"/>
        </w:tblBorders>
        <w:tblLook w:val="04A0"/>
      </w:tblPr>
      <w:tblGrid>
        <w:gridCol w:w="7450"/>
      </w:tblGrid>
      <w:tr w:rsidR="00A23C41" w:rsidRPr="00EF09A2" w:rsidTr="00A96ED2">
        <w:trPr>
          <w:trHeight w:val="4282"/>
          <w:jc w:val="center"/>
        </w:trPr>
        <w:tc>
          <w:tcPr>
            <w:tcW w:w="7450" w:type="dxa"/>
          </w:tcPr>
          <w:p w:rsidR="00A23C41" w:rsidRPr="00BB1BC7" w:rsidRDefault="00A23C41" w:rsidP="00D714DB">
            <w:pPr>
              <w:pStyle w:val="Didascalia"/>
              <w:framePr w:wrap="around"/>
            </w:pPr>
            <w:bookmarkStart w:id="95" w:name="_Toc366744934"/>
            <w:r w:rsidRPr="00BB1BC7">
              <w:t xml:space="preserve">Figure 6: </w:t>
            </w:r>
            <w:r w:rsidR="00A96ED2">
              <w:t>DEVCO</w:t>
            </w:r>
            <w:r w:rsidRPr="00BB1BC7">
              <w:t xml:space="preserve"> </w:t>
            </w:r>
            <w:r w:rsidR="009D7E2C">
              <w:t>Committed amount</w:t>
            </w:r>
            <w:r w:rsidRPr="00BB1BC7">
              <w:t xml:space="preserve"> by sector and year to Palestine 2008-201</w:t>
            </w:r>
            <w:r w:rsidR="00363C06">
              <w:t>3</w:t>
            </w:r>
            <w:r w:rsidRPr="00BB1BC7">
              <w:t xml:space="preserve"> - €M</w:t>
            </w:r>
            <w:bookmarkEnd w:id="95"/>
          </w:p>
          <w:p w:rsidR="00A23C41" w:rsidRPr="00E45E66" w:rsidRDefault="00A23C41" w:rsidP="00A23C41">
            <w:pPr>
              <w:keepNext/>
              <w:spacing w:before="0" w:after="0"/>
              <w:jc w:val="center"/>
              <w:rPr>
                <w:rFonts w:ascii="Arial" w:hAnsi="Arial" w:cs="Arial"/>
                <w:sz w:val="24"/>
                <w:szCs w:val="24"/>
              </w:rPr>
            </w:pPr>
            <w:r w:rsidRPr="00E45E66">
              <w:rPr>
                <w:rFonts w:ascii="Arial" w:hAnsi="Arial" w:cs="Arial"/>
                <w:noProof/>
                <w:sz w:val="24"/>
                <w:szCs w:val="24"/>
                <w:lang w:val="it-IT" w:eastAsia="it-IT"/>
              </w:rPr>
              <w:drawing>
                <wp:inline distT="0" distB="0" distL="0" distR="0">
                  <wp:extent cx="4321834" cy="3329797"/>
                  <wp:effectExtent l="0" t="0" r="0" b="0"/>
                  <wp:docPr id="110" name="Grafico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8"/>
                    </a:graphicData>
                  </a:graphic>
                </wp:inline>
              </w:drawing>
            </w:r>
          </w:p>
        </w:tc>
      </w:tr>
    </w:tbl>
    <w:p w:rsidR="00A23C41" w:rsidRPr="00084581" w:rsidRDefault="00A23C41" w:rsidP="00A23C41">
      <w:pPr>
        <w:spacing w:before="0" w:after="0"/>
        <w:rPr>
          <w:rFonts w:ascii="Arial" w:hAnsi="Arial" w:cs="Arial"/>
          <w:sz w:val="22"/>
          <w:szCs w:val="22"/>
        </w:rPr>
      </w:pPr>
    </w:p>
    <w:p w:rsidR="00A23C41" w:rsidRPr="00084581" w:rsidRDefault="00A23C41" w:rsidP="00A23C41">
      <w:pPr>
        <w:spacing w:before="0" w:after="0"/>
        <w:rPr>
          <w:rFonts w:ascii="Arial" w:hAnsi="Arial" w:cs="Arial"/>
          <w:sz w:val="22"/>
          <w:szCs w:val="22"/>
        </w:rPr>
      </w:pPr>
      <w:r w:rsidRPr="00084581">
        <w:rPr>
          <w:rFonts w:ascii="Arial" w:hAnsi="Arial" w:cs="Arial"/>
          <w:sz w:val="22"/>
          <w:szCs w:val="22"/>
        </w:rPr>
        <w:lastRenderedPageBreak/>
        <w:t>More than €1.5m of EC Cooperation with Palestine is attributed to the social sector (SOC)</w:t>
      </w:r>
      <w:r w:rsidRPr="00084581">
        <w:rPr>
          <w:rStyle w:val="Rimandonotaapidipagina"/>
          <w:rFonts w:ascii="Arial" w:hAnsi="Arial" w:cs="Arial"/>
          <w:sz w:val="22"/>
          <w:szCs w:val="22"/>
        </w:rPr>
        <w:footnoteReference w:id="85"/>
      </w:r>
      <w:r w:rsidRPr="00084581">
        <w:rPr>
          <w:rFonts w:ascii="Arial" w:hAnsi="Arial" w:cs="Arial"/>
          <w:sz w:val="22"/>
          <w:szCs w:val="22"/>
        </w:rPr>
        <w:t xml:space="preserve">, accounting for 75% of the total </w:t>
      </w:r>
      <w:r w:rsidR="009D7E2C">
        <w:rPr>
          <w:rFonts w:ascii="Arial" w:hAnsi="Arial" w:cs="Arial"/>
          <w:sz w:val="22"/>
          <w:szCs w:val="22"/>
        </w:rPr>
        <w:t>committed amount</w:t>
      </w:r>
      <w:r w:rsidRPr="00084581">
        <w:rPr>
          <w:rFonts w:ascii="Arial" w:hAnsi="Arial" w:cs="Arial"/>
          <w:sz w:val="22"/>
          <w:szCs w:val="22"/>
        </w:rPr>
        <w:t xml:space="preserve"> (Figure 5), and representing the most important sector for the period 2008-2013 (Figure 6). </w:t>
      </w:r>
    </w:p>
    <w:p w:rsidR="00A23C41" w:rsidRPr="00084581" w:rsidRDefault="00A23C41" w:rsidP="00A23C41">
      <w:pPr>
        <w:spacing w:before="0" w:after="0"/>
        <w:rPr>
          <w:rFonts w:ascii="Arial" w:hAnsi="Arial" w:cs="Arial"/>
          <w:sz w:val="22"/>
          <w:szCs w:val="22"/>
        </w:rPr>
      </w:pPr>
    </w:p>
    <w:p w:rsidR="00A23C41" w:rsidRPr="00084581" w:rsidRDefault="00A23C41" w:rsidP="00A23C41">
      <w:pPr>
        <w:spacing w:before="0" w:after="0"/>
        <w:rPr>
          <w:rFonts w:ascii="Arial" w:hAnsi="Arial" w:cs="Arial"/>
          <w:sz w:val="22"/>
          <w:szCs w:val="22"/>
        </w:rPr>
      </w:pPr>
      <w:r w:rsidRPr="00084581">
        <w:rPr>
          <w:rFonts w:ascii="Arial" w:hAnsi="Arial" w:cs="Arial"/>
          <w:sz w:val="22"/>
          <w:szCs w:val="22"/>
        </w:rPr>
        <w:t xml:space="preserve">Under the Social sector a number of relevant subsectors are included, see table 13, and the analysis presets the following results: </w:t>
      </w:r>
    </w:p>
    <w:p w:rsidR="00A23C41" w:rsidRPr="00EF09A2" w:rsidRDefault="00A23C41" w:rsidP="00A23C41">
      <w:pPr>
        <w:spacing w:before="0" w:after="0"/>
        <w:rPr>
          <w:rFonts w:ascii="Arial" w:hAnsi="Arial" w:cs="Arial"/>
          <w:sz w:val="24"/>
          <w:szCs w:val="24"/>
        </w:rPr>
      </w:pPr>
    </w:p>
    <w:p w:rsidR="00A23C41" w:rsidRPr="0081410E" w:rsidRDefault="00A23C41" w:rsidP="00A23C41">
      <w:pPr>
        <w:pStyle w:val="Paragrafoelenco"/>
        <w:numPr>
          <w:ilvl w:val="0"/>
          <w:numId w:val="2"/>
        </w:numPr>
        <w:spacing w:before="0" w:after="0"/>
        <w:rPr>
          <w:rFonts w:ascii="Arial" w:hAnsi="Arial" w:cs="Arial"/>
          <w:sz w:val="22"/>
          <w:szCs w:val="22"/>
        </w:rPr>
      </w:pPr>
      <w:r w:rsidRPr="0081410E">
        <w:rPr>
          <w:rFonts w:ascii="Arial" w:hAnsi="Arial" w:cs="Arial"/>
          <w:sz w:val="22"/>
          <w:szCs w:val="22"/>
        </w:rPr>
        <w:t xml:space="preserve">the </w:t>
      </w:r>
      <w:r w:rsidRPr="0081410E">
        <w:rPr>
          <w:rFonts w:ascii="Arial" w:hAnsi="Arial" w:cs="Arial"/>
          <w:i/>
          <w:sz w:val="22"/>
          <w:szCs w:val="22"/>
          <w:u w:val="single"/>
        </w:rPr>
        <w:t>Education</w:t>
      </w:r>
      <w:r w:rsidRPr="0081410E">
        <w:rPr>
          <w:rFonts w:ascii="Arial" w:hAnsi="Arial" w:cs="Arial"/>
          <w:sz w:val="22"/>
          <w:szCs w:val="22"/>
        </w:rPr>
        <w:t xml:space="preserve"> sub-sec</w:t>
      </w:r>
      <w:r>
        <w:rPr>
          <w:rFonts w:ascii="Arial" w:hAnsi="Arial" w:cs="Arial"/>
          <w:sz w:val="22"/>
          <w:szCs w:val="22"/>
        </w:rPr>
        <w:t>tor absorbs 32</w:t>
      </w:r>
      <w:r w:rsidRPr="0081410E">
        <w:rPr>
          <w:rFonts w:ascii="Arial" w:hAnsi="Arial" w:cs="Arial"/>
          <w:sz w:val="22"/>
          <w:szCs w:val="22"/>
        </w:rPr>
        <w:t xml:space="preserve">.4% (€677M) of the total </w:t>
      </w:r>
      <w:r w:rsidR="009D7E2C">
        <w:rPr>
          <w:rFonts w:ascii="Arial" w:hAnsi="Arial" w:cs="Arial"/>
          <w:sz w:val="22"/>
          <w:szCs w:val="22"/>
        </w:rPr>
        <w:t>committed amount</w:t>
      </w:r>
      <w:r w:rsidRPr="0081410E">
        <w:rPr>
          <w:rFonts w:ascii="Arial" w:hAnsi="Arial" w:cs="Arial"/>
          <w:sz w:val="22"/>
          <w:szCs w:val="22"/>
        </w:rPr>
        <w:t>, by far the largest beneficiary of EC cooperation, including interventions under PEGASE – DFS - CSP (€396m), UNRWA (€251m)</w:t>
      </w:r>
      <w:r w:rsidRPr="0081410E">
        <w:rPr>
          <w:rStyle w:val="Rimandonotaapidipagina"/>
          <w:rFonts w:ascii="Arial" w:hAnsi="Arial" w:cs="Arial"/>
          <w:sz w:val="22"/>
          <w:szCs w:val="22"/>
        </w:rPr>
        <w:footnoteReference w:id="86"/>
      </w:r>
      <w:r w:rsidRPr="0081410E">
        <w:rPr>
          <w:rFonts w:ascii="Arial" w:hAnsi="Arial" w:cs="Arial"/>
          <w:sz w:val="22"/>
          <w:szCs w:val="22"/>
        </w:rPr>
        <w:t xml:space="preserve"> that includes the large project “</w:t>
      </w:r>
      <w:r w:rsidRPr="0081410E">
        <w:rPr>
          <w:rFonts w:ascii="Arial" w:hAnsi="Arial" w:cs="Arial"/>
          <w:i/>
          <w:sz w:val="22"/>
          <w:szCs w:val="22"/>
        </w:rPr>
        <w:t>Provision of Quality Education Services</w:t>
      </w:r>
      <w:r w:rsidRPr="0081410E">
        <w:rPr>
          <w:rFonts w:ascii="Arial" w:hAnsi="Arial" w:cs="Arial"/>
          <w:sz w:val="22"/>
          <w:szCs w:val="22"/>
        </w:rPr>
        <w:t>” (€10M) and under the Development mechanism (€18m) that includes the “</w:t>
      </w:r>
      <w:r w:rsidRPr="0081410E">
        <w:rPr>
          <w:rFonts w:ascii="Arial" w:hAnsi="Arial" w:cs="Arial"/>
          <w:i/>
          <w:sz w:val="22"/>
          <w:szCs w:val="22"/>
        </w:rPr>
        <w:t>Quality Systems for Quality Teachers (QSQT</w:t>
      </w:r>
      <w:r w:rsidRPr="0081410E">
        <w:rPr>
          <w:rFonts w:ascii="Arial" w:hAnsi="Arial" w:cs="Arial"/>
          <w:sz w:val="22"/>
          <w:szCs w:val="22"/>
        </w:rPr>
        <w:t>)” (€4M) and the “</w:t>
      </w:r>
      <w:r w:rsidRPr="0081410E">
        <w:rPr>
          <w:rFonts w:ascii="Arial" w:hAnsi="Arial" w:cs="Arial"/>
          <w:i/>
          <w:sz w:val="22"/>
          <w:szCs w:val="22"/>
        </w:rPr>
        <w:t>Support to the Implementation of the Teacher Education Strategy for Palestine</w:t>
      </w:r>
      <w:r w:rsidRPr="0081410E">
        <w:rPr>
          <w:rFonts w:ascii="Arial" w:hAnsi="Arial" w:cs="Arial"/>
          <w:sz w:val="22"/>
          <w:szCs w:val="22"/>
        </w:rPr>
        <w:t xml:space="preserve">” (€3.6M). </w:t>
      </w:r>
    </w:p>
    <w:p w:rsidR="00A23C41" w:rsidRPr="007810C3" w:rsidRDefault="00A23C41" w:rsidP="00A23C41">
      <w:pPr>
        <w:tabs>
          <w:tab w:val="left" w:pos="1985"/>
        </w:tabs>
        <w:spacing w:before="0" w:after="0"/>
        <w:rPr>
          <w:rFonts w:ascii="Arial" w:hAnsi="Arial" w:cs="Arial"/>
          <w:sz w:val="22"/>
          <w:szCs w:val="22"/>
        </w:rPr>
      </w:pPr>
    </w:p>
    <w:p w:rsidR="00A23C41" w:rsidRPr="007810C3" w:rsidRDefault="00A23C41" w:rsidP="00A23C41">
      <w:pPr>
        <w:pStyle w:val="Paragrafoelenco"/>
        <w:numPr>
          <w:ilvl w:val="0"/>
          <w:numId w:val="2"/>
        </w:numPr>
        <w:tabs>
          <w:tab w:val="left" w:pos="1985"/>
        </w:tabs>
        <w:spacing w:before="0" w:after="0"/>
        <w:rPr>
          <w:rFonts w:ascii="Arial" w:hAnsi="Arial" w:cs="Arial"/>
          <w:sz w:val="22"/>
          <w:szCs w:val="22"/>
        </w:rPr>
      </w:pPr>
      <w:r w:rsidRPr="007810C3">
        <w:rPr>
          <w:rFonts w:ascii="Arial" w:hAnsi="Arial" w:cs="Arial"/>
          <w:sz w:val="22"/>
          <w:szCs w:val="22"/>
        </w:rPr>
        <w:t xml:space="preserve">The </w:t>
      </w:r>
      <w:r w:rsidRPr="007810C3">
        <w:rPr>
          <w:rFonts w:ascii="Arial" w:hAnsi="Arial" w:cs="Arial"/>
          <w:i/>
          <w:sz w:val="22"/>
          <w:szCs w:val="22"/>
          <w:u w:val="single"/>
        </w:rPr>
        <w:t>Welfare services</w:t>
      </w:r>
      <w:r w:rsidRPr="007810C3">
        <w:rPr>
          <w:rFonts w:ascii="Arial" w:hAnsi="Arial" w:cs="Arial"/>
          <w:sz w:val="22"/>
          <w:szCs w:val="22"/>
        </w:rPr>
        <w:t xml:space="preserve"> subsector ranks second with €425M (20.4%) and includes under PEGASE-DFS-CSP funds for pensioners (€101M) and funds for other not specified activities (€219M); while under UNRWA includes funds for relief activates, support services and social infrastructures (€104M). </w:t>
      </w:r>
    </w:p>
    <w:p w:rsidR="00A23C41" w:rsidRPr="00EF09A2" w:rsidRDefault="00A23C41" w:rsidP="00A23C41">
      <w:pPr>
        <w:tabs>
          <w:tab w:val="left" w:pos="1985"/>
        </w:tabs>
        <w:spacing w:before="0" w:after="0"/>
        <w:rPr>
          <w:rFonts w:ascii="Arial" w:hAnsi="Arial" w:cs="Arial"/>
          <w:sz w:val="24"/>
          <w:szCs w:val="24"/>
        </w:rPr>
      </w:pPr>
    </w:p>
    <w:p w:rsidR="00A23C41" w:rsidRPr="007810C3" w:rsidRDefault="00A23C41" w:rsidP="00A23C41">
      <w:pPr>
        <w:pStyle w:val="Paragrafoelenco"/>
        <w:numPr>
          <w:ilvl w:val="0"/>
          <w:numId w:val="2"/>
        </w:numPr>
        <w:tabs>
          <w:tab w:val="left" w:pos="1985"/>
        </w:tabs>
        <w:spacing w:before="0" w:after="0"/>
        <w:rPr>
          <w:rFonts w:ascii="Arial" w:hAnsi="Arial" w:cs="Arial"/>
          <w:sz w:val="22"/>
          <w:szCs w:val="22"/>
        </w:rPr>
      </w:pPr>
      <w:r w:rsidRPr="007810C3">
        <w:rPr>
          <w:rFonts w:ascii="Arial" w:hAnsi="Arial" w:cs="Arial"/>
          <w:sz w:val="22"/>
          <w:szCs w:val="22"/>
        </w:rPr>
        <w:t xml:space="preserve">The </w:t>
      </w:r>
      <w:r w:rsidRPr="007810C3">
        <w:rPr>
          <w:rFonts w:ascii="Arial" w:hAnsi="Arial" w:cs="Arial"/>
          <w:i/>
          <w:sz w:val="22"/>
          <w:szCs w:val="22"/>
          <w:u w:val="single"/>
        </w:rPr>
        <w:t>Health</w:t>
      </w:r>
      <w:r w:rsidRPr="007810C3">
        <w:rPr>
          <w:rFonts w:ascii="Arial" w:hAnsi="Arial" w:cs="Arial"/>
          <w:sz w:val="22"/>
          <w:szCs w:val="22"/>
        </w:rPr>
        <w:t xml:space="preserve"> subsector follows and receives €230M of the </w:t>
      </w:r>
      <w:r w:rsidR="009D7E2C">
        <w:rPr>
          <w:rFonts w:ascii="Arial" w:hAnsi="Arial" w:cs="Arial"/>
          <w:sz w:val="22"/>
          <w:szCs w:val="22"/>
        </w:rPr>
        <w:t>committed amount</w:t>
      </w:r>
      <w:r w:rsidRPr="007810C3">
        <w:rPr>
          <w:rFonts w:ascii="Arial" w:hAnsi="Arial" w:cs="Arial"/>
          <w:sz w:val="22"/>
          <w:szCs w:val="22"/>
        </w:rPr>
        <w:t xml:space="preserve"> accounting for 11% and includes interventions under PEGASE – DFS- CSP (€127M), to be mentioned the project “</w:t>
      </w:r>
      <w:r w:rsidRPr="007810C3">
        <w:rPr>
          <w:rFonts w:ascii="Arial" w:hAnsi="Arial" w:cs="Arial"/>
          <w:i/>
          <w:sz w:val="22"/>
          <w:szCs w:val="22"/>
        </w:rPr>
        <w:t>East Jerusalem Hospitals: Network for Quality</w:t>
      </w:r>
      <w:r w:rsidRPr="007810C3">
        <w:rPr>
          <w:rFonts w:ascii="Arial" w:hAnsi="Arial" w:cs="Arial"/>
          <w:sz w:val="22"/>
          <w:szCs w:val="22"/>
        </w:rPr>
        <w:t>” (€2.6M), under UNRWA (€81M) that funds projects such as “</w:t>
      </w:r>
      <w:r w:rsidRPr="007810C3">
        <w:rPr>
          <w:rFonts w:ascii="Arial" w:hAnsi="Arial" w:cs="Arial"/>
          <w:i/>
          <w:sz w:val="22"/>
          <w:szCs w:val="22"/>
        </w:rPr>
        <w:t>Mental Health and Psychosocial Services Support</w:t>
      </w:r>
      <w:r w:rsidRPr="007810C3">
        <w:rPr>
          <w:rFonts w:ascii="Arial" w:hAnsi="Arial" w:cs="Arial"/>
          <w:sz w:val="22"/>
          <w:szCs w:val="22"/>
        </w:rPr>
        <w:t>” (€3.4M) and under DEV (€8.5M). Large projects under the DEV mechanism are in particular the “</w:t>
      </w:r>
      <w:r w:rsidRPr="007810C3">
        <w:rPr>
          <w:rFonts w:ascii="Arial" w:hAnsi="Arial" w:cs="Arial"/>
          <w:i/>
          <w:sz w:val="22"/>
          <w:szCs w:val="22"/>
        </w:rPr>
        <w:t>Mental Health and Psychosocial Support in West Bank and Gaza, Phase II (MHPSS II)</w:t>
      </w:r>
      <w:r w:rsidRPr="007810C3">
        <w:rPr>
          <w:rFonts w:ascii="Arial" w:hAnsi="Arial" w:cs="Arial"/>
          <w:sz w:val="22"/>
          <w:szCs w:val="22"/>
        </w:rPr>
        <w:t>” (€14M) and the project “</w:t>
      </w:r>
      <w:r w:rsidRPr="007810C3">
        <w:rPr>
          <w:rFonts w:ascii="Arial" w:hAnsi="Arial" w:cs="Arial"/>
          <w:i/>
          <w:sz w:val="22"/>
          <w:szCs w:val="22"/>
        </w:rPr>
        <w:t>Improving health and well-being among people affected by mental illness in Gaza: Building local capacity for service provision and support</w:t>
      </w:r>
      <w:r w:rsidRPr="007810C3">
        <w:rPr>
          <w:rFonts w:ascii="Arial" w:hAnsi="Arial" w:cs="Arial"/>
          <w:sz w:val="22"/>
          <w:szCs w:val="22"/>
        </w:rPr>
        <w:t>”(€10M).</w:t>
      </w:r>
    </w:p>
    <w:p w:rsidR="00A23C41" w:rsidRPr="00EF09A2" w:rsidRDefault="00A23C41" w:rsidP="00A23C41">
      <w:pPr>
        <w:tabs>
          <w:tab w:val="left" w:pos="1985"/>
        </w:tabs>
        <w:spacing w:before="0" w:after="0"/>
        <w:rPr>
          <w:rFonts w:ascii="Arial" w:hAnsi="Arial" w:cs="Arial"/>
          <w:sz w:val="24"/>
          <w:szCs w:val="24"/>
        </w:rPr>
      </w:pPr>
    </w:p>
    <w:p w:rsidR="00A23C41" w:rsidRDefault="00A23C41" w:rsidP="00A23C41">
      <w:pPr>
        <w:pStyle w:val="Paragrafoelenco"/>
        <w:numPr>
          <w:ilvl w:val="0"/>
          <w:numId w:val="2"/>
        </w:numPr>
        <w:tabs>
          <w:tab w:val="left" w:pos="1985"/>
        </w:tabs>
        <w:spacing w:before="0" w:after="0"/>
        <w:rPr>
          <w:rFonts w:ascii="Arial" w:hAnsi="Arial" w:cs="Arial"/>
          <w:sz w:val="22"/>
          <w:szCs w:val="22"/>
        </w:rPr>
      </w:pPr>
      <w:r w:rsidRPr="007810C3">
        <w:rPr>
          <w:rFonts w:ascii="Arial" w:hAnsi="Arial" w:cs="Arial"/>
          <w:sz w:val="22"/>
          <w:szCs w:val="22"/>
        </w:rPr>
        <w:t xml:space="preserve">The remaining amount of €208M (10%) under the Social sector is channeled to the </w:t>
      </w:r>
      <w:r w:rsidRPr="007810C3">
        <w:rPr>
          <w:rFonts w:ascii="Arial" w:hAnsi="Arial" w:cs="Arial"/>
          <w:i/>
          <w:sz w:val="22"/>
          <w:szCs w:val="22"/>
          <w:u w:val="single"/>
        </w:rPr>
        <w:t>Social protection</w:t>
      </w:r>
      <w:r w:rsidRPr="007810C3">
        <w:rPr>
          <w:rFonts w:ascii="Arial" w:hAnsi="Arial" w:cs="Arial"/>
          <w:sz w:val="22"/>
          <w:szCs w:val="22"/>
        </w:rPr>
        <w:t xml:space="preserve"> subsector. In particular under this sub-sector the PEGASE-DFS-VPF mechanism receives €190M and the DEV mechanism €17M. The last includes among others the projects “</w:t>
      </w:r>
      <w:r w:rsidRPr="007810C3">
        <w:rPr>
          <w:rFonts w:ascii="Arial" w:hAnsi="Arial" w:cs="Arial"/>
          <w:i/>
          <w:sz w:val="22"/>
          <w:szCs w:val="22"/>
        </w:rPr>
        <w:t>Technical assistance to the Ministry of Social Affairs (</w:t>
      </w:r>
      <w:proofErr w:type="spellStart"/>
      <w:r w:rsidRPr="007810C3">
        <w:rPr>
          <w:rFonts w:ascii="Arial" w:hAnsi="Arial" w:cs="Arial"/>
          <w:i/>
          <w:sz w:val="22"/>
          <w:szCs w:val="22"/>
        </w:rPr>
        <w:t>MoSA</w:t>
      </w:r>
      <w:proofErr w:type="spellEnd"/>
      <w:r w:rsidRPr="007810C3">
        <w:rPr>
          <w:rFonts w:ascii="Arial" w:hAnsi="Arial" w:cs="Arial"/>
          <w:i/>
          <w:sz w:val="22"/>
          <w:szCs w:val="22"/>
        </w:rPr>
        <w:t>) in the occupied Palestinian territory</w:t>
      </w:r>
      <w:r w:rsidRPr="007810C3">
        <w:rPr>
          <w:rFonts w:ascii="Arial" w:hAnsi="Arial" w:cs="Arial"/>
          <w:sz w:val="22"/>
          <w:szCs w:val="22"/>
        </w:rPr>
        <w:t>” (€2M) and “</w:t>
      </w:r>
      <w:r w:rsidRPr="007810C3">
        <w:rPr>
          <w:rFonts w:ascii="Arial" w:hAnsi="Arial" w:cs="Arial"/>
          <w:i/>
          <w:sz w:val="22"/>
          <w:szCs w:val="22"/>
        </w:rPr>
        <w:t xml:space="preserve">Protect the rights and improve resilience of vulnerable communities in East Jerusalem </w:t>
      </w:r>
      <w:r w:rsidRPr="007810C3">
        <w:rPr>
          <w:rFonts w:ascii="Arial" w:hAnsi="Arial" w:cs="Arial"/>
          <w:sz w:val="22"/>
          <w:szCs w:val="22"/>
        </w:rPr>
        <w:t>(€3.5M).</w:t>
      </w:r>
    </w:p>
    <w:p w:rsidR="00A23C41" w:rsidRPr="007810C3" w:rsidRDefault="00A23C41" w:rsidP="00A23C41">
      <w:pPr>
        <w:pStyle w:val="Paragrafoelenco"/>
        <w:spacing w:before="0" w:after="0"/>
        <w:rPr>
          <w:rFonts w:ascii="Arial" w:hAnsi="Arial" w:cs="Arial"/>
          <w:sz w:val="22"/>
          <w:szCs w:val="22"/>
        </w:rPr>
      </w:pPr>
    </w:p>
    <w:p w:rsidR="00A23C41" w:rsidRPr="007810C3" w:rsidRDefault="00A23C41" w:rsidP="00A23C41">
      <w:pPr>
        <w:pStyle w:val="Paragrafoelenco"/>
        <w:numPr>
          <w:ilvl w:val="0"/>
          <w:numId w:val="2"/>
        </w:numPr>
        <w:tabs>
          <w:tab w:val="left" w:pos="1985"/>
        </w:tabs>
        <w:spacing w:before="0" w:after="0"/>
        <w:rPr>
          <w:rFonts w:ascii="Arial" w:hAnsi="Arial" w:cs="Arial"/>
          <w:sz w:val="22"/>
          <w:szCs w:val="22"/>
        </w:rPr>
      </w:pPr>
      <w:r>
        <w:rPr>
          <w:rFonts w:ascii="Arial" w:hAnsi="Arial" w:cs="Arial"/>
          <w:sz w:val="22"/>
          <w:szCs w:val="22"/>
        </w:rPr>
        <w:t xml:space="preserve">The smallest subsectors under SOC are gender and youth that amount to €9.7M and €9.2M respectively. </w:t>
      </w:r>
    </w:p>
    <w:p w:rsidR="00A23C41" w:rsidRPr="00EF09A2" w:rsidRDefault="00A23C41" w:rsidP="00A23C41">
      <w:pPr>
        <w:tabs>
          <w:tab w:val="left" w:pos="1985"/>
        </w:tabs>
        <w:spacing w:before="0" w:after="0"/>
        <w:rPr>
          <w:rFonts w:ascii="Arial" w:hAnsi="Arial" w:cs="Arial"/>
          <w:sz w:val="24"/>
          <w:szCs w:val="24"/>
        </w:rPr>
      </w:pPr>
    </w:p>
    <w:p w:rsidR="00A23C41" w:rsidRPr="00245CDB" w:rsidRDefault="00A23C41" w:rsidP="00A23C41">
      <w:pPr>
        <w:spacing w:before="0" w:after="0"/>
        <w:rPr>
          <w:rFonts w:ascii="Arial" w:hAnsi="Arial" w:cs="Arial"/>
          <w:sz w:val="22"/>
          <w:szCs w:val="22"/>
        </w:rPr>
      </w:pPr>
      <w:r w:rsidRPr="00245CDB">
        <w:rPr>
          <w:rFonts w:ascii="Arial" w:hAnsi="Arial" w:cs="Arial"/>
          <w:sz w:val="22"/>
          <w:szCs w:val="22"/>
        </w:rPr>
        <w:t xml:space="preserve">The second sector after SOC is the INFR sector with €172M (8.3%) and includes interventions under the sub-sectors </w:t>
      </w:r>
      <w:r w:rsidRPr="00245CDB">
        <w:rPr>
          <w:rFonts w:ascii="Arial" w:hAnsi="Arial" w:cs="Arial"/>
          <w:i/>
          <w:sz w:val="22"/>
          <w:szCs w:val="22"/>
          <w:u w:val="single"/>
        </w:rPr>
        <w:t>Energy</w:t>
      </w:r>
      <w:r w:rsidRPr="00245CDB">
        <w:rPr>
          <w:rFonts w:ascii="Arial" w:hAnsi="Arial" w:cs="Arial"/>
          <w:sz w:val="22"/>
          <w:szCs w:val="22"/>
          <w:u w:val="single"/>
        </w:rPr>
        <w:t xml:space="preserve"> </w:t>
      </w:r>
      <w:r w:rsidRPr="00245CDB">
        <w:rPr>
          <w:rFonts w:ascii="Arial" w:hAnsi="Arial" w:cs="Arial"/>
          <w:sz w:val="22"/>
          <w:szCs w:val="22"/>
        </w:rPr>
        <w:t xml:space="preserve">that receives €125M, of which €108M pledged by the PEGASE-DFS-SEPS, and the sub-sector urban-planning that receives €46M for construction of hospitals, Spatial Planning for Area C, prisons and other infrastructure facilities not included under transports and energy. </w:t>
      </w:r>
    </w:p>
    <w:p w:rsidR="00A23C41" w:rsidRPr="00EF09A2" w:rsidRDefault="00A23C41" w:rsidP="00A23C41">
      <w:pPr>
        <w:tabs>
          <w:tab w:val="left" w:pos="1985"/>
        </w:tabs>
        <w:spacing w:before="0" w:after="0"/>
        <w:rPr>
          <w:rFonts w:ascii="Arial" w:hAnsi="Arial" w:cs="Arial"/>
          <w:sz w:val="24"/>
          <w:szCs w:val="24"/>
        </w:rPr>
      </w:pPr>
    </w:p>
    <w:p w:rsidR="00A23C41" w:rsidRPr="002909CC" w:rsidRDefault="00A23C41" w:rsidP="00A23C41">
      <w:pPr>
        <w:spacing w:before="0" w:after="0"/>
        <w:rPr>
          <w:rFonts w:ascii="Arial" w:hAnsi="Arial" w:cs="Arial"/>
          <w:sz w:val="22"/>
          <w:szCs w:val="22"/>
        </w:rPr>
      </w:pPr>
      <w:r w:rsidRPr="002909CC">
        <w:rPr>
          <w:rFonts w:ascii="Arial" w:hAnsi="Arial" w:cs="Arial"/>
          <w:sz w:val="22"/>
          <w:szCs w:val="22"/>
        </w:rPr>
        <w:t xml:space="preserve">The Government and Political Dialogue (GOV) sector ranks third, accounting for 6% (€124m) of the total </w:t>
      </w:r>
      <w:r w:rsidR="009D7E2C">
        <w:rPr>
          <w:rFonts w:ascii="Arial" w:hAnsi="Arial" w:cs="Arial"/>
          <w:sz w:val="22"/>
          <w:szCs w:val="22"/>
        </w:rPr>
        <w:t>committed amount</w:t>
      </w:r>
      <w:r w:rsidRPr="002909CC">
        <w:rPr>
          <w:rFonts w:ascii="Arial" w:hAnsi="Arial" w:cs="Arial"/>
          <w:sz w:val="22"/>
          <w:szCs w:val="22"/>
        </w:rPr>
        <w:t>. The main contracts included under this sector are: “</w:t>
      </w:r>
      <w:r w:rsidRPr="002909CC">
        <w:rPr>
          <w:rFonts w:ascii="Arial" w:hAnsi="Arial" w:cs="Arial"/>
          <w:i/>
          <w:sz w:val="22"/>
          <w:szCs w:val="22"/>
        </w:rPr>
        <w:t>Support to the Palestinian Civil Police</w:t>
      </w:r>
      <w:r w:rsidRPr="002909CC">
        <w:rPr>
          <w:rFonts w:ascii="Arial" w:hAnsi="Arial" w:cs="Arial"/>
          <w:sz w:val="22"/>
          <w:szCs w:val="22"/>
        </w:rPr>
        <w:t>” (€4.5m),“</w:t>
      </w:r>
      <w:r w:rsidRPr="002909CC">
        <w:rPr>
          <w:rFonts w:ascii="Arial" w:hAnsi="Arial" w:cs="Arial"/>
          <w:i/>
          <w:sz w:val="22"/>
          <w:szCs w:val="22"/>
        </w:rPr>
        <w:t>Support to the Office of the Quartet Representative</w:t>
      </w:r>
      <w:r w:rsidRPr="002909CC">
        <w:rPr>
          <w:rFonts w:ascii="Arial" w:hAnsi="Arial" w:cs="Arial"/>
          <w:sz w:val="22"/>
          <w:szCs w:val="22"/>
        </w:rPr>
        <w:t>” (€3m) and “</w:t>
      </w:r>
      <w:proofErr w:type="spellStart"/>
      <w:r w:rsidRPr="002909CC">
        <w:rPr>
          <w:rFonts w:ascii="Arial" w:hAnsi="Arial" w:cs="Arial"/>
          <w:i/>
          <w:sz w:val="22"/>
          <w:szCs w:val="22"/>
        </w:rPr>
        <w:t>Seyada</w:t>
      </w:r>
      <w:proofErr w:type="spellEnd"/>
      <w:r w:rsidRPr="002909CC">
        <w:rPr>
          <w:rFonts w:ascii="Arial" w:hAnsi="Arial" w:cs="Arial"/>
          <w:i/>
          <w:sz w:val="22"/>
          <w:szCs w:val="22"/>
        </w:rPr>
        <w:t xml:space="preserve"> II - Empowering the Palestinian Judicial System</w:t>
      </w:r>
      <w:r w:rsidRPr="002909CC">
        <w:rPr>
          <w:rFonts w:ascii="Arial" w:hAnsi="Arial" w:cs="Arial"/>
          <w:sz w:val="22"/>
          <w:szCs w:val="22"/>
        </w:rPr>
        <w:t>” (€4.4m).</w:t>
      </w:r>
    </w:p>
    <w:p w:rsidR="00A23C41" w:rsidRPr="00EF09A2" w:rsidRDefault="00A23C41" w:rsidP="00A23C41">
      <w:pPr>
        <w:tabs>
          <w:tab w:val="left" w:pos="1985"/>
        </w:tabs>
        <w:spacing w:before="0" w:after="0"/>
        <w:rPr>
          <w:rFonts w:ascii="Arial" w:hAnsi="Arial" w:cs="Arial"/>
          <w:sz w:val="24"/>
          <w:szCs w:val="24"/>
        </w:rPr>
      </w:pPr>
    </w:p>
    <w:p w:rsidR="00A23C41" w:rsidRPr="00EF09A2" w:rsidRDefault="00A23C41" w:rsidP="00A23C41">
      <w:pPr>
        <w:tabs>
          <w:tab w:val="left" w:pos="1985"/>
        </w:tabs>
        <w:spacing w:before="0" w:after="0"/>
        <w:rPr>
          <w:rFonts w:ascii="Arial" w:hAnsi="Arial" w:cs="Arial"/>
          <w:sz w:val="24"/>
          <w:szCs w:val="24"/>
        </w:rPr>
        <w:sectPr w:rsidR="00A23C41" w:rsidRPr="00EF09A2" w:rsidSect="00A23C41">
          <w:footerReference w:type="default" r:id="rId149"/>
          <w:pgSz w:w="11906" w:h="16838"/>
          <w:pgMar w:top="1417" w:right="1134" w:bottom="1134" w:left="1134" w:header="708" w:footer="708" w:gutter="0"/>
          <w:cols w:space="708"/>
          <w:docGrid w:linePitch="360"/>
        </w:sectPr>
      </w:pPr>
    </w:p>
    <w:p w:rsidR="00A23C41" w:rsidRPr="00EF09A2" w:rsidRDefault="00A43E18" w:rsidP="00A23C41">
      <w:bookmarkStart w:id="96" w:name="_Toc368935194"/>
      <w:r w:rsidRPr="00A43E18">
        <w:rPr>
          <w:noProof/>
          <w:sz w:val="24"/>
          <w:szCs w:val="24"/>
          <w:lang w:val="it-IT" w:eastAsia="it-IT"/>
        </w:rPr>
        <w:lastRenderedPageBreak/>
        <w:pict>
          <v:shape id="_x0000_s1113" type="#_x0000_t202" style="position:absolute;left:0;text-align:left;margin-left:27.25pt;margin-top:14.45pt;width:713.9pt;height:445.5pt;z-index:25172582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" filled="f" strokecolor="#000090">
            <v:path arrowok="t"/>
            <v:textbox style="mso-next-textbox:#_x0000_s1113">
              <w:txbxContent>
                <w:p w:rsidR="005D72C2" w:rsidRPr="0081410E" w:rsidRDefault="005D72C2" w:rsidP="00A23C41">
                  <w:pPr>
                    <w:spacing w:before="0" w:after="0"/>
                    <w:jc w:val="center"/>
                    <w:rPr>
                      <w:rFonts w:ascii="Arial" w:hAnsi="Arial" w:cs="Arial"/>
                      <w:b/>
                      <w:color w:val="1F497D" w:themeColor="text2"/>
                      <w:sz w:val="18"/>
                      <w:szCs w:val="18"/>
                    </w:rPr>
                  </w:pPr>
                  <w:r w:rsidRPr="0081410E">
                    <w:rPr>
                      <w:rFonts w:ascii="Arial" w:hAnsi="Arial" w:cs="Arial"/>
                      <w:b/>
                      <w:color w:val="1F497D" w:themeColor="text2"/>
                      <w:sz w:val="18"/>
                      <w:szCs w:val="18"/>
                    </w:rPr>
                    <w:t xml:space="preserve">Table 13: </w:t>
                  </w:r>
                  <w:r w:rsidR="00A96ED2">
                    <w:rPr>
                      <w:rFonts w:ascii="Arial" w:hAnsi="Arial" w:cs="Arial"/>
                      <w:b/>
                      <w:color w:val="1F497D" w:themeColor="text2"/>
                      <w:sz w:val="18"/>
                      <w:szCs w:val="18"/>
                    </w:rPr>
                    <w:t>DEVCO</w:t>
                  </w:r>
                  <w:r w:rsidRPr="0081410E">
                    <w:rPr>
                      <w:rFonts w:ascii="Arial" w:hAnsi="Arial" w:cs="Arial"/>
                      <w:b/>
                      <w:color w:val="1F497D" w:themeColor="text2"/>
                      <w:sz w:val="18"/>
                      <w:szCs w:val="18"/>
                    </w:rPr>
                    <w:t xml:space="preserve"> </w:t>
                  </w:r>
                  <w:r w:rsidR="00A96ED2">
                    <w:rPr>
                      <w:rFonts w:ascii="Arial" w:hAnsi="Arial" w:cs="Arial"/>
                      <w:b/>
                      <w:color w:val="1F497D" w:themeColor="text2"/>
                      <w:sz w:val="18"/>
                      <w:szCs w:val="18"/>
                    </w:rPr>
                    <w:t>Committed</w:t>
                  </w:r>
                  <w:r w:rsidRPr="0081410E">
                    <w:rPr>
                      <w:rFonts w:ascii="Arial" w:hAnsi="Arial" w:cs="Arial"/>
                      <w:b/>
                      <w:color w:val="1F497D" w:themeColor="text2"/>
                      <w:sz w:val="18"/>
                      <w:szCs w:val="18"/>
                    </w:rPr>
                    <w:t xml:space="preserve"> amount to Palestine by sector and tracks 2008 – 2013</w:t>
                  </w:r>
                </w:p>
                <w:p w:rsidR="005D72C2" w:rsidRDefault="00FB0E7A" w:rsidP="00A23C41">
                  <w:pPr>
                    <w:rPr>
                      <w:i/>
                      <w:sz w:val="20"/>
                    </w:rPr>
                  </w:pPr>
                  <w:r w:rsidRPr="00FB0E7A">
                    <w:drawing>
                      <wp:inline distT="0" distB="0" distL="0" distR="0">
                        <wp:extent cx="8873564" cy="5057775"/>
                        <wp:effectExtent l="19050" t="0" r="3736" b="0"/>
                        <wp:docPr id="27"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0"/>
                                <a:srcRect/>
                                <a:stretch>
                                  <a:fillRect/>
                                </a:stretch>
                              </pic:blipFill>
                              <pic:spPr bwMode="auto">
                                <a:xfrm>
                                  <a:off x="0" y="0"/>
                                  <a:ext cx="8874125" cy="5058095"/>
                                </a:xfrm>
                                <a:prstGeom prst="rect">
                                  <a:avLst/>
                                </a:prstGeom>
                                <a:noFill/>
                                <a:ln w="9525">
                                  <a:noFill/>
                                  <a:miter lim="800000"/>
                                  <a:headEnd/>
                                  <a:tailEnd/>
                                </a:ln>
                              </pic:spPr>
                            </pic:pic>
                          </a:graphicData>
                        </a:graphic>
                      </wp:inline>
                    </w:drawing>
                  </w:r>
                </w:p>
                <w:p w:rsidR="005D72C2" w:rsidRPr="00AA300E" w:rsidRDefault="005D72C2" w:rsidP="00FB0E7A">
                  <w:pPr>
                    <w:jc w:val="center"/>
                    <w:rPr>
                      <w:rFonts w:ascii="Arial" w:hAnsi="Arial" w:cs="Arial"/>
                      <w:i/>
                      <w:sz w:val="18"/>
                      <w:szCs w:val="18"/>
                    </w:rPr>
                  </w:pPr>
                  <w:r w:rsidRPr="00AA300E">
                    <w:rPr>
                      <w:rFonts w:ascii="Arial" w:hAnsi="Arial" w:cs="Arial"/>
                      <w:i/>
                      <w:sz w:val="18"/>
                      <w:szCs w:val="18"/>
                    </w:rPr>
                    <w:t>*The subsector “other welfare services” under DFS-CSP includes funds for pensioners (€87M) and funds for other activities (€189M) as defined in the “Evaluation of PEGASE 2012 while under UNRWA includes relief activities</w:t>
                  </w:r>
                </w:p>
              </w:txbxContent>
            </v:textbox>
            <w10:wrap type="square"/>
          </v:shape>
        </w:pict>
      </w:r>
      <w:bookmarkEnd w:id="96"/>
    </w:p>
    <w:p w:rsidR="00A23C41" w:rsidRPr="00EF09A2" w:rsidRDefault="00A23C41" w:rsidP="00A23C41">
      <w:pPr>
        <w:tabs>
          <w:tab w:val="left" w:pos="1985"/>
        </w:tabs>
        <w:spacing w:before="0" w:after="0"/>
        <w:rPr>
          <w:rFonts w:ascii="Arial" w:hAnsi="Arial" w:cs="Arial"/>
          <w:sz w:val="24"/>
          <w:szCs w:val="24"/>
        </w:rPr>
        <w:sectPr w:rsidR="00A23C41" w:rsidRPr="00EF09A2" w:rsidSect="00A23C41">
          <w:footerReference w:type="default" r:id="rId151"/>
          <w:pgSz w:w="16838" w:h="11906" w:orient="landscape"/>
          <w:pgMar w:top="1134" w:right="1417" w:bottom="1134" w:left="1134" w:header="708" w:footer="708" w:gutter="0"/>
          <w:cols w:space="708"/>
          <w:docGrid w:linePitch="360"/>
        </w:sectPr>
      </w:pPr>
    </w:p>
    <w:p w:rsidR="00A23C41" w:rsidRPr="002909CC" w:rsidRDefault="00A23C41" w:rsidP="00A23C41">
      <w:pPr>
        <w:tabs>
          <w:tab w:val="left" w:pos="1985"/>
        </w:tabs>
        <w:spacing w:before="0" w:after="0"/>
        <w:rPr>
          <w:rFonts w:ascii="Arial" w:hAnsi="Arial" w:cs="Arial"/>
          <w:sz w:val="22"/>
          <w:szCs w:val="22"/>
        </w:rPr>
      </w:pPr>
      <w:bookmarkStart w:id="97" w:name="_Toc367291883"/>
      <w:r w:rsidRPr="002909CC">
        <w:rPr>
          <w:rFonts w:ascii="Arial" w:hAnsi="Arial" w:cs="Arial"/>
          <w:sz w:val="22"/>
          <w:szCs w:val="22"/>
        </w:rPr>
        <w:lastRenderedPageBreak/>
        <w:t xml:space="preserve">The Private Sector Development and Trade (PSD) ranks fourth accounting for 4% (€85M) of the total </w:t>
      </w:r>
      <w:r w:rsidR="009D7E2C">
        <w:rPr>
          <w:rFonts w:ascii="Arial" w:hAnsi="Arial" w:cs="Arial"/>
          <w:sz w:val="22"/>
          <w:szCs w:val="22"/>
        </w:rPr>
        <w:t>committed amount</w:t>
      </w:r>
      <w:r w:rsidRPr="002909CC">
        <w:rPr>
          <w:rFonts w:ascii="Arial" w:hAnsi="Arial" w:cs="Arial"/>
          <w:sz w:val="22"/>
          <w:szCs w:val="22"/>
        </w:rPr>
        <w:t>. The largest interventions are channeled through the PEGASE-</w:t>
      </w:r>
      <w:r w:rsidR="001860F4">
        <w:rPr>
          <w:rFonts w:ascii="Arial" w:hAnsi="Arial" w:cs="Arial"/>
          <w:sz w:val="22"/>
          <w:szCs w:val="22"/>
        </w:rPr>
        <w:t>DEV</w:t>
      </w:r>
      <w:r w:rsidRPr="002909CC">
        <w:rPr>
          <w:rFonts w:ascii="Arial" w:hAnsi="Arial" w:cs="Arial"/>
          <w:sz w:val="22"/>
          <w:szCs w:val="22"/>
        </w:rPr>
        <w:t xml:space="preserve"> </w:t>
      </w:r>
      <w:r w:rsidR="00A61134">
        <w:rPr>
          <w:rFonts w:ascii="Arial" w:hAnsi="Arial" w:cs="Arial"/>
          <w:sz w:val="22"/>
          <w:szCs w:val="22"/>
        </w:rPr>
        <w:t>mechanism for a total of €42m</w:t>
      </w:r>
      <w:r w:rsidRPr="002909CC">
        <w:rPr>
          <w:rFonts w:ascii="Arial" w:hAnsi="Arial" w:cs="Arial"/>
          <w:sz w:val="22"/>
          <w:szCs w:val="22"/>
        </w:rPr>
        <w:t xml:space="preserve">; including </w:t>
      </w:r>
      <w:r w:rsidR="00F952E2">
        <w:rPr>
          <w:rFonts w:ascii="Arial" w:hAnsi="Arial" w:cs="Arial"/>
          <w:sz w:val="22"/>
          <w:szCs w:val="22"/>
        </w:rPr>
        <w:t xml:space="preserve">the Program “Private Sector Reconstruction in Gaza” (€34m) and </w:t>
      </w:r>
      <w:r w:rsidRPr="002909CC">
        <w:rPr>
          <w:rFonts w:ascii="Arial" w:hAnsi="Arial" w:cs="Arial"/>
          <w:sz w:val="22"/>
          <w:szCs w:val="22"/>
        </w:rPr>
        <w:t>the project “Trade diversification/competitiveness enhancement program” (€3m).</w:t>
      </w:r>
    </w:p>
    <w:p w:rsidR="00A23C41" w:rsidRPr="002909CC" w:rsidRDefault="00A23C41" w:rsidP="00A23C41">
      <w:pPr>
        <w:tabs>
          <w:tab w:val="left" w:pos="1985"/>
        </w:tabs>
        <w:spacing w:before="0" w:after="0"/>
        <w:rPr>
          <w:rFonts w:ascii="Arial" w:hAnsi="Arial" w:cs="Arial"/>
          <w:sz w:val="22"/>
          <w:szCs w:val="22"/>
        </w:rPr>
      </w:pPr>
    </w:p>
    <w:p w:rsidR="00A23C41" w:rsidRPr="002909CC" w:rsidRDefault="00A23C41" w:rsidP="00A23C41">
      <w:pPr>
        <w:spacing w:before="0" w:after="0"/>
        <w:rPr>
          <w:rFonts w:ascii="Arial" w:hAnsi="Arial" w:cs="Arial"/>
          <w:sz w:val="22"/>
          <w:szCs w:val="22"/>
        </w:rPr>
      </w:pPr>
      <w:r w:rsidRPr="002909CC">
        <w:rPr>
          <w:rFonts w:ascii="Arial" w:hAnsi="Arial" w:cs="Arial"/>
          <w:sz w:val="22"/>
          <w:szCs w:val="22"/>
        </w:rPr>
        <w:t>The Water and Waste sector ranks sixth after the FOOD sector with €55m (2.7%) including one large contract, “</w:t>
      </w:r>
      <w:r w:rsidRPr="002909CC">
        <w:rPr>
          <w:rFonts w:ascii="Arial" w:hAnsi="Arial" w:cs="Arial"/>
          <w:i/>
          <w:sz w:val="22"/>
          <w:szCs w:val="22"/>
        </w:rPr>
        <w:t>Short Term Low Volume Sea Water Desalination Plant for Southern Governorates of the Gaza Strip</w:t>
      </w:r>
      <w:r w:rsidRPr="002909CC">
        <w:rPr>
          <w:rFonts w:ascii="Arial" w:hAnsi="Arial" w:cs="Arial"/>
          <w:sz w:val="22"/>
          <w:szCs w:val="22"/>
        </w:rPr>
        <w:t>” (€10m) and other small projects such as the “</w:t>
      </w:r>
      <w:r w:rsidRPr="002909CC">
        <w:rPr>
          <w:rFonts w:ascii="Arial" w:hAnsi="Arial" w:cs="Arial"/>
          <w:i/>
          <w:sz w:val="22"/>
          <w:szCs w:val="22"/>
        </w:rPr>
        <w:t xml:space="preserve">EU contribution to KFW Water and Sanitation </w:t>
      </w:r>
      <w:proofErr w:type="spellStart"/>
      <w:r w:rsidRPr="002909CC">
        <w:rPr>
          <w:rFonts w:ascii="Arial" w:hAnsi="Arial" w:cs="Arial"/>
          <w:i/>
          <w:sz w:val="22"/>
          <w:szCs w:val="22"/>
        </w:rPr>
        <w:t>Programme</w:t>
      </w:r>
      <w:proofErr w:type="spellEnd"/>
      <w:r w:rsidRPr="002909CC">
        <w:rPr>
          <w:rFonts w:ascii="Arial" w:hAnsi="Arial" w:cs="Arial"/>
          <w:i/>
          <w:sz w:val="22"/>
          <w:szCs w:val="22"/>
        </w:rPr>
        <w:t xml:space="preserve"> Palestinian Territory in </w:t>
      </w:r>
      <w:proofErr w:type="spellStart"/>
      <w:r w:rsidRPr="002909CC">
        <w:rPr>
          <w:rFonts w:ascii="Arial" w:hAnsi="Arial" w:cs="Arial"/>
          <w:i/>
          <w:sz w:val="22"/>
          <w:szCs w:val="22"/>
        </w:rPr>
        <w:t>Deir</w:t>
      </w:r>
      <w:proofErr w:type="spellEnd"/>
      <w:r w:rsidRPr="002909CC">
        <w:rPr>
          <w:rFonts w:ascii="Arial" w:hAnsi="Arial" w:cs="Arial"/>
          <w:i/>
          <w:sz w:val="22"/>
          <w:szCs w:val="22"/>
        </w:rPr>
        <w:t xml:space="preserve"> Al </w:t>
      </w:r>
      <w:proofErr w:type="spellStart"/>
      <w:r w:rsidRPr="002909CC">
        <w:rPr>
          <w:rFonts w:ascii="Arial" w:hAnsi="Arial" w:cs="Arial"/>
          <w:i/>
          <w:sz w:val="22"/>
          <w:szCs w:val="22"/>
        </w:rPr>
        <w:t>Balah</w:t>
      </w:r>
      <w:proofErr w:type="spellEnd"/>
      <w:r w:rsidRPr="002909CC">
        <w:rPr>
          <w:rFonts w:ascii="Arial" w:hAnsi="Arial" w:cs="Arial"/>
          <w:i/>
          <w:sz w:val="22"/>
          <w:szCs w:val="22"/>
        </w:rPr>
        <w:t xml:space="preserve"> and </w:t>
      </w:r>
      <w:proofErr w:type="spellStart"/>
      <w:r w:rsidRPr="002909CC">
        <w:rPr>
          <w:rFonts w:ascii="Arial" w:hAnsi="Arial" w:cs="Arial"/>
          <w:i/>
          <w:sz w:val="22"/>
          <w:szCs w:val="22"/>
        </w:rPr>
        <w:t>Rafah</w:t>
      </w:r>
      <w:proofErr w:type="spellEnd"/>
      <w:r w:rsidRPr="002909CC">
        <w:rPr>
          <w:rFonts w:ascii="Arial" w:hAnsi="Arial" w:cs="Arial"/>
          <w:i/>
          <w:sz w:val="22"/>
          <w:szCs w:val="22"/>
        </w:rPr>
        <w:t xml:space="preserve"> City</w:t>
      </w:r>
      <w:r w:rsidRPr="002909CC">
        <w:rPr>
          <w:rFonts w:ascii="Arial" w:hAnsi="Arial" w:cs="Arial"/>
          <w:sz w:val="22"/>
          <w:szCs w:val="22"/>
        </w:rPr>
        <w:t>” (€3.5m), “</w:t>
      </w:r>
      <w:proofErr w:type="spellStart"/>
      <w:r w:rsidRPr="002909CC">
        <w:rPr>
          <w:rFonts w:ascii="Arial" w:hAnsi="Arial" w:cs="Arial"/>
          <w:i/>
          <w:sz w:val="22"/>
          <w:szCs w:val="22"/>
        </w:rPr>
        <w:t>Beit</w:t>
      </w:r>
      <w:proofErr w:type="spellEnd"/>
      <w:r w:rsidRPr="002909CC">
        <w:rPr>
          <w:rFonts w:ascii="Arial" w:hAnsi="Arial" w:cs="Arial"/>
          <w:i/>
          <w:sz w:val="22"/>
          <w:szCs w:val="22"/>
        </w:rPr>
        <w:t xml:space="preserve"> </w:t>
      </w:r>
      <w:proofErr w:type="spellStart"/>
      <w:r w:rsidRPr="002909CC">
        <w:rPr>
          <w:rFonts w:ascii="Arial" w:hAnsi="Arial" w:cs="Arial"/>
          <w:i/>
          <w:sz w:val="22"/>
          <w:szCs w:val="22"/>
        </w:rPr>
        <w:t>Dajan</w:t>
      </w:r>
      <w:proofErr w:type="spellEnd"/>
      <w:r w:rsidRPr="002909CC">
        <w:rPr>
          <w:rFonts w:ascii="Arial" w:hAnsi="Arial" w:cs="Arial"/>
          <w:i/>
          <w:sz w:val="22"/>
          <w:szCs w:val="22"/>
        </w:rPr>
        <w:t xml:space="preserve"> and </w:t>
      </w:r>
      <w:proofErr w:type="spellStart"/>
      <w:r w:rsidRPr="002909CC">
        <w:rPr>
          <w:rFonts w:ascii="Arial" w:hAnsi="Arial" w:cs="Arial"/>
          <w:i/>
          <w:sz w:val="22"/>
          <w:szCs w:val="22"/>
        </w:rPr>
        <w:t>Anzah</w:t>
      </w:r>
      <w:proofErr w:type="spellEnd"/>
      <w:r w:rsidRPr="002909CC">
        <w:rPr>
          <w:rFonts w:ascii="Arial" w:hAnsi="Arial" w:cs="Arial"/>
          <w:i/>
          <w:sz w:val="22"/>
          <w:szCs w:val="22"/>
        </w:rPr>
        <w:t xml:space="preserve"> villages- North West Bank- produce more food through sustainable and safe use of reclaimed wastewater in agriculture</w:t>
      </w:r>
      <w:r w:rsidRPr="002909CC">
        <w:rPr>
          <w:rFonts w:ascii="Arial" w:hAnsi="Arial" w:cs="Arial"/>
          <w:sz w:val="22"/>
          <w:szCs w:val="22"/>
        </w:rPr>
        <w:t>” (€3.2)  and the “</w:t>
      </w:r>
      <w:r w:rsidRPr="002909CC">
        <w:rPr>
          <w:rFonts w:ascii="Arial" w:hAnsi="Arial" w:cs="Arial"/>
          <w:i/>
          <w:sz w:val="22"/>
          <w:szCs w:val="22"/>
        </w:rPr>
        <w:t xml:space="preserve">Rehabilitation and expansion of three water infrastructure projects in </w:t>
      </w:r>
      <w:proofErr w:type="spellStart"/>
      <w:r w:rsidRPr="002909CC">
        <w:rPr>
          <w:rFonts w:ascii="Arial" w:hAnsi="Arial" w:cs="Arial"/>
          <w:i/>
          <w:sz w:val="22"/>
          <w:szCs w:val="22"/>
        </w:rPr>
        <w:t>Herbon</w:t>
      </w:r>
      <w:proofErr w:type="spellEnd"/>
      <w:r w:rsidRPr="002909CC">
        <w:rPr>
          <w:rFonts w:ascii="Arial" w:hAnsi="Arial" w:cs="Arial"/>
          <w:i/>
          <w:sz w:val="22"/>
          <w:szCs w:val="22"/>
        </w:rPr>
        <w:t xml:space="preserve"> District</w:t>
      </w:r>
      <w:r w:rsidRPr="002909CC">
        <w:rPr>
          <w:rFonts w:ascii="Arial" w:hAnsi="Arial" w:cs="Arial"/>
          <w:sz w:val="22"/>
          <w:szCs w:val="22"/>
        </w:rPr>
        <w:t>”(€1.6m).</w:t>
      </w:r>
    </w:p>
    <w:p w:rsidR="00A23C41" w:rsidRPr="00EF09A2" w:rsidRDefault="00A23C41" w:rsidP="00A23C41">
      <w:pPr>
        <w:spacing w:before="0" w:after="0"/>
        <w:rPr>
          <w:rFonts w:ascii="Arial" w:hAnsi="Arial" w:cs="Arial"/>
          <w:sz w:val="24"/>
          <w:szCs w:val="24"/>
        </w:rPr>
      </w:pPr>
    </w:p>
    <w:p w:rsidR="00A23C41" w:rsidRPr="00EF09A2" w:rsidRDefault="00A23C41" w:rsidP="00A23C41">
      <w:pPr>
        <w:tabs>
          <w:tab w:val="left" w:pos="1985"/>
        </w:tabs>
        <w:spacing w:before="0" w:after="0"/>
        <w:rPr>
          <w:rFonts w:ascii="Arial" w:hAnsi="Arial" w:cs="Arial"/>
          <w:sz w:val="24"/>
          <w:szCs w:val="24"/>
        </w:rPr>
      </w:pPr>
      <w:r w:rsidRPr="00EF09A2">
        <w:rPr>
          <w:rFonts w:ascii="Arial" w:eastAsia="Times" w:hAnsi="Arial" w:cs="Arial"/>
          <w:b/>
          <w:smallCaps/>
          <w:color w:val="1F497D" w:themeColor="text2"/>
          <w:spacing w:val="-1"/>
          <w:sz w:val="24"/>
          <w:szCs w:val="24"/>
          <w:lang w:val="en-GB"/>
        </w:rPr>
        <w:t>Geographic Distribution</w:t>
      </w:r>
    </w:p>
    <w:p w:rsidR="00A23C41" w:rsidRPr="008C68CC" w:rsidRDefault="00A23C41" w:rsidP="00A23C41">
      <w:pPr>
        <w:tabs>
          <w:tab w:val="left" w:pos="1985"/>
        </w:tabs>
        <w:spacing w:before="0" w:after="0"/>
        <w:rPr>
          <w:rFonts w:ascii="Arial" w:hAnsi="Arial" w:cs="Arial"/>
          <w:sz w:val="22"/>
          <w:szCs w:val="22"/>
        </w:rPr>
      </w:pPr>
      <w:r w:rsidRPr="008C68CC">
        <w:rPr>
          <w:rFonts w:ascii="Arial" w:hAnsi="Arial" w:cs="Arial"/>
          <w:sz w:val="22"/>
          <w:szCs w:val="22"/>
        </w:rPr>
        <w:t xml:space="preserve">In terms of geographic distribution, it is worth noting that Gaza Strip received 8% (€175m) of the </w:t>
      </w:r>
      <w:r w:rsidR="009D7E2C">
        <w:rPr>
          <w:rFonts w:ascii="Arial" w:hAnsi="Arial" w:cs="Arial"/>
          <w:sz w:val="22"/>
          <w:szCs w:val="22"/>
        </w:rPr>
        <w:t>committed amount</w:t>
      </w:r>
      <w:r w:rsidRPr="008C68CC">
        <w:rPr>
          <w:rFonts w:ascii="Arial" w:hAnsi="Arial" w:cs="Arial"/>
          <w:sz w:val="22"/>
          <w:szCs w:val="22"/>
        </w:rPr>
        <w:t xml:space="preserve"> with an increasing trend throughout the years, see table 14, from €6M received in 2008 to reaches €61M in 2011. East Jerusalem received a total of €28m disbursed with an increasing trend throughout the whole period. </w:t>
      </w:r>
    </w:p>
    <w:p w:rsidR="00A23C41" w:rsidRPr="00EF09A2" w:rsidRDefault="00A23C41" w:rsidP="00A23C41">
      <w:pPr>
        <w:tabs>
          <w:tab w:val="left" w:pos="1985"/>
        </w:tabs>
        <w:spacing w:before="0" w:after="0"/>
        <w:rPr>
          <w:rFonts w:ascii="Arial" w:hAnsi="Arial" w:cs="Arial"/>
          <w:sz w:val="24"/>
          <w:szCs w:val="24"/>
        </w:rPr>
      </w:pPr>
    </w:p>
    <w:p w:rsidR="00A23C41" w:rsidRPr="0011584D" w:rsidRDefault="00A23C41" w:rsidP="00A23C41">
      <w:pPr>
        <w:tabs>
          <w:tab w:val="left" w:pos="1985"/>
        </w:tabs>
        <w:spacing w:before="0" w:after="0"/>
        <w:jc w:val="center"/>
        <w:rPr>
          <w:rFonts w:ascii="Arial" w:hAnsi="Arial" w:cs="Arial"/>
          <w:b/>
          <w:color w:val="1F497D" w:themeColor="text2"/>
          <w:sz w:val="18"/>
          <w:szCs w:val="18"/>
        </w:rPr>
      </w:pPr>
      <w:r w:rsidRPr="0011584D">
        <w:rPr>
          <w:rFonts w:ascii="Arial" w:hAnsi="Arial" w:cs="Arial"/>
          <w:b/>
          <w:color w:val="1F497D" w:themeColor="text2"/>
          <w:sz w:val="18"/>
          <w:szCs w:val="18"/>
        </w:rPr>
        <w:t xml:space="preserve">Table 14: </w:t>
      </w:r>
      <w:r w:rsidR="00A96ED2">
        <w:rPr>
          <w:rFonts w:ascii="Arial" w:hAnsi="Arial" w:cs="Arial"/>
          <w:b/>
          <w:color w:val="1F497D" w:themeColor="text2"/>
          <w:sz w:val="18"/>
          <w:szCs w:val="18"/>
        </w:rPr>
        <w:t>DEVCO</w:t>
      </w:r>
      <w:r w:rsidRPr="0011584D">
        <w:rPr>
          <w:rFonts w:ascii="Arial" w:hAnsi="Arial" w:cs="Arial"/>
          <w:b/>
          <w:color w:val="1F497D" w:themeColor="text2"/>
          <w:sz w:val="18"/>
          <w:szCs w:val="18"/>
        </w:rPr>
        <w:t xml:space="preserve"> </w:t>
      </w:r>
      <w:r w:rsidR="009D7E2C">
        <w:rPr>
          <w:rFonts w:ascii="Arial" w:hAnsi="Arial" w:cs="Arial"/>
          <w:b/>
          <w:color w:val="1F497D" w:themeColor="text2"/>
          <w:sz w:val="18"/>
          <w:szCs w:val="18"/>
        </w:rPr>
        <w:t>Committed amount</w:t>
      </w:r>
      <w:r w:rsidRPr="0011584D">
        <w:rPr>
          <w:rFonts w:ascii="Arial" w:hAnsi="Arial" w:cs="Arial"/>
          <w:b/>
          <w:color w:val="1F497D" w:themeColor="text2"/>
          <w:sz w:val="18"/>
          <w:szCs w:val="18"/>
        </w:rPr>
        <w:t xml:space="preserve"> by sector</w:t>
      </w:r>
      <w:r w:rsidR="00363C06">
        <w:rPr>
          <w:rFonts w:ascii="Arial" w:hAnsi="Arial" w:cs="Arial"/>
          <w:b/>
          <w:color w:val="1F497D" w:themeColor="text2"/>
          <w:sz w:val="18"/>
          <w:szCs w:val="18"/>
        </w:rPr>
        <w:t xml:space="preserve"> and year to Palestine 2008-2013</w:t>
      </w:r>
      <w:r w:rsidRPr="0011584D">
        <w:rPr>
          <w:rFonts w:ascii="Arial" w:hAnsi="Arial" w:cs="Arial"/>
          <w:b/>
          <w:color w:val="1F497D" w:themeColor="text2"/>
          <w:sz w:val="18"/>
          <w:szCs w:val="18"/>
        </w:rPr>
        <w:t xml:space="preserve"> - €M</w:t>
      </w:r>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Layout w:type="fixed"/>
        <w:tblCellMar>
          <w:left w:w="70" w:type="dxa"/>
          <w:right w:w="70" w:type="dxa"/>
        </w:tblCellMar>
        <w:tblLook w:val="04A0"/>
      </w:tblPr>
      <w:tblGrid>
        <w:gridCol w:w="1346"/>
        <w:gridCol w:w="1054"/>
        <w:gridCol w:w="1054"/>
        <w:gridCol w:w="1054"/>
        <w:gridCol w:w="1054"/>
        <w:gridCol w:w="1171"/>
        <w:gridCol w:w="1134"/>
        <w:gridCol w:w="1275"/>
        <w:gridCol w:w="636"/>
      </w:tblGrid>
      <w:tr w:rsidR="00A23C41" w:rsidRPr="00EF09A2" w:rsidTr="00A23C41">
        <w:trPr>
          <w:trHeight w:val="282"/>
        </w:trPr>
        <w:tc>
          <w:tcPr>
            <w:tcW w:w="688" w:type="pct"/>
            <w:tcBorders>
              <w:bottom w:val="single" w:sz="4" w:space="0" w:color="1F497D" w:themeColor="text2"/>
            </w:tcBorders>
            <w:shd w:val="clear" w:color="auto" w:fill="1F497D" w:themeFill="text2"/>
            <w:noWrap/>
            <w:vAlign w:val="center"/>
            <w:hideMark/>
          </w:tcPr>
          <w:p w:rsidR="00A23C41" w:rsidRPr="00883C76" w:rsidRDefault="00A23C41" w:rsidP="00A23C41">
            <w:pPr>
              <w:spacing w:before="0" w:after="0"/>
              <w:jc w:val="left"/>
              <w:rPr>
                <w:rFonts w:ascii="Arial" w:hAnsi="Arial" w:cs="Arial"/>
                <w:b/>
                <w:bCs/>
                <w:color w:val="FFFFFF"/>
                <w:sz w:val="16"/>
                <w:szCs w:val="16"/>
              </w:rPr>
            </w:pPr>
            <w:r w:rsidRPr="00883C76">
              <w:rPr>
                <w:rFonts w:ascii="Arial" w:hAnsi="Arial" w:cs="Arial"/>
                <w:b/>
                <w:bCs/>
                <w:color w:val="FFFFFF"/>
                <w:sz w:val="16"/>
                <w:szCs w:val="16"/>
              </w:rPr>
              <w:t> </w:t>
            </w:r>
          </w:p>
        </w:tc>
        <w:tc>
          <w:tcPr>
            <w:tcW w:w="539" w:type="pct"/>
            <w:tcBorders>
              <w:bottom w:val="single" w:sz="4" w:space="0" w:color="1F497D" w:themeColor="text2"/>
            </w:tcBorders>
            <w:shd w:val="clear" w:color="auto" w:fill="1F497D" w:themeFill="text2"/>
            <w:noWrap/>
            <w:vAlign w:val="center"/>
            <w:hideMark/>
          </w:tcPr>
          <w:p w:rsidR="00A23C41" w:rsidRPr="00883C76" w:rsidRDefault="00A23C41" w:rsidP="00A23C41">
            <w:pPr>
              <w:spacing w:before="0" w:after="0"/>
              <w:jc w:val="center"/>
              <w:rPr>
                <w:rFonts w:ascii="Arial" w:hAnsi="Arial" w:cs="Arial"/>
                <w:b/>
                <w:bCs/>
                <w:color w:val="FFFFFF"/>
                <w:sz w:val="16"/>
                <w:szCs w:val="16"/>
              </w:rPr>
            </w:pPr>
            <w:r w:rsidRPr="00883C76">
              <w:rPr>
                <w:rFonts w:ascii="Arial" w:hAnsi="Arial" w:cs="Arial"/>
                <w:b/>
                <w:bCs/>
                <w:color w:val="FFFFFF"/>
                <w:sz w:val="16"/>
                <w:szCs w:val="16"/>
              </w:rPr>
              <w:t>2008</w:t>
            </w:r>
          </w:p>
        </w:tc>
        <w:tc>
          <w:tcPr>
            <w:tcW w:w="539" w:type="pct"/>
            <w:tcBorders>
              <w:bottom w:val="single" w:sz="4" w:space="0" w:color="1F497D" w:themeColor="text2"/>
            </w:tcBorders>
            <w:shd w:val="clear" w:color="auto" w:fill="1F497D" w:themeFill="text2"/>
            <w:noWrap/>
            <w:vAlign w:val="center"/>
            <w:hideMark/>
          </w:tcPr>
          <w:p w:rsidR="00A23C41" w:rsidRPr="00883C76" w:rsidRDefault="00A23C41" w:rsidP="00A23C41">
            <w:pPr>
              <w:spacing w:before="0" w:after="0"/>
              <w:jc w:val="center"/>
              <w:rPr>
                <w:rFonts w:ascii="Arial" w:hAnsi="Arial" w:cs="Arial"/>
                <w:b/>
                <w:bCs/>
                <w:color w:val="FFFFFF"/>
                <w:sz w:val="16"/>
                <w:szCs w:val="16"/>
              </w:rPr>
            </w:pPr>
            <w:r w:rsidRPr="00883C76">
              <w:rPr>
                <w:rFonts w:ascii="Arial" w:hAnsi="Arial" w:cs="Arial"/>
                <w:b/>
                <w:bCs/>
                <w:color w:val="FFFFFF"/>
                <w:sz w:val="16"/>
                <w:szCs w:val="16"/>
              </w:rPr>
              <w:t>2009</w:t>
            </w:r>
          </w:p>
        </w:tc>
        <w:tc>
          <w:tcPr>
            <w:tcW w:w="539" w:type="pct"/>
            <w:tcBorders>
              <w:bottom w:val="single" w:sz="4" w:space="0" w:color="1F497D" w:themeColor="text2"/>
            </w:tcBorders>
            <w:shd w:val="clear" w:color="auto" w:fill="1F497D" w:themeFill="text2"/>
            <w:noWrap/>
            <w:vAlign w:val="center"/>
            <w:hideMark/>
          </w:tcPr>
          <w:p w:rsidR="00A23C41" w:rsidRPr="00883C76" w:rsidRDefault="00A23C41" w:rsidP="00A23C41">
            <w:pPr>
              <w:spacing w:before="0" w:after="0"/>
              <w:jc w:val="center"/>
              <w:rPr>
                <w:rFonts w:ascii="Arial" w:hAnsi="Arial" w:cs="Arial"/>
                <w:b/>
                <w:bCs/>
                <w:color w:val="FFFFFF"/>
                <w:sz w:val="16"/>
                <w:szCs w:val="16"/>
              </w:rPr>
            </w:pPr>
            <w:r w:rsidRPr="00883C76">
              <w:rPr>
                <w:rFonts w:ascii="Arial" w:hAnsi="Arial" w:cs="Arial"/>
                <w:b/>
                <w:bCs/>
                <w:color w:val="FFFFFF"/>
                <w:sz w:val="16"/>
                <w:szCs w:val="16"/>
              </w:rPr>
              <w:t>2010</w:t>
            </w:r>
          </w:p>
        </w:tc>
        <w:tc>
          <w:tcPr>
            <w:tcW w:w="539" w:type="pct"/>
            <w:tcBorders>
              <w:bottom w:val="single" w:sz="4" w:space="0" w:color="1F497D" w:themeColor="text2"/>
            </w:tcBorders>
            <w:shd w:val="clear" w:color="auto" w:fill="1F497D" w:themeFill="text2"/>
            <w:noWrap/>
            <w:vAlign w:val="center"/>
            <w:hideMark/>
          </w:tcPr>
          <w:p w:rsidR="00A23C41" w:rsidRPr="00883C76" w:rsidRDefault="00A23C41" w:rsidP="00A23C41">
            <w:pPr>
              <w:spacing w:before="0" w:after="0"/>
              <w:jc w:val="center"/>
              <w:rPr>
                <w:rFonts w:ascii="Arial" w:hAnsi="Arial" w:cs="Arial"/>
                <w:b/>
                <w:bCs/>
                <w:color w:val="FFFFFF"/>
                <w:sz w:val="16"/>
                <w:szCs w:val="16"/>
              </w:rPr>
            </w:pPr>
            <w:r w:rsidRPr="00883C76">
              <w:rPr>
                <w:rFonts w:ascii="Arial" w:hAnsi="Arial" w:cs="Arial"/>
                <w:b/>
                <w:bCs/>
                <w:color w:val="FFFFFF"/>
                <w:sz w:val="16"/>
                <w:szCs w:val="16"/>
              </w:rPr>
              <w:t>2011</w:t>
            </w:r>
          </w:p>
        </w:tc>
        <w:tc>
          <w:tcPr>
            <w:tcW w:w="599" w:type="pct"/>
            <w:tcBorders>
              <w:bottom w:val="single" w:sz="4" w:space="0" w:color="1F497D" w:themeColor="text2"/>
            </w:tcBorders>
            <w:shd w:val="clear" w:color="auto" w:fill="1F497D" w:themeFill="text2"/>
            <w:noWrap/>
            <w:vAlign w:val="center"/>
            <w:hideMark/>
          </w:tcPr>
          <w:p w:rsidR="00A23C41" w:rsidRPr="00883C76" w:rsidRDefault="00A23C41" w:rsidP="00A23C41">
            <w:pPr>
              <w:spacing w:before="0" w:after="0"/>
              <w:jc w:val="center"/>
              <w:rPr>
                <w:rFonts w:ascii="Arial" w:hAnsi="Arial" w:cs="Arial"/>
                <w:b/>
                <w:bCs/>
                <w:color w:val="FFFFFF"/>
                <w:sz w:val="16"/>
                <w:szCs w:val="16"/>
              </w:rPr>
            </w:pPr>
            <w:r w:rsidRPr="00883C76">
              <w:rPr>
                <w:rFonts w:ascii="Arial" w:hAnsi="Arial" w:cs="Arial"/>
                <w:b/>
                <w:bCs/>
                <w:color w:val="FFFFFF"/>
                <w:sz w:val="16"/>
                <w:szCs w:val="16"/>
              </w:rPr>
              <w:t>2012</w:t>
            </w:r>
          </w:p>
        </w:tc>
        <w:tc>
          <w:tcPr>
            <w:tcW w:w="580" w:type="pct"/>
            <w:tcBorders>
              <w:bottom w:val="single" w:sz="4" w:space="0" w:color="1F497D" w:themeColor="text2"/>
            </w:tcBorders>
            <w:shd w:val="clear" w:color="auto" w:fill="1F497D" w:themeFill="text2"/>
            <w:vAlign w:val="center"/>
          </w:tcPr>
          <w:p w:rsidR="00A23C41" w:rsidRPr="00883C76" w:rsidRDefault="00A23C41" w:rsidP="00A23C41">
            <w:pPr>
              <w:spacing w:before="0" w:after="0"/>
              <w:jc w:val="center"/>
              <w:rPr>
                <w:rFonts w:ascii="Arial" w:hAnsi="Arial" w:cs="Arial"/>
                <w:b/>
                <w:bCs/>
                <w:color w:val="FFFFFF"/>
                <w:sz w:val="16"/>
                <w:szCs w:val="16"/>
              </w:rPr>
            </w:pPr>
            <w:r w:rsidRPr="00883C76">
              <w:rPr>
                <w:rFonts w:ascii="Arial" w:hAnsi="Arial" w:cs="Arial"/>
                <w:b/>
                <w:bCs/>
                <w:color w:val="FFFFFF"/>
                <w:sz w:val="16"/>
                <w:szCs w:val="16"/>
              </w:rPr>
              <w:t>2013</w:t>
            </w:r>
          </w:p>
        </w:tc>
        <w:tc>
          <w:tcPr>
            <w:tcW w:w="652" w:type="pct"/>
            <w:tcBorders>
              <w:bottom w:val="single" w:sz="4" w:space="0" w:color="1F497D" w:themeColor="text2"/>
            </w:tcBorders>
            <w:shd w:val="clear" w:color="auto" w:fill="1F497D" w:themeFill="text2"/>
            <w:noWrap/>
            <w:vAlign w:val="center"/>
            <w:hideMark/>
          </w:tcPr>
          <w:p w:rsidR="00A23C41" w:rsidRPr="00883C76" w:rsidRDefault="00A23C41" w:rsidP="00A23C41">
            <w:pPr>
              <w:spacing w:before="0" w:after="0"/>
              <w:jc w:val="center"/>
              <w:rPr>
                <w:rFonts w:ascii="Arial" w:hAnsi="Arial" w:cs="Arial"/>
                <w:b/>
                <w:bCs/>
                <w:color w:val="FFFFFF"/>
                <w:sz w:val="16"/>
                <w:szCs w:val="16"/>
              </w:rPr>
            </w:pPr>
            <w:r w:rsidRPr="00883C76">
              <w:rPr>
                <w:rFonts w:ascii="Arial" w:hAnsi="Arial" w:cs="Arial"/>
                <w:b/>
                <w:bCs/>
                <w:color w:val="FFFFFF"/>
                <w:sz w:val="16"/>
                <w:szCs w:val="16"/>
              </w:rPr>
              <w:t>TOTAL</w:t>
            </w:r>
          </w:p>
        </w:tc>
        <w:tc>
          <w:tcPr>
            <w:tcW w:w="325" w:type="pct"/>
            <w:tcBorders>
              <w:bottom w:val="single" w:sz="4" w:space="0" w:color="1F497D" w:themeColor="text2"/>
            </w:tcBorders>
            <w:shd w:val="clear" w:color="auto" w:fill="1F497D" w:themeFill="text2"/>
            <w:noWrap/>
            <w:vAlign w:val="center"/>
            <w:hideMark/>
          </w:tcPr>
          <w:p w:rsidR="00A23C41" w:rsidRPr="00883C76" w:rsidRDefault="00A23C41" w:rsidP="00A23C41">
            <w:pPr>
              <w:spacing w:before="0" w:after="0"/>
              <w:jc w:val="center"/>
              <w:rPr>
                <w:rFonts w:ascii="Arial" w:hAnsi="Arial" w:cs="Arial"/>
                <w:b/>
                <w:bCs/>
                <w:color w:val="FFFFFF"/>
                <w:sz w:val="16"/>
                <w:szCs w:val="16"/>
              </w:rPr>
            </w:pPr>
            <w:r w:rsidRPr="00883C76">
              <w:rPr>
                <w:rFonts w:ascii="Arial" w:hAnsi="Arial" w:cs="Arial"/>
                <w:b/>
                <w:bCs/>
                <w:color w:val="FFFFFF"/>
                <w:sz w:val="16"/>
                <w:szCs w:val="16"/>
              </w:rPr>
              <w:t>%</w:t>
            </w:r>
          </w:p>
        </w:tc>
      </w:tr>
      <w:tr w:rsidR="00A23C41" w:rsidRPr="00EF09A2" w:rsidTr="00A23C41">
        <w:trPr>
          <w:trHeight w:val="282"/>
        </w:trPr>
        <w:tc>
          <w:tcPr>
            <w:tcW w:w="688" w:type="pct"/>
            <w:tcBorders>
              <w:left w:val="single" w:sz="6" w:space="0" w:color="1F497D" w:themeColor="text2"/>
              <w:bottom w:val="single" w:sz="6" w:space="0" w:color="1F497D" w:themeColor="text2"/>
              <w:right w:val="dotted" w:sz="4" w:space="0" w:color="auto"/>
            </w:tcBorders>
            <w:shd w:val="clear" w:color="auto" w:fill="auto"/>
            <w:noWrap/>
            <w:vAlign w:val="center"/>
            <w:hideMark/>
          </w:tcPr>
          <w:p w:rsidR="00A23C41" w:rsidRPr="00883C76" w:rsidRDefault="00A23C41" w:rsidP="00A23C41">
            <w:pPr>
              <w:spacing w:before="0" w:after="0"/>
              <w:jc w:val="left"/>
              <w:rPr>
                <w:rFonts w:ascii="Arial" w:hAnsi="Arial" w:cs="Arial"/>
                <w:b/>
                <w:bCs/>
                <w:sz w:val="16"/>
                <w:szCs w:val="16"/>
              </w:rPr>
            </w:pPr>
            <w:r w:rsidRPr="00883C76">
              <w:rPr>
                <w:rFonts w:ascii="Arial" w:hAnsi="Arial" w:cs="Arial"/>
                <w:b/>
                <w:bCs/>
                <w:sz w:val="16"/>
                <w:szCs w:val="16"/>
              </w:rPr>
              <w:t>Palestine</w:t>
            </w:r>
            <w:r>
              <w:rPr>
                <w:rFonts w:ascii="Arial" w:hAnsi="Arial" w:cs="Arial"/>
                <w:b/>
                <w:bCs/>
                <w:sz w:val="16"/>
                <w:szCs w:val="16"/>
              </w:rPr>
              <w:t xml:space="preserve"> all territories</w:t>
            </w:r>
          </w:p>
        </w:tc>
        <w:tc>
          <w:tcPr>
            <w:tcW w:w="539" w:type="pct"/>
            <w:tcBorders>
              <w:left w:val="dotted" w:sz="4" w:space="0" w:color="auto"/>
              <w:bottom w:val="single" w:sz="6" w:space="0" w:color="1F497D" w:themeColor="text2"/>
              <w:right w:val="dotted" w:sz="4" w:space="0" w:color="auto"/>
            </w:tcBorders>
            <w:shd w:val="clear" w:color="auto" w:fill="auto"/>
            <w:noWrap/>
            <w:vAlign w:val="center"/>
            <w:hideMark/>
          </w:tcPr>
          <w:p w:rsidR="00A23C41" w:rsidRPr="00883C76" w:rsidRDefault="00A23C41" w:rsidP="00A23C41">
            <w:pPr>
              <w:spacing w:before="0" w:after="0"/>
              <w:jc w:val="left"/>
              <w:rPr>
                <w:rFonts w:ascii="Arial" w:hAnsi="Arial" w:cs="Arial"/>
                <w:sz w:val="16"/>
                <w:szCs w:val="16"/>
              </w:rPr>
            </w:pPr>
            <w:r w:rsidRPr="00883C76">
              <w:rPr>
                <w:rFonts w:ascii="Arial" w:hAnsi="Arial" w:cs="Arial"/>
                <w:sz w:val="16"/>
                <w:szCs w:val="16"/>
              </w:rPr>
              <w:t>532,064,849</w:t>
            </w:r>
          </w:p>
        </w:tc>
        <w:tc>
          <w:tcPr>
            <w:tcW w:w="539" w:type="pct"/>
            <w:tcBorders>
              <w:left w:val="dotted" w:sz="4" w:space="0" w:color="auto"/>
              <w:bottom w:val="single" w:sz="6" w:space="0" w:color="1F497D" w:themeColor="text2"/>
              <w:right w:val="dotted" w:sz="4" w:space="0" w:color="auto"/>
            </w:tcBorders>
            <w:shd w:val="clear" w:color="auto" w:fill="auto"/>
            <w:noWrap/>
            <w:vAlign w:val="center"/>
            <w:hideMark/>
          </w:tcPr>
          <w:p w:rsidR="00A23C41" w:rsidRPr="00883C76" w:rsidRDefault="00A23C41" w:rsidP="00A23C41">
            <w:pPr>
              <w:spacing w:before="0" w:after="0"/>
              <w:jc w:val="left"/>
              <w:rPr>
                <w:rFonts w:ascii="Arial" w:hAnsi="Arial" w:cs="Arial"/>
                <w:sz w:val="16"/>
                <w:szCs w:val="16"/>
              </w:rPr>
            </w:pPr>
            <w:r w:rsidRPr="00883C76">
              <w:rPr>
                <w:rFonts w:ascii="Arial" w:hAnsi="Arial" w:cs="Arial"/>
                <w:sz w:val="16"/>
                <w:szCs w:val="16"/>
              </w:rPr>
              <w:t>259,998,751</w:t>
            </w:r>
          </w:p>
        </w:tc>
        <w:tc>
          <w:tcPr>
            <w:tcW w:w="539" w:type="pct"/>
            <w:tcBorders>
              <w:left w:val="dotted" w:sz="4" w:space="0" w:color="auto"/>
              <w:bottom w:val="single" w:sz="6" w:space="0" w:color="1F497D" w:themeColor="text2"/>
              <w:right w:val="dotted" w:sz="4" w:space="0" w:color="auto"/>
            </w:tcBorders>
            <w:shd w:val="clear" w:color="auto" w:fill="auto"/>
            <w:noWrap/>
            <w:vAlign w:val="center"/>
            <w:hideMark/>
          </w:tcPr>
          <w:p w:rsidR="00A23C41" w:rsidRPr="00883C76" w:rsidRDefault="00A23C41" w:rsidP="00A23C41">
            <w:pPr>
              <w:spacing w:before="0" w:after="0"/>
              <w:jc w:val="left"/>
              <w:rPr>
                <w:rFonts w:ascii="Arial" w:hAnsi="Arial" w:cs="Arial"/>
                <w:sz w:val="16"/>
                <w:szCs w:val="16"/>
              </w:rPr>
            </w:pPr>
            <w:r w:rsidRPr="00883C76">
              <w:rPr>
                <w:rFonts w:ascii="Arial" w:hAnsi="Arial" w:cs="Arial"/>
                <w:sz w:val="16"/>
                <w:szCs w:val="16"/>
              </w:rPr>
              <w:t>304,058,982</w:t>
            </w:r>
          </w:p>
        </w:tc>
        <w:tc>
          <w:tcPr>
            <w:tcW w:w="539" w:type="pct"/>
            <w:tcBorders>
              <w:left w:val="dotted" w:sz="4" w:space="0" w:color="auto"/>
              <w:bottom w:val="single" w:sz="6" w:space="0" w:color="1F497D" w:themeColor="text2"/>
              <w:right w:val="dotted" w:sz="4" w:space="0" w:color="auto"/>
            </w:tcBorders>
            <w:shd w:val="clear" w:color="auto" w:fill="auto"/>
            <w:noWrap/>
            <w:vAlign w:val="center"/>
            <w:hideMark/>
          </w:tcPr>
          <w:p w:rsidR="00A23C41" w:rsidRPr="00883C76" w:rsidRDefault="00A23C41" w:rsidP="00A23C41">
            <w:pPr>
              <w:spacing w:before="0" w:after="0"/>
              <w:jc w:val="left"/>
              <w:rPr>
                <w:rFonts w:ascii="Arial" w:hAnsi="Arial" w:cs="Arial"/>
                <w:sz w:val="16"/>
                <w:szCs w:val="16"/>
              </w:rPr>
            </w:pPr>
            <w:r w:rsidRPr="00883C76">
              <w:rPr>
                <w:rFonts w:ascii="Arial" w:hAnsi="Arial" w:cs="Arial"/>
                <w:sz w:val="16"/>
                <w:szCs w:val="16"/>
              </w:rPr>
              <w:t>221,888,915</w:t>
            </w:r>
          </w:p>
        </w:tc>
        <w:tc>
          <w:tcPr>
            <w:tcW w:w="599" w:type="pct"/>
            <w:tcBorders>
              <w:left w:val="dotted" w:sz="4" w:space="0" w:color="auto"/>
              <w:bottom w:val="single" w:sz="6" w:space="0" w:color="1F497D" w:themeColor="text2"/>
              <w:right w:val="dotted" w:sz="4" w:space="0" w:color="auto"/>
            </w:tcBorders>
            <w:shd w:val="clear" w:color="auto" w:fill="auto"/>
            <w:noWrap/>
            <w:vAlign w:val="center"/>
            <w:hideMark/>
          </w:tcPr>
          <w:p w:rsidR="00A23C41" w:rsidRPr="00883C76" w:rsidRDefault="00A23C41" w:rsidP="00A23C41">
            <w:pPr>
              <w:spacing w:before="0" w:after="0"/>
              <w:jc w:val="left"/>
              <w:rPr>
                <w:rFonts w:ascii="Arial" w:hAnsi="Arial" w:cs="Arial"/>
                <w:sz w:val="16"/>
                <w:szCs w:val="16"/>
              </w:rPr>
            </w:pPr>
            <w:r w:rsidRPr="00883C76">
              <w:rPr>
                <w:rFonts w:ascii="Arial" w:hAnsi="Arial" w:cs="Arial"/>
                <w:sz w:val="16"/>
                <w:szCs w:val="16"/>
              </w:rPr>
              <w:t>178,366,972</w:t>
            </w:r>
          </w:p>
        </w:tc>
        <w:tc>
          <w:tcPr>
            <w:tcW w:w="580" w:type="pct"/>
            <w:tcBorders>
              <w:left w:val="dotted" w:sz="4" w:space="0" w:color="auto"/>
              <w:bottom w:val="single" w:sz="6" w:space="0" w:color="1F497D" w:themeColor="text2"/>
              <w:right w:val="dotted" w:sz="4" w:space="0" w:color="auto"/>
            </w:tcBorders>
            <w:vAlign w:val="center"/>
          </w:tcPr>
          <w:p w:rsidR="00A23C41" w:rsidRPr="00883C76" w:rsidRDefault="00A23C41" w:rsidP="00A23C41">
            <w:pPr>
              <w:spacing w:before="0" w:after="0"/>
              <w:jc w:val="left"/>
              <w:rPr>
                <w:rFonts w:ascii="Arial" w:hAnsi="Arial" w:cs="Arial"/>
                <w:sz w:val="16"/>
                <w:szCs w:val="16"/>
              </w:rPr>
            </w:pPr>
            <w:r w:rsidRPr="00883C76">
              <w:rPr>
                <w:rFonts w:ascii="Arial" w:hAnsi="Arial" w:cs="Arial"/>
                <w:sz w:val="16"/>
                <w:szCs w:val="16"/>
              </w:rPr>
              <w:t>255,972,974</w:t>
            </w:r>
          </w:p>
        </w:tc>
        <w:tc>
          <w:tcPr>
            <w:tcW w:w="652" w:type="pct"/>
            <w:tcBorders>
              <w:left w:val="dotted" w:sz="4" w:space="0" w:color="auto"/>
              <w:bottom w:val="single" w:sz="6" w:space="0" w:color="1F497D" w:themeColor="text2"/>
              <w:right w:val="dotted" w:sz="4" w:space="0" w:color="auto"/>
            </w:tcBorders>
            <w:shd w:val="clear" w:color="auto" w:fill="F2F2F2" w:themeFill="background1" w:themeFillShade="F2"/>
            <w:noWrap/>
            <w:vAlign w:val="center"/>
            <w:hideMark/>
          </w:tcPr>
          <w:p w:rsidR="00A23C41" w:rsidRPr="00883C76" w:rsidRDefault="00A23C41" w:rsidP="00A23C41">
            <w:pPr>
              <w:spacing w:before="0" w:after="0"/>
              <w:jc w:val="center"/>
              <w:rPr>
                <w:rFonts w:ascii="Arial" w:hAnsi="Arial" w:cs="Arial"/>
                <w:b/>
                <w:sz w:val="16"/>
                <w:szCs w:val="16"/>
              </w:rPr>
            </w:pPr>
            <w:r w:rsidRPr="00883C76">
              <w:rPr>
                <w:rFonts w:ascii="Arial" w:hAnsi="Arial" w:cs="Arial"/>
                <w:b/>
                <w:sz w:val="16"/>
                <w:szCs w:val="16"/>
              </w:rPr>
              <w:t>1,752,351,441</w:t>
            </w:r>
          </w:p>
        </w:tc>
        <w:tc>
          <w:tcPr>
            <w:tcW w:w="325" w:type="pct"/>
            <w:tcBorders>
              <w:left w:val="dotted" w:sz="4" w:space="0" w:color="auto"/>
              <w:bottom w:val="single" w:sz="6" w:space="0" w:color="1F497D" w:themeColor="text2"/>
            </w:tcBorders>
            <w:shd w:val="clear" w:color="000000" w:fill="C5D9F1"/>
            <w:noWrap/>
            <w:vAlign w:val="center"/>
            <w:hideMark/>
          </w:tcPr>
          <w:p w:rsidR="00A23C41" w:rsidRPr="00883C76" w:rsidRDefault="00A23C41" w:rsidP="00A23C41">
            <w:pPr>
              <w:spacing w:before="0" w:after="0"/>
              <w:jc w:val="center"/>
              <w:rPr>
                <w:rFonts w:ascii="Arial" w:hAnsi="Arial" w:cs="Arial"/>
                <w:b/>
                <w:sz w:val="16"/>
                <w:szCs w:val="16"/>
              </w:rPr>
            </w:pPr>
            <w:r w:rsidRPr="00883C76">
              <w:rPr>
                <w:rFonts w:ascii="Arial" w:hAnsi="Arial" w:cs="Arial"/>
                <w:b/>
                <w:sz w:val="16"/>
                <w:szCs w:val="16"/>
              </w:rPr>
              <w:t>84%</w:t>
            </w:r>
          </w:p>
        </w:tc>
      </w:tr>
      <w:tr w:rsidR="00A23C41" w:rsidRPr="00EF09A2" w:rsidTr="00A23C41">
        <w:trPr>
          <w:trHeight w:val="282"/>
        </w:trPr>
        <w:tc>
          <w:tcPr>
            <w:tcW w:w="688" w:type="pct"/>
            <w:tcBorders>
              <w:top w:val="single" w:sz="6" w:space="0" w:color="1F497D" w:themeColor="text2"/>
              <w:left w:val="single" w:sz="6" w:space="0" w:color="1F497D" w:themeColor="text2"/>
              <w:bottom w:val="single" w:sz="6" w:space="0" w:color="1F497D" w:themeColor="text2"/>
              <w:right w:val="dotted" w:sz="4" w:space="0" w:color="auto"/>
            </w:tcBorders>
            <w:shd w:val="clear" w:color="auto" w:fill="auto"/>
            <w:noWrap/>
            <w:vAlign w:val="center"/>
            <w:hideMark/>
          </w:tcPr>
          <w:p w:rsidR="00A23C41" w:rsidRPr="00883C76" w:rsidRDefault="00A23C41" w:rsidP="00A23C41">
            <w:pPr>
              <w:spacing w:before="0" w:after="0"/>
              <w:jc w:val="left"/>
              <w:rPr>
                <w:rFonts w:ascii="Arial" w:hAnsi="Arial" w:cs="Arial"/>
                <w:b/>
                <w:bCs/>
                <w:sz w:val="16"/>
                <w:szCs w:val="16"/>
              </w:rPr>
            </w:pPr>
            <w:r w:rsidRPr="00883C76">
              <w:rPr>
                <w:rFonts w:ascii="Arial" w:hAnsi="Arial" w:cs="Arial"/>
                <w:b/>
                <w:bCs/>
                <w:sz w:val="16"/>
                <w:szCs w:val="16"/>
              </w:rPr>
              <w:t>Gaza</w:t>
            </w:r>
            <w:r>
              <w:rPr>
                <w:rFonts w:ascii="Arial" w:hAnsi="Arial" w:cs="Arial"/>
                <w:b/>
                <w:bCs/>
                <w:sz w:val="16"/>
                <w:szCs w:val="16"/>
              </w:rPr>
              <w:t xml:space="preserve"> Strip</w:t>
            </w:r>
          </w:p>
        </w:tc>
        <w:tc>
          <w:tcPr>
            <w:tcW w:w="539" w:type="pct"/>
            <w:tcBorders>
              <w:top w:val="single" w:sz="6" w:space="0" w:color="1F497D" w:themeColor="text2"/>
              <w:left w:val="dotted" w:sz="4" w:space="0" w:color="auto"/>
              <w:bottom w:val="single" w:sz="6" w:space="0" w:color="1F497D" w:themeColor="text2"/>
              <w:right w:val="dotted" w:sz="4" w:space="0" w:color="auto"/>
            </w:tcBorders>
            <w:shd w:val="clear" w:color="auto" w:fill="auto"/>
            <w:noWrap/>
            <w:vAlign w:val="center"/>
            <w:hideMark/>
          </w:tcPr>
          <w:p w:rsidR="00A23C41" w:rsidRPr="00883C76" w:rsidRDefault="00A23C41" w:rsidP="00A23C41">
            <w:pPr>
              <w:spacing w:before="0" w:after="0"/>
              <w:jc w:val="left"/>
              <w:rPr>
                <w:rFonts w:ascii="Arial" w:hAnsi="Arial" w:cs="Arial"/>
                <w:sz w:val="16"/>
                <w:szCs w:val="16"/>
              </w:rPr>
            </w:pPr>
            <w:r w:rsidRPr="00883C76">
              <w:rPr>
                <w:rFonts w:ascii="Arial" w:hAnsi="Arial" w:cs="Arial"/>
                <w:sz w:val="16"/>
                <w:szCs w:val="16"/>
              </w:rPr>
              <w:t>5,942,165</w:t>
            </w:r>
          </w:p>
        </w:tc>
        <w:tc>
          <w:tcPr>
            <w:tcW w:w="539" w:type="pct"/>
            <w:tcBorders>
              <w:top w:val="single" w:sz="6" w:space="0" w:color="1F497D" w:themeColor="text2"/>
              <w:left w:val="dotted" w:sz="4" w:space="0" w:color="auto"/>
              <w:bottom w:val="single" w:sz="6" w:space="0" w:color="1F497D" w:themeColor="text2"/>
              <w:right w:val="dotted" w:sz="4" w:space="0" w:color="auto"/>
            </w:tcBorders>
            <w:shd w:val="clear" w:color="auto" w:fill="auto"/>
            <w:noWrap/>
            <w:vAlign w:val="center"/>
            <w:hideMark/>
          </w:tcPr>
          <w:p w:rsidR="00A23C41" w:rsidRPr="00883C76" w:rsidRDefault="00A23C41" w:rsidP="00A23C41">
            <w:pPr>
              <w:spacing w:before="0" w:after="0"/>
              <w:jc w:val="left"/>
              <w:rPr>
                <w:rFonts w:ascii="Arial" w:hAnsi="Arial" w:cs="Arial"/>
                <w:sz w:val="16"/>
                <w:szCs w:val="16"/>
              </w:rPr>
            </w:pPr>
            <w:r w:rsidRPr="00883C76">
              <w:rPr>
                <w:rFonts w:ascii="Arial" w:hAnsi="Arial" w:cs="Arial"/>
                <w:sz w:val="16"/>
                <w:szCs w:val="16"/>
              </w:rPr>
              <w:t>20,689,903</w:t>
            </w:r>
          </w:p>
        </w:tc>
        <w:tc>
          <w:tcPr>
            <w:tcW w:w="539" w:type="pct"/>
            <w:tcBorders>
              <w:top w:val="single" w:sz="6" w:space="0" w:color="1F497D" w:themeColor="text2"/>
              <w:left w:val="dotted" w:sz="4" w:space="0" w:color="auto"/>
              <w:bottom w:val="single" w:sz="6" w:space="0" w:color="1F497D" w:themeColor="text2"/>
              <w:right w:val="dotted" w:sz="4" w:space="0" w:color="auto"/>
            </w:tcBorders>
            <w:shd w:val="clear" w:color="auto" w:fill="auto"/>
            <w:noWrap/>
            <w:vAlign w:val="center"/>
            <w:hideMark/>
          </w:tcPr>
          <w:p w:rsidR="00A23C41" w:rsidRPr="00883C76" w:rsidRDefault="00A23C41" w:rsidP="00A23C41">
            <w:pPr>
              <w:spacing w:before="0" w:after="0"/>
              <w:jc w:val="left"/>
              <w:rPr>
                <w:rFonts w:ascii="Arial" w:hAnsi="Arial" w:cs="Arial"/>
                <w:sz w:val="16"/>
                <w:szCs w:val="16"/>
              </w:rPr>
            </w:pPr>
            <w:r w:rsidRPr="00883C76">
              <w:rPr>
                <w:rFonts w:ascii="Arial" w:hAnsi="Arial" w:cs="Arial"/>
                <w:sz w:val="16"/>
                <w:szCs w:val="16"/>
              </w:rPr>
              <w:t>31,688,692</w:t>
            </w:r>
          </w:p>
        </w:tc>
        <w:tc>
          <w:tcPr>
            <w:tcW w:w="539" w:type="pct"/>
            <w:tcBorders>
              <w:top w:val="single" w:sz="6" w:space="0" w:color="1F497D" w:themeColor="text2"/>
              <w:left w:val="dotted" w:sz="4" w:space="0" w:color="auto"/>
              <w:bottom w:val="single" w:sz="6" w:space="0" w:color="1F497D" w:themeColor="text2"/>
              <w:right w:val="dotted" w:sz="4" w:space="0" w:color="auto"/>
            </w:tcBorders>
            <w:shd w:val="clear" w:color="auto" w:fill="auto"/>
            <w:noWrap/>
            <w:vAlign w:val="center"/>
            <w:hideMark/>
          </w:tcPr>
          <w:p w:rsidR="00A23C41" w:rsidRPr="00883C76" w:rsidRDefault="00A23C41" w:rsidP="00A23C41">
            <w:pPr>
              <w:spacing w:before="0" w:after="0"/>
              <w:jc w:val="left"/>
              <w:rPr>
                <w:rFonts w:ascii="Arial" w:hAnsi="Arial" w:cs="Arial"/>
                <w:sz w:val="16"/>
                <w:szCs w:val="16"/>
              </w:rPr>
            </w:pPr>
            <w:r w:rsidRPr="00883C76">
              <w:rPr>
                <w:rFonts w:ascii="Arial" w:hAnsi="Arial" w:cs="Arial"/>
                <w:sz w:val="16"/>
                <w:szCs w:val="16"/>
              </w:rPr>
              <w:t>61,573,666</w:t>
            </w:r>
          </w:p>
        </w:tc>
        <w:tc>
          <w:tcPr>
            <w:tcW w:w="599" w:type="pct"/>
            <w:tcBorders>
              <w:top w:val="single" w:sz="6" w:space="0" w:color="1F497D" w:themeColor="text2"/>
              <w:left w:val="dotted" w:sz="4" w:space="0" w:color="auto"/>
              <w:bottom w:val="single" w:sz="6" w:space="0" w:color="1F497D" w:themeColor="text2"/>
              <w:right w:val="dotted" w:sz="4" w:space="0" w:color="auto"/>
            </w:tcBorders>
            <w:shd w:val="clear" w:color="auto" w:fill="auto"/>
            <w:noWrap/>
            <w:vAlign w:val="center"/>
            <w:hideMark/>
          </w:tcPr>
          <w:p w:rsidR="00A23C41" w:rsidRPr="00883C76" w:rsidRDefault="00A23C41" w:rsidP="00A23C41">
            <w:pPr>
              <w:spacing w:before="0" w:after="0"/>
              <w:jc w:val="left"/>
              <w:rPr>
                <w:rFonts w:ascii="Arial" w:hAnsi="Arial" w:cs="Arial"/>
                <w:sz w:val="16"/>
                <w:szCs w:val="16"/>
              </w:rPr>
            </w:pPr>
            <w:r w:rsidRPr="00883C76">
              <w:rPr>
                <w:rFonts w:ascii="Arial" w:hAnsi="Arial" w:cs="Arial"/>
                <w:sz w:val="16"/>
                <w:szCs w:val="16"/>
              </w:rPr>
              <w:t>49,879,905</w:t>
            </w:r>
          </w:p>
        </w:tc>
        <w:tc>
          <w:tcPr>
            <w:tcW w:w="580" w:type="pct"/>
            <w:tcBorders>
              <w:top w:val="single" w:sz="6" w:space="0" w:color="1F497D" w:themeColor="text2"/>
              <w:left w:val="dotted" w:sz="4" w:space="0" w:color="auto"/>
              <w:bottom w:val="single" w:sz="6" w:space="0" w:color="1F497D" w:themeColor="text2"/>
              <w:right w:val="dotted" w:sz="4" w:space="0" w:color="auto"/>
            </w:tcBorders>
            <w:vAlign w:val="center"/>
          </w:tcPr>
          <w:p w:rsidR="00A23C41" w:rsidRPr="00883C76" w:rsidRDefault="00A23C41" w:rsidP="00A23C41">
            <w:pPr>
              <w:spacing w:before="0" w:after="0"/>
              <w:jc w:val="left"/>
              <w:rPr>
                <w:rFonts w:ascii="Arial" w:hAnsi="Arial" w:cs="Arial"/>
                <w:sz w:val="16"/>
                <w:szCs w:val="16"/>
              </w:rPr>
            </w:pPr>
            <w:r w:rsidRPr="00883C76">
              <w:rPr>
                <w:rFonts w:ascii="Arial" w:hAnsi="Arial" w:cs="Arial"/>
                <w:sz w:val="16"/>
                <w:szCs w:val="16"/>
              </w:rPr>
              <w:t>5,750,070</w:t>
            </w:r>
          </w:p>
        </w:tc>
        <w:tc>
          <w:tcPr>
            <w:tcW w:w="652" w:type="pct"/>
            <w:tcBorders>
              <w:top w:val="single" w:sz="6" w:space="0" w:color="1F497D" w:themeColor="text2"/>
              <w:left w:val="dotted" w:sz="4" w:space="0" w:color="auto"/>
              <w:bottom w:val="single" w:sz="6" w:space="0" w:color="1F497D" w:themeColor="text2"/>
              <w:right w:val="dotted" w:sz="4" w:space="0" w:color="auto"/>
            </w:tcBorders>
            <w:shd w:val="clear" w:color="auto" w:fill="F2F2F2" w:themeFill="background1" w:themeFillShade="F2"/>
            <w:noWrap/>
            <w:vAlign w:val="center"/>
            <w:hideMark/>
          </w:tcPr>
          <w:p w:rsidR="00A23C41" w:rsidRPr="00883C76" w:rsidRDefault="00A23C41" w:rsidP="00A23C41">
            <w:pPr>
              <w:spacing w:before="0" w:after="0"/>
              <w:jc w:val="center"/>
              <w:rPr>
                <w:rFonts w:ascii="Arial" w:hAnsi="Arial" w:cs="Arial"/>
                <w:b/>
                <w:sz w:val="16"/>
                <w:szCs w:val="16"/>
              </w:rPr>
            </w:pPr>
            <w:r w:rsidRPr="00883C76">
              <w:rPr>
                <w:rFonts w:ascii="Arial" w:hAnsi="Arial" w:cs="Arial"/>
                <w:b/>
                <w:sz w:val="16"/>
                <w:szCs w:val="16"/>
              </w:rPr>
              <w:t>175,524,401</w:t>
            </w:r>
          </w:p>
        </w:tc>
        <w:tc>
          <w:tcPr>
            <w:tcW w:w="325" w:type="pct"/>
            <w:tcBorders>
              <w:top w:val="single" w:sz="6" w:space="0" w:color="1F497D" w:themeColor="text2"/>
              <w:left w:val="dotted" w:sz="4" w:space="0" w:color="auto"/>
              <w:bottom w:val="single" w:sz="6" w:space="0" w:color="1F497D" w:themeColor="text2"/>
            </w:tcBorders>
            <w:shd w:val="clear" w:color="000000" w:fill="C5D9F1"/>
            <w:noWrap/>
            <w:vAlign w:val="center"/>
            <w:hideMark/>
          </w:tcPr>
          <w:p w:rsidR="00A23C41" w:rsidRPr="00883C76" w:rsidRDefault="00A23C41" w:rsidP="00A23C41">
            <w:pPr>
              <w:spacing w:before="0" w:after="0"/>
              <w:jc w:val="center"/>
              <w:rPr>
                <w:rFonts w:ascii="Arial" w:hAnsi="Arial" w:cs="Arial"/>
                <w:b/>
                <w:sz w:val="16"/>
                <w:szCs w:val="16"/>
              </w:rPr>
            </w:pPr>
            <w:r w:rsidRPr="00883C76">
              <w:rPr>
                <w:rFonts w:ascii="Arial" w:hAnsi="Arial" w:cs="Arial"/>
                <w:b/>
                <w:sz w:val="16"/>
                <w:szCs w:val="16"/>
              </w:rPr>
              <w:t>8%</w:t>
            </w:r>
          </w:p>
        </w:tc>
      </w:tr>
      <w:tr w:rsidR="00A23C41" w:rsidRPr="00EF09A2" w:rsidTr="00A23C41">
        <w:trPr>
          <w:trHeight w:val="282"/>
        </w:trPr>
        <w:tc>
          <w:tcPr>
            <w:tcW w:w="688" w:type="pct"/>
            <w:tcBorders>
              <w:top w:val="single" w:sz="6" w:space="0" w:color="1F497D" w:themeColor="text2"/>
              <w:left w:val="single" w:sz="6" w:space="0" w:color="1F497D" w:themeColor="text2"/>
              <w:bottom w:val="single" w:sz="6" w:space="0" w:color="1F497D" w:themeColor="text2"/>
              <w:right w:val="dotted" w:sz="4" w:space="0" w:color="auto"/>
            </w:tcBorders>
            <w:shd w:val="clear" w:color="auto" w:fill="auto"/>
            <w:noWrap/>
            <w:vAlign w:val="center"/>
            <w:hideMark/>
          </w:tcPr>
          <w:p w:rsidR="00A23C41" w:rsidRPr="00883C76" w:rsidRDefault="00A23C41" w:rsidP="00A23C41">
            <w:pPr>
              <w:spacing w:before="0" w:after="0"/>
              <w:jc w:val="left"/>
              <w:rPr>
                <w:rFonts w:ascii="Arial" w:hAnsi="Arial" w:cs="Arial"/>
                <w:b/>
                <w:bCs/>
                <w:sz w:val="16"/>
                <w:szCs w:val="16"/>
              </w:rPr>
            </w:pPr>
            <w:r w:rsidRPr="00883C76">
              <w:rPr>
                <w:rFonts w:ascii="Arial" w:hAnsi="Arial" w:cs="Arial"/>
                <w:b/>
                <w:bCs/>
                <w:sz w:val="16"/>
                <w:szCs w:val="16"/>
              </w:rPr>
              <w:t>Jordan</w:t>
            </w:r>
          </w:p>
        </w:tc>
        <w:tc>
          <w:tcPr>
            <w:tcW w:w="539" w:type="pct"/>
            <w:tcBorders>
              <w:top w:val="single" w:sz="6" w:space="0" w:color="1F497D" w:themeColor="text2"/>
              <w:left w:val="dotted" w:sz="4" w:space="0" w:color="auto"/>
              <w:bottom w:val="single" w:sz="6" w:space="0" w:color="1F497D" w:themeColor="text2"/>
              <w:right w:val="dotted" w:sz="4" w:space="0" w:color="auto"/>
            </w:tcBorders>
            <w:shd w:val="clear" w:color="auto" w:fill="auto"/>
            <w:noWrap/>
            <w:vAlign w:val="center"/>
            <w:hideMark/>
          </w:tcPr>
          <w:p w:rsidR="00A23C41" w:rsidRPr="00883C76" w:rsidRDefault="00A23C41" w:rsidP="00A23C41">
            <w:pPr>
              <w:spacing w:before="0" w:after="0"/>
              <w:jc w:val="left"/>
              <w:rPr>
                <w:rFonts w:ascii="Arial" w:hAnsi="Arial" w:cs="Arial"/>
                <w:sz w:val="16"/>
                <w:szCs w:val="16"/>
              </w:rPr>
            </w:pPr>
            <w:r w:rsidRPr="00883C76">
              <w:rPr>
                <w:rFonts w:ascii="Arial" w:hAnsi="Arial" w:cs="Arial"/>
                <w:sz w:val="16"/>
                <w:szCs w:val="16"/>
              </w:rPr>
              <w:t>1,309,440</w:t>
            </w:r>
          </w:p>
        </w:tc>
        <w:tc>
          <w:tcPr>
            <w:tcW w:w="539" w:type="pct"/>
            <w:tcBorders>
              <w:top w:val="single" w:sz="6" w:space="0" w:color="1F497D" w:themeColor="text2"/>
              <w:left w:val="dotted" w:sz="4" w:space="0" w:color="auto"/>
              <w:bottom w:val="single" w:sz="6" w:space="0" w:color="1F497D" w:themeColor="text2"/>
              <w:right w:val="dotted" w:sz="4" w:space="0" w:color="auto"/>
            </w:tcBorders>
            <w:shd w:val="clear" w:color="auto" w:fill="auto"/>
            <w:noWrap/>
            <w:vAlign w:val="center"/>
            <w:hideMark/>
          </w:tcPr>
          <w:p w:rsidR="00A23C41" w:rsidRPr="00883C76" w:rsidRDefault="00A23C41" w:rsidP="00A23C41">
            <w:pPr>
              <w:spacing w:before="0" w:after="0"/>
              <w:jc w:val="left"/>
              <w:rPr>
                <w:rFonts w:ascii="Arial" w:hAnsi="Arial" w:cs="Arial"/>
                <w:sz w:val="16"/>
                <w:szCs w:val="16"/>
              </w:rPr>
            </w:pPr>
          </w:p>
        </w:tc>
        <w:tc>
          <w:tcPr>
            <w:tcW w:w="539" w:type="pct"/>
            <w:tcBorders>
              <w:top w:val="single" w:sz="6" w:space="0" w:color="1F497D" w:themeColor="text2"/>
              <w:left w:val="dotted" w:sz="4" w:space="0" w:color="auto"/>
              <w:bottom w:val="single" w:sz="6" w:space="0" w:color="1F497D" w:themeColor="text2"/>
              <w:right w:val="dotted" w:sz="4" w:space="0" w:color="auto"/>
            </w:tcBorders>
            <w:shd w:val="clear" w:color="auto" w:fill="auto"/>
            <w:noWrap/>
            <w:vAlign w:val="center"/>
            <w:hideMark/>
          </w:tcPr>
          <w:p w:rsidR="00A23C41" w:rsidRPr="00883C76" w:rsidRDefault="00A23C41" w:rsidP="00A23C41">
            <w:pPr>
              <w:spacing w:before="0" w:after="0"/>
              <w:jc w:val="left"/>
              <w:rPr>
                <w:rFonts w:ascii="Arial" w:hAnsi="Arial" w:cs="Arial"/>
                <w:sz w:val="16"/>
                <w:szCs w:val="16"/>
              </w:rPr>
            </w:pPr>
          </w:p>
        </w:tc>
        <w:tc>
          <w:tcPr>
            <w:tcW w:w="539" w:type="pct"/>
            <w:tcBorders>
              <w:top w:val="single" w:sz="6" w:space="0" w:color="1F497D" w:themeColor="text2"/>
              <w:left w:val="dotted" w:sz="4" w:space="0" w:color="auto"/>
              <w:bottom w:val="single" w:sz="6" w:space="0" w:color="1F497D" w:themeColor="text2"/>
              <w:right w:val="dotted" w:sz="4" w:space="0" w:color="auto"/>
            </w:tcBorders>
            <w:shd w:val="clear" w:color="auto" w:fill="auto"/>
            <w:noWrap/>
            <w:vAlign w:val="center"/>
            <w:hideMark/>
          </w:tcPr>
          <w:p w:rsidR="00A23C41" w:rsidRPr="00883C76" w:rsidRDefault="00A23C41" w:rsidP="00A23C41">
            <w:pPr>
              <w:spacing w:before="0" w:after="0"/>
              <w:jc w:val="left"/>
              <w:rPr>
                <w:rFonts w:ascii="Arial" w:hAnsi="Arial" w:cs="Arial"/>
                <w:sz w:val="16"/>
                <w:szCs w:val="16"/>
              </w:rPr>
            </w:pPr>
            <w:r w:rsidRPr="00883C76">
              <w:rPr>
                <w:rFonts w:ascii="Arial" w:hAnsi="Arial" w:cs="Arial"/>
                <w:sz w:val="16"/>
                <w:szCs w:val="16"/>
              </w:rPr>
              <w:t>78,505,280</w:t>
            </w:r>
          </w:p>
        </w:tc>
        <w:tc>
          <w:tcPr>
            <w:tcW w:w="599" w:type="pct"/>
            <w:tcBorders>
              <w:top w:val="single" w:sz="6" w:space="0" w:color="1F497D" w:themeColor="text2"/>
              <w:left w:val="dotted" w:sz="4" w:space="0" w:color="auto"/>
              <w:bottom w:val="single" w:sz="6" w:space="0" w:color="1F497D" w:themeColor="text2"/>
              <w:right w:val="dotted" w:sz="4" w:space="0" w:color="auto"/>
            </w:tcBorders>
            <w:shd w:val="clear" w:color="auto" w:fill="auto"/>
            <w:noWrap/>
            <w:vAlign w:val="center"/>
            <w:hideMark/>
          </w:tcPr>
          <w:p w:rsidR="00A23C41" w:rsidRPr="00883C76" w:rsidRDefault="00A23C41" w:rsidP="00A23C41">
            <w:pPr>
              <w:spacing w:before="0" w:after="0"/>
              <w:jc w:val="left"/>
              <w:rPr>
                <w:rFonts w:ascii="Arial" w:hAnsi="Arial" w:cs="Arial"/>
                <w:sz w:val="16"/>
                <w:szCs w:val="16"/>
              </w:rPr>
            </w:pPr>
          </w:p>
        </w:tc>
        <w:tc>
          <w:tcPr>
            <w:tcW w:w="580" w:type="pct"/>
            <w:tcBorders>
              <w:top w:val="single" w:sz="6" w:space="0" w:color="1F497D" w:themeColor="text2"/>
              <w:left w:val="dotted" w:sz="4" w:space="0" w:color="auto"/>
              <w:bottom w:val="single" w:sz="6" w:space="0" w:color="1F497D" w:themeColor="text2"/>
              <w:right w:val="dotted" w:sz="4" w:space="0" w:color="auto"/>
            </w:tcBorders>
            <w:vAlign w:val="center"/>
          </w:tcPr>
          <w:p w:rsidR="00A23C41" w:rsidRPr="00883C76" w:rsidRDefault="00A23C41" w:rsidP="00A23C41">
            <w:pPr>
              <w:spacing w:before="0" w:after="0"/>
              <w:jc w:val="left"/>
              <w:rPr>
                <w:rFonts w:ascii="Arial" w:hAnsi="Arial" w:cs="Arial"/>
                <w:sz w:val="16"/>
                <w:szCs w:val="16"/>
              </w:rPr>
            </w:pPr>
          </w:p>
        </w:tc>
        <w:tc>
          <w:tcPr>
            <w:tcW w:w="652" w:type="pct"/>
            <w:tcBorders>
              <w:top w:val="single" w:sz="6" w:space="0" w:color="1F497D" w:themeColor="text2"/>
              <w:left w:val="dotted" w:sz="4" w:space="0" w:color="auto"/>
              <w:bottom w:val="single" w:sz="6" w:space="0" w:color="1F497D" w:themeColor="text2"/>
              <w:right w:val="dotted" w:sz="4" w:space="0" w:color="auto"/>
            </w:tcBorders>
            <w:shd w:val="clear" w:color="auto" w:fill="F2F2F2" w:themeFill="background1" w:themeFillShade="F2"/>
            <w:noWrap/>
            <w:vAlign w:val="center"/>
            <w:hideMark/>
          </w:tcPr>
          <w:p w:rsidR="00A23C41" w:rsidRPr="00883C76" w:rsidRDefault="00A23C41" w:rsidP="00A23C41">
            <w:pPr>
              <w:spacing w:before="0" w:after="0"/>
              <w:jc w:val="center"/>
              <w:rPr>
                <w:rFonts w:ascii="Arial" w:hAnsi="Arial" w:cs="Arial"/>
                <w:b/>
                <w:sz w:val="16"/>
                <w:szCs w:val="16"/>
              </w:rPr>
            </w:pPr>
            <w:r w:rsidRPr="00883C76">
              <w:rPr>
                <w:rFonts w:ascii="Arial" w:hAnsi="Arial" w:cs="Arial"/>
                <w:b/>
                <w:sz w:val="16"/>
                <w:szCs w:val="16"/>
              </w:rPr>
              <w:t>79,814,720</w:t>
            </w:r>
          </w:p>
        </w:tc>
        <w:tc>
          <w:tcPr>
            <w:tcW w:w="325" w:type="pct"/>
            <w:tcBorders>
              <w:top w:val="single" w:sz="6" w:space="0" w:color="1F497D" w:themeColor="text2"/>
              <w:left w:val="dotted" w:sz="4" w:space="0" w:color="auto"/>
              <w:bottom w:val="single" w:sz="6" w:space="0" w:color="1F497D" w:themeColor="text2"/>
            </w:tcBorders>
            <w:shd w:val="clear" w:color="000000" w:fill="C5D9F1"/>
            <w:noWrap/>
            <w:vAlign w:val="center"/>
            <w:hideMark/>
          </w:tcPr>
          <w:p w:rsidR="00A23C41" w:rsidRPr="00883C76" w:rsidRDefault="00A23C41" w:rsidP="00A23C41">
            <w:pPr>
              <w:spacing w:before="0" w:after="0"/>
              <w:jc w:val="center"/>
              <w:rPr>
                <w:rFonts w:ascii="Arial" w:hAnsi="Arial" w:cs="Arial"/>
                <w:b/>
                <w:sz w:val="16"/>
                <w:szCs w:val="16"/>
              </w:rPr>
            </w:pPr>
            <w:r w:rsidRPr="00883C76">
              <w:rPr>
                <w:rFonts w:ascii="Arial" w:hAnsi="Arial" w:cs="Arial"/>
                <w:b/>
                <w:sz w:val="16"/>
                <w:szCs w:val="16"/>
              </w:rPr>
              <w:t>4%</w:t>
            </w:r>
          </w:p>
        </w:tc>
      </w:tr>
      <w:tr w:rsidR="00A23C41" w:rsidRPr="00EF09A2" w:rsidTr="00A23C41">
        <w:trPr>
          <w:trHeight w:val="282"/>
        </w:trPr>
        <w:tc>
          <w:tcPr>
            <w:tcW w:w="688" w:type="pct"/>
            <w:tcBorders>
              <w:top w:val="single" w:sz="6" w:space="0" w:color="1F497D" w:themeColor="text2"/>
              <w:left w:val="single" w:sz="6" w:space="0" w:color="1F497D" w:themeColor="text2"/>
              <w:bottom w:val="single" w:sz="6" w:space="0" w:color="1F497D" w:themeColor="text2"/>
              <w:right w:val="dotted" w:sz="4" w:space="0" w:color="auto"/>
            </w:tcBorders>
            <w:shd w:val="clear" w:color="auto" w:fill="auto"/>
            <w:noWrap/>
            <w:vAlign w:val="center"/>
            <w:hideMark/>
          </w:tcPr>
          <w:p w:rsidR="00A23C41" w:rsidRPr="00883C76" w:rsidRDefault="00A23C41" w:rsidP="00A23C41">
            <w:pPr>
              <w:spacing w:before="0" w:after="0"/>
              <w:jc w:val="left"/>
              <w:rPr>
                <w:rFonts w:ascii="Arial" w:hAnsi="Arial" w:cs="Arial"/>
                <w:b/>
                <w:bCs/>
                <w:sz w:val="16"/>
                <w:szCs w:val="16"/>
              </w:rPr>
            </w:pPr>
            <w:r w:rsidRPr="00883C76">
              <w:rPr>
                <w:rFonts w:ascii="Arial" w:hAnsi="Arial" w:cs="Arial"/>
                <w:b/>
                <w:bCs/>
                <w:sz w:val="16"/>
                <w:szCs w:val="16"/>
              </w:rPr>
              <w:t>West Bank</w:t>
            </w:r>
          </w:p>
        </w:tc>
        <w:tc>
          <w:tcPr>
            <w:tcW w:w="539" w:type="pct"/>
            <w:tcBorders>
              <w:top w:val="single" w:sz="6" w:space="0" w:color="1F497D" w:themeColor="text2"/>
              <w:left w:val="dotted" w:sz="4" w:space="0" w:color="auto"/>
              <w:bottom w:val="single" w:sz="6" w:space="0" w:color="1F497D" w:themeColor="text2"/>
              <w:right w:val="dotted" w:sz="4" w:space="0" w:color="auto"/>
            </w:tcBorders>
            <w:shd w:val="clear" w:color="auto" w:fill="auto"/>
            <w:noWrap/>
            <w:vAlign w:val="center"/>
            <w:hideMark/>
          </w:tcPr>
          <w:p w:rsidR="00A23C41" w:rsidRPr="00883C76" w:rsidRDefault="00A23C41" w:rsidP="00A23C41">
            <w:pPr>
              <w:spacing w:before="0" w:after="0"/>
              <w:jc w:val="left"/>
              <w:rPr>
                <w:rFonts w:ascii="Arial" w:hAnsi="Arial" w:cs="Arial"/>
                <w:sz w:val="16"/>
                <w:szCs w:val="16"/>
              </w:rPr>
            </w:pPr>
            <w:r w:rsidRPr="00883C76">
              <w:rPr>
                <w:rFonts w:ascii="Arial" w:hAnsi="Arial" w:cs="Arial"/>
                <w:sz w:val="16"/>
                <w:szCs w:val="16"/>
              </w:rPr>
              <w:t>1,713,669</w:t>
            </w:r>
          </w:p>
        </w:tc>
        <w:tc>
          <w:tcPr>
            <w:tcW w:w="539" w:type="pct"/>
            <w:tcBorders>
              <w:top w:val="single" w:sz="6" w:space="0" w:color="1F497D" w:themeColor="text2"/>
              <w:left w:val="dotted" w:sz="4" w:space="0" w:color="auto"/>
              <w:bottom w:val="single" w:sz="6" w:space="0" w:color="1F497D" w:themeColor="text2"/>
              <w:right w:val="dotted" w:sz="4" w:space="0" w:color="auto"/>
            </w:tcBorders>
            <w:shd w:val="clear" w:color="auto" w:fill="auto"/>
            <w:noWrap/>
            <w:vAlign w:val="center"/>
            <w:hideMark/>
          </w:tcPr>
          <w:p w:rsidR="00A23C41" w:rsidRPr="00883C76" w:rsidRDefault="00A23C41" w:rsidP="00A23C41">
            <w:pPr>
              <w:spacing w:before="0" w:after="0"/>
              <w:jc w:val="left"/>
              <w:rPr>
                <w:rFonts w:ascii="Arial" w:hAnsi="Arial" w:cs="Arial"/>
                <w:sz w:val="16"/>
                <w:szCs w:val="16"/>
              </w:rPr>
            </w:pPr>
            <w:r w:rsidRPr="00883C76">
              <w:rPr>
                <w:rFonts w:ascii="Arial" w:hAnsi="Arial" w:cs="Arial"/>
                <w:sz w:val="16"/>
                <w:szCs w:val="16"/>
              </w:rPr>
              <w:t>1,106,460</w:t>
            </w:r>
          </w:p>
        </w:tc>
        <w:tc>
          <w:tcPr>
            <w:tcW w:w="539" w:type="pct"/>
            <w:tcBorders>
              <w:top w:val="single" w:sz="6" w:space="0" w:color="1F497D" w:themeColor="text2"/>
              <w:left w:val="dotted" w:sz="4" w:space="0" w:color="auto"/>
              <w:bottom w:val="single" w:sz="6" w:space="0" w:color="1F497D" w:themeColor="text2"/>
              <w:right w:val="dotted" w:sz="4" w:space="0" w:color="auto"/>
            </w:tcBorders>
            <w:shd w:val="clear" w:color="auto" w:fill="auto"/>
            <w:noWrap/>
            <w:vAlign w:val="center"/>
            <w:hideMark/>
          </w:tcPr>
          <w:p w:rsidR="00A23C41" w:rsidRPr="00883C76" w:rsidRDefault="00A23C41" w:rsidP="00A23C41">
            <w:pPr>
              <w:spacing w:before="0" w:after="0"/>
              <w:jc w:val="left"/>
              <w:rPr>
                <w:rFonts w:ascii="Arial" w:hAnsi="Arial" w:cs="Arial"/>
                <w:sz w:val="16"/>
                <w:szCs w:val="16"/>
              </w:rPr>
            </w:pPr>
            <w:r w:rsidRPr="00883C76">
              <w:rPr>
                <w:rFonts w:ascii="Arial" w:hAnsi="Arial" w:cs="Arial"/>
                <w:sz w:val="16"/>
                <w:szCs w:val="16"/>
              </w:rPr>
              <w:t>18,106,035</w:t>
            </w:r>
          </w:p>
        </w:tc>
        <w:tc>
          <w:tcPr>
            <w:tcW w:w="539" w:type="pct"/>
            <w:tcBorders>
              <w:top w:val="single" w:sz="6" w:space="0" w:color="1F497D" w:themeColor="text2"/>
              <w:left w:val="dotted" w:sz="4" w:space="0" w:color="auto"/>
              <w:bottom w:val="single" w:sz="6" w:space="0" w:color="1F497D" w:themeColor="text2"/>
              <w:right w:val="dotted" w:sz="4" w:space="0" w:color="auto"/>
            </w:tcBorders>
            <w:shd w:val="clear" w:color="auto" w:fill="auto"/>
            <w:noWrap/>
            <w:vAlign w:val="center"/>
            <w:hideMark/>
          </w:tcPr>
          <w:p w:rsidR="00A23C41" w:rsidRPr="00883C76" w:rsidRDefault="00A23C41" w:rsidP="00A23C41">
            <w:pPr>
              <w:spacing w:before="0" w:after="0"/>
              <w:jc w:val="left"/>
              <w:rPr>
                <w:rFonts w:ascii="Arial" w:hAnsi="Arial" w:cs="Arial"/>
                <w:sz w:val="16"/>
                <w:szCs w:val="16"/>
              </w:rPr>
            </w:pPr>
            <w:r w:rsidRPr="00883C76">
              <w:rPr>
                <w:rFonts w:ascii="Arial" w:hAnsi="Arial" w:cs="Arial"/>
                <w:sz w:val="16"/>
                <w:szCs w:val="16"/>
              </w:rPr>
              <w:t>10,415,501</w:t>
            </w:r>
          </w:p>
        </w:tc>
        <w:tc>
          <w:tcPr>
            <w:tcW w:w="599" w:type="pct"/>
            <w:tcBorders>
              <w:top w:val="single" w:sz="6" w:space="0" w:color="1F497D" w:themeColor="text2"/>
              <w:left w:val="dotted" w:sz="4" w:space="0" w:color="auto"/>
              <w:bottom w:val="single" w:sz="6" w:space="0" w:color="1F497D" w:themeColor="text2"/>
              <w:right w:val="dotted" w:sz="4" w:space="0" w:color="auto"/>
            </w:tcBorders>
            <w:shd w:val="clear" w:color="auto" w:fill="auto"/>
            <w:noWrap/>
            <w:vAlign w:val="center"/>
            <w:hideMark/>
          </w:tcPr>
          <w:p w:rsidR="00A23C41" w:rsidRPr="00883C76" w:rsidRDefault="00A23C41" w:rsidP="00A23C41">
            <w:pPr>
              <w:spacing w:before="0" w:after="0"/>
              <w:jc w:val="left"/>
              <w:rPr>
                <w:rFonts w:ascii="Arial" w:hAnsi="Arial" w:cs="Arial"/>
                <w:sz w:val="16"/>
                <w:szCs w:val="16"/>
              </w:rPr>
            </w:pPr>
            <w:r w:rsidRPr="00883C76">
              <w:rPr>
                <w:rFonts w:ascii="Arial" w:hAnsi="Arial" w:cs="Arial"/>
                <w:sz w:val="16"/>
                <w:szCs w:val="16"/>
              </w:rPr>
              <w:t>9,170,830</w:t>
            </w:r>
          </w:p>
        </w:tc>
        <w:tc>
          <w:tcPr>
            <w:tcW w:w="580" w:type="pct"/>
            <w:tcBorders>
              <w:top w:val="single" w:sz="6" w:space="0" w:color="1F497D" w:themeColor="text2"/>
              <w:left w:val="dotted" w:sz="4" w:space="0" w:color="auto"/>
              <w:bottom w:val="single" w:sz="6" w:space="0" w:color="1F497D" w:themeColor="text2"/>
              <w:right w:val="dotted" w:sz="4" w:space="0" w:color="auto"/>
            </w:tcBorders>
            <w:vAlign w:val="center"/>
          </w:tcPr>
          <w:p w:rsidR="00A23C41" w:rsidRPr="00883C76" w:rsidRDefault="00A23C41" w:rsidP="00A23C41">
            <w:pPr>
              <w:spacing w:before="0" w:after="0"/>
              <w:jc w:val="left"/>
              <w:rPr>
                <w:rFonts w:ascii="Arial" w:hAnsi="Arial" w:cs="Arial"/>
                <w:sz w:val="16"/>
                <w:szCs w:val="16"/>
              </w:rPr>
            </w:pPr>
          </w:p>
        </w:tc>
        <w:tc>
          <w:tcPr>
            <w:tcW w:w="652" w:type="pct"/>
            <w:tcBorders>
              <w:top w:val="single" w:sz="6" w:space="0" w:color="1F497D" w:themeColor="text2"/>
              <w:left w:val="dotted" w:sz="4" w:space="0" w:color="auto"/>
              <w:bottom w:val="single" w:sz="6" w:space="0" w:color="1F497D" w:themeColor="text2"/>
              <w:right w:val="dotted" w:sz="4" w:space="0" w:color="auto"/>
            </w:tcBorders>
            <w:shd w:val="clear" w:color="auto" w:fill="F2F2F2" w:themeFill="background1" w:themeFillShade="F2"/>
            <w:noWrap/>
            <w:vAlign w:val="center"/>
            <w:hideMark/>
          </w:tcPr>
          <w:p w:rsidR="00A23C41" w:rsidRPr="00883C76" w:rsidRDefault="00A23C41" w:rsidP="00A23C41">
            <w:pPr>
              <w:spacing w:before="0" w:after="0"/>
              <w:jc w:val="center"/>
              <w:rPr>
                <w:rFonts w:ascii="Arial" w:hAnsi="Arial" w:cs="Arial"/>
                <w:b/>
                <w:sz w:val="16"/>
                <w:szCs w:val="16"/>
              </w:rPr>
            </w:pPr>
            <w:r w:rsidRPr="00883C76">
              <w:rPr>
                <w:rFonts w:ascii="Arial" w:hAnsi="Arial" w:cs="Arial"/>
                <w:b/>
                <w:sz w:val="16"/>
                <w:szCs w:val="16"/>
              </w:rPr>
              <w:t>40,512,494</w:t>
            </w:r>
          </w:p>
        </w:tc>
        <w:tc>
          <w:tcPr>
            <w:tcW w:w="325" w:type="pct"/>
            <w:tcBorders>
              <w:top w:val="single" w:sz="6" w:space="0" w:color="1F497D" w:themeColor="text2"/>
              <w:left w:val="dotted" w:sz="4" w:space="0" w:color="auto"/>
              <w:bottom w:val="single" w:sz="6" w:space="0" w:color="1F497D" w:themeColor="text2"/>
            </w:tcBorders>
            <w:shd w:val="clear" w:color="000000" w:fill="C5D9F1"/>
            <w:noWrap/>
            <w:vAlign w:val="center"/>
            <w:hideMark/>
          </w:tcPr>
          <w:p w:rsidR="00A23C41" w:rsidRPr="00883C76" w:rsidRDefault="00A23C41" w:rsidP="00A23C41">
            <w:pPr>
              <w:spacing w:before="0" w:after="0"/>
              <w:jc w:val="center"/>
              <w:rPr>
                <w:rFonts w:ascii="Arial" w:hAnsi="Arial" w:cs="Arial"/>
                <w:b/>
                <w:sz w:val="16"/>
                <w:szCs w:val="16"/>
              </w:rPr>
            </w:pPr>
            <w:r w:rsidRPr="00883C76">
              <w:rPr>
                <w:rFonts w:ascii="Arial" w:hAnsi="Arial" w:cs="Arial"/>
                <w:b/>
                <w:sz w:val="16"/>
                <w:szCs w:val="16"/>
              </w:rPr>
              <w:t>2%</w:t>
            </w:r>
          </w:p>
        </w:tc>
      </w:tr>
      <w:tr w:rsidR="00A23C41" w:rsidRPr="00EF09A2" w:rsidTr="00A23C41">
        <w:trPr>
          <w:trHeight w:val="282"/>
        </w:trPr>
        <w:tc>
          <w:tcPr>
            <w:tcW w:w="688" w:type="pct"/>
            <w:tcBorders>
              <w:top w:val="single" w:sz="6" w:space="0" w:color="1F497D" w:themeColor="text2"/>
              <w:left w:val="single" w:sz="6" w:space="0" w:color="1F497D" w:themeColor="text2"/>
              <w:bottom w:val="single" w:sz="6" w:space="0" w:color="1F497D" w:themeColor="text2"/>
              <w:right w:val="dotted" w:sz="4" w:space="0" w:color="auto"/>
            </w:tcBorders>
            <w:shd w:val="clear" w:color="auto" w:fill="auto"/>
            <w:noWrap/>
            <w:vAlign w:val="center"/>
            <w:hideMark/>
          </w:tcPr>
          <w:p w:rsidR="00A23C41" w:rsidRPr="00883C76" w:rsidRDefault="00A23C41" w:rsidP="00A23C41">
            <w:pPr>
              <w:spacing w:before="0" w:after="0"/>
              <w:jc w:val="left"/>
              <w:rPr>
                <w:rFonts w:ascii="Arial" w:hAnsi="Arial" w:cs="Arial"/>
                <w:b/>
                <w:bCs/>
                <w:sz w:val="16"/>
                <w:szCs w:val="16"/>
              </w:rPr>
            </w:pPr>
            <w:r w:rsidRPr="00883C76">
              <w:rPr>
                <w:rFonts w:ascii="Arial" w:hAnsi="Arial" w:cs="Arial"/>
                <w:b/>
                <w:bCs/>
                <w:sz w:val="16"/>
                <w:szCs w:val="16"/>
              </w:rPr>
              <w:t>East Jerusalem</w:t>
            </w:r>
          </w:p>
        </w:tc>
        <w:tc>
          <w:tcPr>
            <w:tcW w:w="539" w:type="pct"/>
            <w:tcBorders>
              <w:top w:val="single" w:sz="6" w:space="0" w:color="1F497D" w:themeColor="text2"/>
              <w:left w:val="dotted" w:sz="4" w:space="0" w:color="auto"/>
              <w:bottom w:val="single" w:sz="6" w:space="0" w:color="1F497D" w:themeColor="text2"/>
              <w:right w:val="dotted" w:sz="4" w:space="0" w:color="auto"/>
            </w:tcBorders>
            <w:shd w:val="clear" w:color="auto" w:fill="auto"/>
            <w:noWrap/>
            <w:vAlign w:val="center"/>
            <w:hideMark/>
          </w:tcPr>
          <w:p w:rsidR="00A23C41" w:rsidRPr="00883C76" w:rsidRDefault="00A23C41" w:rsidP="00A23C41">
            <w:pPr>
              <w:spacing w:before="0" w:after="0"/>
              <w:jc w:val="left"/>
              <w:rPr>
                <w:rFonts w:ascii="Arial" w:hAnsi="Arial" w:cs="Arial"/>
                <w:sz w:val="16"/>
                <w:szCs w:val="16"/>
              </w:rPr>
            </w:pPr>
            <w:r w:rsidRPr="00883C76">
              <w:rPr>
                <w:rFonts w:ascii="Arial" w:hAnsi="Arial" w:cs="Arial"/>
                <w:sz w:val="16"/>
                <w:szCs w:val="16"/>
              </w:rPr>
              <w:t>1,170,934</w:t>
            </w:r>
          </w:p>
        </w:tc>
        <w:tc>
          <w:tcPr>
            <w:tcW w:w="539" w:type="pct"/>
            <w:tcBorders>
              <w:top w:val="single" w:sz="6" w:space="0" w:color="1F497D" w:themeColor="text2"/>
              <w:left w:val="dotted" w:sz="4" w:space="0" w:color="auto"/>
              <w:bottom w:val="single" w:sz="6" w:space="0" w:color="1F497D" w:themeColor="text2"/>
              <w:right w:val="dotted" w:sz="4" w:space="0" w:color="auto"/>
            </w:tcBorders>
            <w:shd w:val="clear" w:color="auto" w:fill="auto"/>
            <w:noWrap/>
            <w:vAlign w:val="center"/>
            <w:hideMark/>
          </w:tcPr>
          <w:p w:rsidR="00A23C41" w:rsidRPr="00883C76" w:rsidRDefault="00A23C41" w:rsidP="00A23C41">
            <w:pPr>
              <w:spacing w:before="0" w:after="0"/>
              <w:jc w:val="left"/>
              <w:rPr>
                <w:rFonts w:ascii="Arial" w:hAnsi="Arial" w:cs="Arial"/>
                <w:sz w:val="16"/>
                <w:szCs w:val="16"/>
              </w:rPr>
            </w:pPr>
            <w:r w:rsidRPr="00883C76">
              <w:rPr>
                <w:rFonts w:ascii="Arial" w:hAnsi="Arial" w:cs="Arial"/>
                <w:sz w:val="16"/>
                <w:szCs w:val="16"/>
              </w:rPr>
              <w:t>800,000</w:t>
            </w:r>
          </w:p>
        </w:tc>
        <w:tc>
          <w:tcPr>
            <w:tcW w:w="539" w:type="pct"/>
            <w:tcBorders>
              <w:top w:val="single" w:sz="6" w:space="0" w:color="1F497D" w:themeColor="text2"/>
              <w:left w:val="dotted" w:sz="4" w:space="0" w:color="auto"/>
              <w:bottom w:val="single" w:sz="6" w:space="0" w:color="1F497D" w:themeColor="text2"/>
              <w:right w:val="dotted" w:sz="4" w:space="0" w:color="auto"/>
            </w:tcBorders>
            <w:shd w:val="clear" w:color="auto" w:fill="auto"/>
            <w:noWrap/>
            <w:vAlign w:val="center"/>
            <w:hideMark/>
          </w:tcPr>
          <w:p w:rsidR="00A23C41" w:rsidRPr="00883C76" w:rsidRDefault="00A23C41" w:rsidP="00A23C41">
            <w:pPr>
              <w:spacing w:before="0" w:after="0"/>
              <w:jc w:val="left"/>
              <w:rPr>
                <w:rFonts w:ascii="Arial" w:hAnsi="Arial" w:cs="Arial"/>
                <w:sz w:val="16"/>
                <w:szCs w:val="16"/>
              </w:rPr>
            </w:pPr>
            <w:r w:rsidRPr="00883C76">
              <w:rPr>
                <w:rFonts w:ascii="Arial" w:hAnsi="Arial" w:cs="Arial"/>
                <w:sz w:val="16"/>
                <w:szCs w:val="16"/>
              </w:rPr>
              <w:t>5,634,458</w:t>
            </w:r>
          </w:p>
        </w:tc>
        <w:tc>
          <w:tcPr>
            <w:tcW w:w="539" w:type="pct"/>
            <w:tcBorders>
              <w:top w:val="single" w:sz="6" w:space="0" w:color="1F497D" w:themeColor="text2"/>
              <w:left w:val="dotted" w:sz="4" w:space="0" w:color="auto"/>
              <w:bottom w:val="single" w:sz="6" w:space="0" w:color="1F497D" w:themeColor="text2"/>
              <w:right w:val="dotted" w:sz="4" w:space="0" w:color="auto"/>
            </w:tcBorders>
            <w:shd w:val="clear" w:color="auto" w:fill="auto"/>
            <w:noWrap/>
            <w:vAlign w:val="center"/>
            <w:hideMark/>
          </w:tcPr>
          <w:p w:rsidR="00A23C41" w:rsidRPr="00883C76" w:rsidRDefault="00A23C41" w:rsidP="00A23C41">
            <w:pPr>
              <w:spacing w:before="0" w:after="0"/>
              <w:jc w:val="left"/>
              <w:rPr>
                <w:rFonts w:ascii="Arial" w:hAnsi="Arial" w:cs="Arial"/>
                <w:sz w:val="16"/>
                <w:szCs w:val="16"/>
              </w:rPr>
            </w:pPr>
            <w:r w:rsidRPr="00883C76">
              <w:rPr>
                <w:rFonts w:ascii="Arial" w:hAnsi="Arial" w:cs="Arial"/>
                <w:sz w:val="16"/>
                <w:szCs w:val="16"/>
              </w:rPr>
              <w:t>4,021,398</w:t>
            </w:r>
          </w:p>
        </w:tc>
        <w:tc>
          <w:tcPr>
            <w:tcW w:w="599" w:type="pct"/>
            <w:tcBorders>
              <w:top w:val="single" w:sz="6" w:space="0" w:color="1F497D" w:themeColor="text2"/>
              <w:left w:val="dotted" w:sz="4" w:space="0" w:color="auto"/>
              <w:bottom w:val="single" w:sz="6" w:space="0" w:color="1F497D" w:themeColor="text2"/>
              <w:right w:val="dotted" w:sz="4" w:space="0" w:color="auto"/>
            </w:tcBorders>
            <w:shd w:val="clear" w:color="auto" w:fill="auto"/>
            <w:noWrap/>
            <w:vAlign w:val="center"/>
            <w:hideMark/>
          </w:tcPr>
          <w:p w:rsidR="00A23C41" w:rsidRPr="00883C76" w:rsidRDefault="00A23C41" w:rsidP="00A23C41">
            <w:pPr>
              <w:spacing w:before="0" w:after="0"/>
              <w:jc w:val="left"/>
              <w:rPr>
                <w:rFonts w:ascii="Arial" w:hAnsi="Arial" w:cs="Arial"/>
                <w:sz w:val="16"/>
                <w:szCs w:val="16"/>
              </w:rPr>
            </w:pPr>
            <w:r w:rsidRPr="00883C76">
              <w:rPr>
                <w:rFonts w:ascii="Arial" w:hAnsi="Arial" w:cs="Arial"/>
                <w:sz w:val="16"/>
                <w:szCs w:val="16"/>
              </w:rPr>
              <w:t>6,964,175</w:t>
            </w:r>
          </w:p>
        </w:tc>
        <w:tc>
          <w:tcPr>
            <w:tcW w:w="580" w:type="pct"/>
            <w:tcBorders>
              <w:top w:val="single" w:sz="6" w:space="0" w:color="1F497D" w:themeColor="text2"/>
              <w:left w:val="dotted" w:sz="4" w:space="0" w:color="auto"/>
              <w:bottom w:val="single" w:sz="6" w:space="0" w:color="1F497D" w:themeColor="text2"/>
              <w:right w:val="dotted" w:sz="4" w:space="0" w:color="auto"/>
            </w:tcBorders>
            <w:vAlign w:val="center"/>
          </w:tcPr>
          <w:p w:rsidR="00A23C41" w:rsidRPr="00883C76" w:rsidRDefault="00A23C41" w:rsidP="00A23C41">
            <w:pPr>
              <w:spacing w:before="0" w:after="0"/>
              <w:jc w:val="left"/>
              <w:rPr>
                <w:rFonts w:ascii="Arial" w:hAnsi="Arial" w:cs="Arial"/>
                <w:sz w:val="16"/>
                <w:szCs w:val="16"/>
              </w:rPr>
            </w:pPr>
            <w:r w:rsidRPr="00883C76">
              <w:rPr>
                <w:rFonts w:ascii="Arial" w:hAnsi="Arial" w:cs="Arial"/>
                <w:sz w:val="16"/>
                <w:szCs w:val="16"/>
              </w:rPr>
              <w:t>9,907,355</w:t>
            </w:r>
          </w:p>
        </w:tc>
        <w:tc>
          <w:tcPr>
            <w:tcW w:w="652" w:type="pct"/>
            <w:tcBorders>
              <w:top w:val="single" w:sz="6" w:space="0" w:color="1F497D" w:themeColor="text2"/>
              <w:left w:val="dotted" w:sz="4" w:space="0" w:color="auto"/>
              <w:bottom w:val="single" w:sz="6" w:space="0" w:color="1F497D" w:themeColor="text2"/>
              <w:right w:val="dotted" w:sz="4" w:space="0" w:color="auto"/>
            </w:tcBorders>
            <w:shd w:val="clear" w:color="auto" w:fill="F2F2F2" w:themeFill="background1" w:themeFillShade="F2"/>
            <w:noWrap/>
            <w:vAlign w:val="center"/>
            <w:hideMark/>
          </w:tcPr>
          <w:p w:rsidR="00A23C41" w:rsidRPr="00883C76" w:rsidRDefault="00A23C41" w:rsidP="00A23C41">
            <w:pPr>
              <w:spacing w:before="0" w:after="0"/>
              <w:jc w:val="center"/>
              <w:rPr>
                <w:rFonts w:ascii="Arial" w:hAnsi="Arial" w:cs="Arial"/>
                <w:b/>
                <w:sz w:val="16"/>
                <w:szCs w:val="16"/>
              </w:rPr>
            </w:pPr>
            <w:r w:rsidRPr="00883C76">
              <w:rPr>
                <w:rFonts w:ascii="Arial" w:hAnsi="Arial" w:cs="Arial"/>
                <w:b/>
                <w:sz w:val="16"/>
                <w:szCs w:val="16"/>
              </w:rPr>
              <w:t>28,498,320</w:t>
            </w:r>
          </w:p>
        </w:tc>
        <w:tc>
          <w:tcPr>
            <w:tcW w:w="325" w:type="pct"/>
            <w:tcBorders>
              <w:top w:val="single" w:sz="6" w:space="0" w:color="1F497D" w:themeColor="text2"/>
              <w:left w:val="dotted" w:sz="4" w:space="0" w:color="auto"/>
              <w:bottom w:val="single" w:sz="6" w:space="0" w:color="1F497D" w:themeColor="text2"/>
            </w:tcBorders>
            <w:shd w:val="clear" w:color="000000" w:fill="C5D9F1"/>
            <w:noWrap/>
            <w:vAlign w:val="center"/>
            <w:hideMark/>
          </w:tcPr>
          <w:p w:rsidR="00A23C41" w:rsidRPr="00883C76" w:rsidRDefault="00A23C41" w:rsidP="00A23C41">
            <w:pPr>
              <w:spacing w:before="0" w:after="0"/>
              <w:jc w:val="center"/>
              <w:rPr>
                <w:rFonts w:ascii="Arial" w:hAnsi="Arial" w:cs="Arial"/>
                <w:b/>
                <w:sz w:val="16"/>
                <w:szCs w:val="16"/>
              </w:rPr>
            </w:pPr>
            <w:r w:rsidRPr="00883C76">
              <w:rPr>
                <w:rFonts w:ascii="Arial" w:hAnsi="Arial" w:cs="Arial"/>
                <w:b/>
                <w:sz w:val="16"/>
                <w:szCs w:val="16"/>
              </w:rPr>
              <w:t>1%</w:t>
            </w:r>
          </w:p>
        </w:tc>
      </w:tr>
      <w:tr w:rsidR="00A23C41" w:rsidRPr="00EF09A2" w:rsidTr="00A23C41">
        <w:trPr>
          <w:trHeight w:val="282"/>
        </w:trPr>
        <w:tc>
          <w:tcPr>
            <w:tcW w:w="688" w:type="pct"/>
            <w:tcBorders>
              <w:top w:val="single" w:sz="6" w:space="0" w:color="1F497D" w:themeColor="text2"/>
              <w:left w:val="single" w:sz="6" w:space="0" w:color="1F497D" w:themeColor="text2"/>
              <w:bottom w:val="single" w:sz="6" w:space="0" w:color="1F497D" w:themeColor="text2"/>
              <w:right w:val="dotted" w:sz="4" w:space="0" w:color="auto"/>
            </w:tcBorders>
            <w:shd w:val="clear" w:color="auto" w:fill="auto"/>
            <w:noWrap/>
            <w:vAlign w:val="center"/>
            <w:hideMark/>
          </w:tcPr>
          <w:p w:rsidR="00A23C41" w:rsidRPr="00883C76" w:rsidRDefault="00A23C41" w:rsidP="00A23C41">
            <w:pPr>
              <w:spacing w:before="0" w:after="0"/>
              <w:jc w:val="left"/>
              <w:rPr>
                <w:rFonts w:ascii="Arial" w:hAnsi="Arial" w:cs="Arial"/>
                <w:b/>
                <w:bCs/>
                <w:sz w:val="16"/>
                <w:szCs w:val="16"/>
              </w:rPr>
            </w:pPr>
            <w:r>
              <w:rPr>
                <w:rFonts w:ascii="Arial" w:hAnsi="Arial" w:cs="Arial"/>
                <w:b/>
                <w:bCs/>
                <w:sz w:val="16"/>
                <w:szCs w:val="16"/>
              </w:rPr>
              <w:t>WB</w:t>
            </w:r>
            <w:r w:rsidRPr="00883C76">
              <w:rPr>
                <w:rFonts w:ascii="Arial" w:hAnsi="Arial" w:cs="Arial"/>
                <w:b/>
                <w:bCs/>
                <w:sz w:val="16"/>
                <w:szCs w:val="16"/>
              </w:rPr>
              <w:t xml:space="preserve">, </w:t>
            </w:r>
            <w:r>
              <w:rPr>
                <w:rFonts w:ascii="Arial" w:hAnsi="Arial" w:cs="Arial"/>
                <w:b/>
                <w:bCs/>
                <w:sz w:val="16"/>
                <w:szCs w:val="16"/>
              </w:rPr>
              <w:t>GS</w:t>
            </w:r>
            <w:r w:rsidRPr="00883C76">
              <w:rPr>
                <w:rFonts w:ascii="Arial" w:hAnsi="Arial" w:cs="Arial"/>
                <w:b/>
                <w:bCs/>
                <w:sz w:val="16"/>
                <w:szCs w:val="16"/>
              </w:rPr>
              <w:t>, Jordan, Syria, and Lebanon</w:t>
            </w:r>
          </w:p>
        </w:tc>
        <w:tc>
          <w:tcPr>
            <w:tcW w:w="539" w:type="pct"/>
            <w:tcBorders>
              <w:top w:val="single" w:sz="6" w:space="0" w:color="1F497D" w:themeColor="text2"/>
              <w:left w:val="dotted" w:sz="4" w:space="0" w:color="auto"/>
              <w:bottom w:val="single" w:sz="6" w:space="0" w:color="1F497D" w:themeColor="text2"/>
              <w:right w:val="dotted" w:sz="4" w:space="0" w:color="auto"/>
            </w:tcBorders>
            <w:shd w:val="clear" w:color="auto" w:fill="auto"/>
            <w:noWrap/>
            <w:vAlign w:val="center"/>
            <w:hideMark/>
          </w:tcPr>
          <w:p w:rsidR="00A23C41" w:rsidRPr="00883C76" w:rsidRDefault="00A23C41" w:rsidP="00A23C41">
            <w:pPr>
              <w:spacing w:before="0" w:after="0"/>
              <w:jc w:val="left"/>
              <w:rPr>
                <w:rFonts w:ascii="Arial" w:hAnsi="Arial" w:cs="Arial"/>
                <w:sz w:val="16"/>
                <w:szCs w:val="16"/>
              </w:rPr>
            </w:pPr>
            <w:r w:rsidRPr="00883C76">
              <w:rPr>
                <w:rFonts w:ascii="Arial" w:hAnsi="Arial" w:cs="Arial"/>
                <w:sz w:val="16"/>
                <w:szCs w:val="16"/>
              </w:rPr>
              <w:t> </w:t>
            </w:r>
          </w:p>
        </w:tc>
        <w:tc>
          <w:tcPr>
            <w:tcW w:w="539" w:type="pct"/>
            <w:tcBorders>
              <w:top w:val="single" w:sz="6" w:space="0" w:color="1F497D" w:themeColor="text2"/>
              <w:left w:val="dotted" w:sz="4" w:space="0" w:color="auto"/>
              <w:bottom w:val="single" w:sz="6" w:space="0" w:color="1F497D" w:themeColor="text2"/>
              <w:right w:val="dotted" w:sz="4" w:space="0" w:color="auto"/>
            </w:tcBorders>
            <w:shd w:val="clear" w:color="auto" w:fill="auto"/>
            <w:noWrap/>
            <w:vAlign w:val="center"/>
            <w:hideMark/>
          </w:tcPr>
          <w:p w:rsidR="00A23C41" w:rsidRPr="00883C76" w:rsidRDefault="00A23C41" w:rsidP="00A23C41">
            <w:pPr>
              <w:spacing w:before="0" w:after="0"/>
              <w:jc w:val="left"/>
              <w:rPr>
                <w:rFonts w:ascii="Arial" w:hAnsi="Arial" w:cs="Arial"/>
                <w:sz w:val="16"/>
                <w:szCs w:val="16"/>
              </w:rPr>
            </w:pPr>
          </w:p>
        </w:tc>
        <w:tc>
          <w:tcPr>
            <w:tcW w:w="539" w:type="pct"/>
            <w:tcBorders>
              <w:top w:val="single" w:sz="6" w:space="0" w:color="1F497D" w:themeColor="text2"/>
              <w:left w:val="dotted" w:sz="4" w:space="0" w:color="auto"/>
              <w:bottom w:val="single" w:sz="6" w:space="0" w:color="1F497D" w:themeColor="text2"/>
              <w:right w:val="dotted" w:sz="4" w:space="0" w:color="auto"/>
            </w:tcBorders>
            <w:shd w:val="clear" w:color="auto" w:fill="auto"/>
            <w:noWrap/>
            <w:vAlign w:val="center"/>
            <w:hideMark/>
          </w:tcPr>
          <w:p w:rsidR="00A23C41" w:rsidRPr="00883C76" w:rsidRDefault="00A23C41" w:rsidP="00A23C41">
            <w:pPr>
              <w:spacing w:before="0" w:after="0"/>
              <w:jc w:val="left"/>
              <w:rPr>
                <w:rFonts w:ascii="Arial" w:hAnsi="Arial" w:cs="Arial"/>
                <w:sz w:val="16"/>
                <w:szCs w:val="16"/>
              </w:rPr>
            </w:pPr>
          </w:p>
        </w:tc>
        <w:tc>
          <w:tcPr>
            <w:tcW w:w="539" w:type="pct"/>
            <w:tcBorders>
              <w:top w:val="single" w:sz="6" w:space="0" w:color="1F497D" w:themeColor="text2"/>
              <w:left w:val="dotted" w:sz="4" w:space="0" w:color="auto"/>
              <w:bottom w:val="single" w:sz="6" w:space="0" w:color="1F497D" w:themeColor="text2"/>
              <w:right w:val="dotted" w:sz="4" w:space="0" w:color="auto"/>
            </w:tcBorders>
            <w:shd w:val="clear" w:color="auto" w:fill="auto"/>
            <w:noWrap/>
            <w:vAlign w:val="center"/>
            <w:hideMark/>
          </w:tcPr>
          <w:p w:rsidR="00A23C41" w:rsidRPr="00883C76" w:rsidRDefault="00A23C41" w:rsidP="00A23C41">
            <w:pPr>
              <w:spacing w:before="0" w:after="0"/>
              <w:jc w:val="left"/>
              <w:rPr>
                <w:rFonts w:ascii="Arial" w:hAnsi="Arial" w:cs="Arial"/>
                <w:sz w:val="16"/>
                <w:szCs w:val="16"/>
              </w:rPr>
            </w:pPr>
          </w:p>
        </w:tc>
        <w:tc>
          <w:tcPr>
            <w:tcW w:w="599" w:type="pct"/>
            <w:tcBorders>
              <w:top w:val="single" w:sz="6" w:space="0" w:color="1F497D" w:themeColor="text2"/>
              <w:left w:val="dotted" w:sz="4" w:space="0" w:color="auto"/>
              <w:bottom w:val="single" w:sz="6" w:space="0" w:color="1F497D" w:themeColor="text2"/>
              <w:right w:val="dotted" w:sz="4" w:space="0" w:color="auto"/>
            </w:tcBorders>
            <w:shd w:val="clear" w:color="auto" w:fill="auto"/>
            <w:noWrap/>
            <w:vAlign w:val="center"/>
            <w:hideMark/>
          </w:tcPr>
          <w:p w:rsidR="00A23C41" w:rsidRPr="00883C76" w:rsidRDefault="00A23C41" w:rsidP="00A23C41">
            <w:pPr>
              <w:spacing w:before="0" w:after="0"/>
              <w:jc w:val="left"/>
              <w:rPr>
                <w:rFonts w:ascii="Arial" w:hAnsi="Arial" w:cs="Arial"/>
                <w:sz w:val="16"/>
                <w:szCs w:val="16"/>
              </w:rPr>
            </w:pPr>
            <w:r w:rsidRPr="00883C76">
              <w:rPr>
                <w:rFonts w:ascii="Arial" w:hAnsi="Arial" w:cs="Arial"/>
                <w:sz w:val="16"/>
                <w:szCs w:val="16"/>
              </w:rPr>
              <w:t>10,000,000</w:t>
            </w:r>
          </w:p>
        </w:tc>
        <w:tc>
          <w:tcPr>
            <w:tcW w:w="580" w:type="pct"/>
            <w:tcBorders>
              <w:top w:val="single" w:sz="6" w:space="0" w:color="1F497D" w:themeColor="text2"/>
              <w:left w:val="dotted" w:sz="4" w:space="0" w:color="auto"/>
              <w:bottom w:val="single" w:sz="6" w:space="0" w:color="1F497D" w:themeColor="text2"/>
              <w:right w:val="dotted" w:sz="4" w:space="0" w:color="auto"/>
            </w:tcBorders>
            <w:vAlign w:val="center"/>
          </w:tcPr>
          <w:p w:rsidR="00A23C41" w:rsidRPr="00883C76" w:rsidRDefault="00A23C41" w:rsidP="00A23C41">
            <w:pPr>
              <w:spacing w:before="0" w:after="0"/>
              <w:jc w:val="left"/>
              <w:rPr>
                <w:rFonts w:ascii="Arial" w:hAnsi="Arial" w:cs="Arial"/>
                <w:sz w:val="16"/>
                <w:szCs w:val="16"/>
              </w:rPr>
            </w:pPr>
          </w:p>
        </w:tc>
        <w:tc>
          <w:tcPr>
            <w:tcW w:w="652" w:type="pct"/>
            <w:tcBorders>
              <w:top w:val="single" w:sz="6" w:space="0" w:color="1F497D" w:themeColor="text2"/>
              <w:left w:val="dotted" w:sz="4" w:space="0" w:color="auto"/>
              <w:bottom w:val="single" w:sz="6" w:space="0" w:color="1F497D" w:themeColor="text2"/>
              <w:right w:val="dotted" w:sz="4" w:space="0" w:color="auto"/>
            </w:tcBorders>
            <w:shd w:val="clear" w:color="auto" w:fill="F2F2F2" w:themeFill="background1" w:themeFillShade="F2"/>
            <w:noWrap/>
            <w:vAlign w:val="center"/>
            <w:hideMark/>
          </w:tcPr>
          <w:p w:rsidR="00A23C41" w:rsidRPr="00883C76" w:rsidRDefault="00A23C41" w:rsidP="00A23C41">
            <w:pPr>
              <w:spacing w:before="0" w:after="0"/>
              <w:jc w:val="center"/>
              <w:rPr>
                <w:rFonts w:ascii="Arial" w:hAnsi="Arial" w:cs="Arial"/>
                <w:b/>
                <w:sz w:val="16"/>
                <w:szCs w:val="16"/>
              </w:rPr>
            </w:pPr>
            <w:r w:rsidRPr="00883C76">
              <w:rPr>
                <w:rFonts w:ascii="Arial" w:hAnsi="Arial" w:cs="Arial"/>
                <w:b/>
                <w:sz w:val="16"/>
                <w:szCs w:val="16"/>
              </w:rPr>
              <w:t>10,000,000</w:t>
            </w:r>
          </w:p>
        </w:tc>
        <w:tc>
          <w:tcPr>
            <w:tcW w:w="325" w:type="pct"/>
            <w:tcBorders>
              <w:top w:val="single" w:sz="6" w:space="0" w:color="1F497D" w:themeColor="text2"/>
              <w:left w:val="dotted" w:sz="4" w:space="0" w:color="auto"/>
              <w:bottom w:val="single" w:sz="6" w:space="0" w:color="1F497D" w:themeColor="text2"/>
            </w:tcBorders>
            <w:shd w:val="clear" w:color="000000" w:fill="C5D9F1"/>
            <w:noWrap/>
            <w:vAlign w:val="center"/>
            <w:hideMark/>
          </w:tcPr>
          <w:p w:rsidR="00A23C41" w:rsidRPr="00883C76" w:rsidRDefault="00A23C41" w:rsidP="00A23C41">
            <w:pPr>
              <w:spacing w:before="0" w:after="0"/>
              <w:jc w:val="center"/>
              <w:rPr>
                <w:rFonts w:ascii="Arial" w:hAnsi="Arial" w:cs="Arial"/>
                <w:b/>
                <w:sz w:val="16"/>
                <w:szCs w:val="16"/>
              </w:rPr>
            </w:pPr>
            <w:r w:rsidRPr="00883C76">
              <w:rPr>
                <w:rFonts w:ascii="Arial" w:hAnsi="Arial" w:cs="Arial"/>
                <w:b/>
                <w:sz w:val="16"/>
                <w:szCs w:val="16"/>
              </w:rPr>
              <w:t>0%</w:t>
            </w:r>
          </w:p>
        </w:tc>
      </w:tr>
      <w:tr w:rsidR="00A23C41" w:rsidRPr="00EF09A2" w:rsidTr="00A23C41">
        <w:trPr>
          <w:trHeight w:val="282"/>
        </w:trPr>
        <w:tc>
          <w:tcPr>
            <w:tcW w:w="688" w:type="pct"/>
            <w:tcBorders>
              <w:top w:val="single" w:sz="6" w:space="0" w:color="1F497D" w:themeColor="text2"/>
              <w:left w:val="single" w:sz="6" w:space="0" w:color="1F497D" w:themeColor="text2"/>
              <w:right w:val="dotted" w:sz="4" w:space="0" w:color="auto"/>
            </w:tcBorders>
            <w:shd w:val="clear" w:color="auto" w:fill="auto"/>
            <w:noWrap/>
            <w:vAlign w:val="center"/>
            <w:hideMark/>
          </w:tcPr>
          <w:p w:rsidR="00A23C41" w:rsidRPr="00883C76" w:rsidRDefault="00A23C41" w:rsidP="00A23C41">
            <w:pPr>
              <w:spacing w:before="0" w:after="0"/>
              <w:jc w:val="left"/>
              <w:rPr>
                <w:rFonts w:ascii="Arial" w:hAnsi="Arial" w:cs="Arial"/>
                <w:b/>
                <w:bCs/>
                <w:sz w:val="16"/>
                <w:szCs w:val="16"/>
              </w:rPr>
            </w:pPr>
            <w:r w:rsidRPr="00883C76">
              <w:rPr>
                <w:rFonts w:ascii="Arial" w:hAnsi="Arial" w:cs="Arial"/>
                <w:b/>
                <w:bCs/>
                <w:sz w:val="16"/>
                <w:szCs w:val="16"/>
              </w:rPr>
              <w:t>Israel</w:t>
            </w:r>
          </w:p>
        </w:tc>
        <w:tc>
          <w:tcPr>
            <w:tcW w:w="539" w:type="pct"/>
            <w:tcBorders>
              <w:top w:val="single" w:sz="6" w:space="0" w:color="1F497D" w:themeColor="text2"/>
              <w:left w:val="dotted" w:sz="4" w:space="0" w:color="auto"/>
              <w:right w:val="dotted" w:sz="4" w:space="0" w:color="auto"/>
            </w:tcBorders>
            <w:shd w:val="clear" w:color="auto" w:fill="auto"/>
            <w:noWrap/>
            <w:vAlign w:val="center"/>
            <w:hideMark/>
          </w:tcPr>
          <w:p w:rsidR="00A23C41" w:rsidRPr="00883C76" w:rsidRDefault="00A23C41" w:rsidP="00A23C41">
            <w:pPr>
              <w:spacing w:before="0" w:after="0"/>
              <w:jc w:val="left"/>
              <w:rPr>
                <w:rFonts w:ascii="Arial" w:hAnsi="Arial" w:cs="Arial"/>
                <w:sz w:val="16"/>
                <w:szCs w:val="16"/>
              </w:rPr>
            </w:pPr>
            <w:r w:rsidRPr="00883C76">
              <w:rPr>
                <w:rFonts w:ascii="Arial" w:hAnsi="Arial" w:cs="Arial"/>
                <w:sz w:val="16"/>
                <w:szCs w:val="16"/>
              </w:rPr>
              <w:t> </w:t>
            </w:r>
          </w:p>
        </w:tc>
        <w:tc>
          <w:tcPr>
            <w:tcW w:w="539" w:type="pct"/>
            <w:tcBorders>
              <w:top w:val="single" w:sz="6" w:space="0" w:color="1F497D" w:themeColor="text2"/>
              <w:left w:val="dotted" w:sz="4" w:space="0" w:color="auto"/>
              <w:right w:val="dotted" w:sz="4" w:space="0" w:color="auto"/>
            </w:tcBorders>
            <w:shd w:val="clear" w:color="auto" w:fill="auto"/>
            <w:noWrap/>
            <w:vAlign w:val="center"/>
            <w:hideMark/>
          </w:tcPr>
          <w:p w:rsidR="00A23C41" w:rsidRPr="00883C76" w:rsidRDefault="00A23C41" w:rsidP="00A23C41">
            <w:pPr>
              <w:spacing w:before="0" w:after="0"/>
              <w:jc w:val="left"/>
              <w:rPr>
                <w:rFonts w:ascii="Arial" w:hAnsi="Arial" w:cs="Arial"/>
                <w:sz w:val="16"/>
                <w:szCs w:val="16"/>
              </w:rPr>
            </w:pPr>
          </w:p>
        </w:tc>
        <w:tc>
          <w:tcPr>
            <w:tcW w:w="539" w:type="pct"/>
            <w:tcBorders>
              <w:top w:val="single" w:sz="6" w:space="0" w:color="1F497D" w:themeColor="text2"/>
              <w:left w:val="dotted" w:sz="4" w:space="0" w:color="auto"/>
              <w:right w:val="dotted" w:sz="4" w:space="0" w:color="auto"/>
            </w:tcBorders>
            <w:shd w:val="clear" w:color="auto" w:fill="auto"/>
            <w:noWrap/>
            <w:vAlign w:val="center"/>
            <w:hideMark/>
          </w:tcPr>
          <w:p w:rsidR="00A23C41" w:rsidRPr="00883C76" w:rsidRDefault="00A23C41" w:rsidP="00A23C41">
            <w:pPr>
              <w:spacing w:before="0" w:after="0"/>
              <w:jc w:val="left"/>
              <w:rPr>
                <w:rFonts w:ascii="Arial" w:hAnsi="Arial" w:cs="Arial"/>
                <w:sz w:val="16"/>
                <w:szCs w:val="16"/>
              </w:rPr>
            </w:pPr>
          </w:p>
        </w:tc>
        <w:tc>
          <w:tcPr>
            <w:tcW w:w="539" w:type="pct"/>
            <w:tcBorders>
              <w:top w:val="single" w:sz="6" w:space="0" w:color="1F497D" w:themeColor="text2"/>
              <w:left w:val="dotted" w:sz="4" w:space="0" w:color="auto"/>
              <w:right w:val="dotted" w:sz="4" w:space="0" w:color="auto"/>
            </w:tcBorders>
            <w:shd w:val="clear" w:color="auto" w:fill="auto"/>
            <w:noWrap/>
            <w:vAlign w:val="center"/>
            <w:hideMark/>
          </w:tcPr>
          <w:p w:rsidR="00A23C41" w:rsidRPr="00883C76" w:rsidRDefault="00A23C41" w:rsidP="00A23C41">
            <w:pPr>
              <w:spacing w:before="0" w:after="0"/>
              <w:jc w:val="left"/>
              <w:rPr>
                <w:rFonts w:ascii="Arial" w:hAnsi="Arial" w:cs="Arial"/>
                <w:sz w:val="16"/>
                <w:szCs w:val="16"/>
              </w:rPr>
            </w:pPr>
          </w:p>
        </w:tc>
        <w:tc>
          <w:tcPr>
            <w:tcW w:w="599" w:type="pct"/>
            <w:tcBorders>
              <w:top w:val="single" w:sz="6" w:space="0" w:color="1F497D" w:themeColor="text2"/>
              <w:left w:val="dotted" w:sz="4" w:space="0" w:color="auto"/>
              <w:right w:val="dotted" w:sz="4" w:space="0" w:color="auto"/>
            </w:tcBorders>
            <w:shd w:val="clear" w:color="auto" w:fill="auto"/>
            <w:noWrap/>
            <w:vAlign w:val="center"/>
            <w:hideMark/>
          </w:tcPr>
          <w:p w:rsidR="00A23C41" w:rsidRPr="00883C76" w:rsidRDefault="00A23C41" w:rsidP="00A23C41">
            <w:pPr>
              <w:spacing w:before="0" w:after="0"/>
              <w:jc w:val="left"/>
              <w:rPr>
                <w:rFonts w:ascii="Arial" w:hAnsi="Arial" w:cs="Arial"/>
                <w:sz w:val="16"/>
                <w:szCs w:val="16"/>
              </w:rPr>
            </w:pPr>
            <w:r w:rsidRPr="00883C76">
              <w:rPr>
                <w:rFonts w:ascii="Arial" w:hAnsi="Arial" w:cs="Arial"/>
                <w:sz w:val="16"/>
                <w:szCs w:val="16"/>
              </w:rPr>
              <w:t>457,200</w:t>
            </w:r>
          </w:p>
        </w:tc>
        <w:tc>
          <w:tcPr>
            <w:tcW w:w="580" w:type="pct"/>
            <w:tcBorders>
              <w:top w:val="single" w:sz="6" w:space="0" w:color="1F497D" w:themeColor="text2"/>
              <w:left w:val="dotted" w:sz="4" w:space="0" w:color="auto"/>
              <w:right w:val="dotted" w:sz="4" w:space="0" w:color="auto"/>
            </w:tcBorders>
            <w:vAlign w:val="center"/>
          </w:tcPr>
          <w:p w:rsidR="00A23C41" w:rsidRPr="00883C76" w:rsidRDefault="00A23C41" w:rsidP="00A23C41">
            <w:pPr>
              <w:spacing w:before="0" w:after="0"/>
              <w:jc w:val="left"/>
              <w:rPr>
                <w:rFonts w:ascii="Arial" w:hAnsi="Arial" w:cs="Arial"/>
                <w:sz w:val="16"/>
                <w:szCs w:val="16"/>
              </w:rPr>
            </w:pPr>
            <w:r w:rsidRPr="00883C76">
              <w:rPr>
                <w:rFonts w:ascii="Arial" w:hAnsi="Arial" w:cs="Arial"/>
                <w:sz w:val="16"/>
                <w:szCs w:val="16"/>
              </w:rPr>
              <w:t>346,164</w:t>
            </w:r>
          </w:p>
        </w:tc>
        <w:tc>
          <w:tcPr>
            <w:tcW w:w="652" w:type="pct"/>
            <w:tcBorders>
              <w:top w:val="single" w:sz="6" w:space="0" w:color="1F497D" w:themeColor="text2"/>
              <w:left w:val="dotted" w:sz="4" w:space="0" w:color="auto"/>
              <w:right w:val="dotted" w:sz="4" w:space="0" w:color="auto"/>
            </w:tcBorders>
            <w:shd w:val="clear" w:color="auto" w:fill="F2F2F2" w:themeFill="background1" w:themeFillShade="F2"/>
            <w:noWrap/>
            <w:vAlign w:val="center"/>
            <w:hideMark/>
          </w:tcPr>
          <w:p w:rsidR="00A23C41" w:rsidRPr="00883C76" w:rsidRDefault="00A23C41" w:rsidP="00A23C41">
            <w:pPr>
              <w:spacing w:before="0" w:after="0"/>
              <w:jc w:val="center"/>
              <w:rPr>
                <w:rFonts w:ascii="Arial" w:hAnsi="Arial" w:cs="Arial"/>
                <w:b/>
                <w:sz w:val="16"/>
                <w:szCs w:val="16"/>
              </w:rPr>
            </w:pPr>
            <w:r w:rsidRPr="00883C76">
              <w:rPr>
                <w:rFonts w:ascii="Arial" w:hAnsi="Arial" w:cs="Arial"/>
                <w:b/>
                <w:sz w:val="16"/>
                <w:szCs w:val="16"/>
              </w:rPr>
              <w:t>803,364</w:t>
            </w:r>
          </w:p>
        </w:tc>
        <w:tc>
          <w:tcPr>
            <w:tcW w:w="325" w:type="pct"/>
            <w:tcBorders>
              <w:top w:val="single" w:sz="6" w:space="0" w:color="1F497D" w:themeColor="text2"/>
              <w:left w:val="dotted" w:sz="4" w:space="0" w:color="auto"/>
            </w:tcBorders>
            <w:shd w:val="clear" w:color="000000" w:fill="C5D9F1"/>
            <w:noWrap/>
            <w:vAlign w:val="center"/>
            <w:hideMark/>
          </w:tcPr>
          <w:p w:rsidR="00A23C41" w:rsidRPr="00883C76" w:rsidRDefault="00A23C41" w:rsidP="00A23C41">
            <w:pPr>
              <w:spacing w:before="0" w:after="0"/>
              <w:jc w:val="center"/>
              <w:rPr>
                <w:rFonts w:ascii="Arial" w:hAnsi="Arial" w:cs="Arial"/>
                <w:b/>
                <w:sz w:val="16"/>
                <w:szCs w:val="16"/>
              </w:rPr>
            </w:pPr>
            <w:r w:rsidRPr="00883C76">
              <w:rPr>
                <w:rFonts w:ascii="Arial" w:hAnsi="Arial" w:cs="Arial"/>
                <w:b/>
                <w:sz w:val="16"/>
                <w:szCs w:val="16"/>
              </w:rPr>
              <w:t>0%</w:t>
            </w:r>
          </w:p>
        </w:tc>
      </w:tr>
      <w:tr w:rsidR="00A23C41" w:rsidRPr="00EF09A2" w:rsidTr="00A23C41">
        <w:trPr>
          <w:trHeight w:val="282"/>
        </w:trPr>
        <w:tc>
          <w:tcPr>
            <w:tcW w:w="688" w:type="pct"/>
            <w:shd w:val="clear" w:color="auto" w:fill="4F81BD" w:themeFill="accent1"/>
            <w:noWrap/>
            <w:vAlign w:val="center"/>
            <w:hideMark/>
          </w:tcPr>
          <w:p w:rsidR="00A23C41" w:rsidRPr="00883C76" w:rsidRDefault="00A23C41" w:rsidP="00A23C41">
            <w:pPr>
              <w:spacing w:before="0" w:after="0"/>
              <w:jc w:val="left"/>
              <w:rPr>
                <w:rFonts w:ascii="Arial" w:hAnsi="Arial" w:cs="Arial"/>
                <w:b/>
                <w:bCs/>
                <w:color w:val="FFFFFF" w:themeColor="background1"/>
                <w:sz w:val="16"/>
                <w:szCs w:val="16"/>
              </w:rPr>
            </w:pPr>
            <w:r w:rsidRPr="00883C76">
              <w:rPr>
                <w:rFonts w:ascii="Arial" w:hAnsi="Arial" w:cs="Arial"/>
                <w:b/>
                <w:bCs/>
                <w:color w:val="FFFFFF" w:themeColor="background1"/>
                <w:sz w:val="16"/>
                <w:szCs w:val="16"/>
              </w:rPr>
              <w:t xml:space="preserve">TOTAL </w:t>
            </w:r>
          </w:p>
        </w:tc>
        <w:tc>
          <w:tcPr>
            <w:tcW w:w="539" w:type="pct"/>
            <w:shd w:val="clear" w:color="auto" w:fill="4F81BD" w:themeFill="accent1"/>
            <w:noWrap/>
            <w:vAlign w:val="center"/>
            <w:hideMark/>
          </w:tcPr>
          <w:p w:rsidR="00A23C41" w:rsidRPr="00883C76" w:rsidRDefault="00A23C41" w:rsidP="00A23C41">
            <w:pPr>
              <w:spacing w:before="0" w:after="0"/>
              <w:jc w:val="left"/>
              <w:rPr>
                <w:rFonts w:ascii="Arial" w:hAnsi="Arial" w:cs="Arial"/>
                <w:b/>
                <w:bCs/>
                <w:color w:val="FFFFFF" w:themeColor="background1"/>
                <w:sz w:val="16"/>
                <w:szCs w:val="16"/>
              </w:rPr>
            </w:pPr>
            <w:r w:rsidRPr="00883C76">
              <w:rPr>
                <w:rFonts w:ascii="Arial" w:hAnsi="Arial" w:cs="Arial"/>
                <w:b/>
                <w:bCs/>
                <w:color w:val="FFFFFF" w:themeColor="background1"/>
                <w:sz w:val="16"/>
                <w:szCs w:val="16"/>
              </w:rPr>
              <w:t>542,201,057</w:t>
            </w:r>
          </w:p>
        </w:tc>
        <w:tc>
          <w:tcPr>
            <w:tcW w:w="539" w:type="pct"/>
            <w:shd w:val="clear" w:color="auto" w:fill="4F81BD" w:themeFill="accent1"/>
            <w:noWrap/>
            <w:vAlign w:val="center"/>
            <w:hideMark/>
          </w:tcPr>
          <w:p w:rsidR="00A23C41" w:rsidRPr="00883C76" w:rsidRDefault="00A23C41" w:rsidP="00A23C41">
            <w:pPr>
              <w:spacing w:before="0" w:after="0"/>
              <w:jc w:val="left"/>
              <w:rPr>
                <w:rFonts w:ascii="Arial" w:hAnsi="Arial" w:cs="Arial"/>
                <w:b/>
                <w:bCs/>
                <w:color w:val="FFFFFF" w:themeColor="background1"/>
                <w:sz w:val="16"/>
                <w:szCs w:val="16"/>
              </w:rPr>
            </w:pPr>
            <w:r w:rsidRPr="00883C76">
              <w:rPr>
                <w:rFonts w:ascii="Arial" w:hAnsi="Arial" w:cs="Arial"/>
                <w:b/>
                <w:bCs/>
                <w:color w:val="FFFFFF" w:themeColor="background1"/>
                <w:sz w:val="16"/>
                <w:szCs w:val="16"/>
              </w:rPr>
              <w:t>282,595,114</w:t>
            </w:r>
          </w:p>
        </w:tc>
        <w:tc>
          <w:tcPr>
            <w:tcW w:w="539" w:type="pct"/>
            <w:shd w:val="clear" w:color="auto" w:fill="4F81BD" w:themeFill="accent1"/>
            <w:noWrap/>
            <w:vAlign w:val="center"/>
            <w:hideMark/>
          </w:tcPr>
          <w:p w:rsidR="00A23C41" w:rsidRPr="00883C76" w:rsidRDefault="00A23C41" w:rsidP="00A23C41">
            <w:pPr>
              <w:spacing w:before="0" w:after="0"/>
              <w:jc w:val="left"/>
              <w:rPr>
                <w:rFonts w:ascii="Arial" w:hAnsi="Arial" w:cs="Arial"/>
                <w:b/>
                <w:bCs/>
                <w:color w:val="FFFFFF" w:themeColor="background1"/>
                <w:sz w:val="16"/>
                <w:szCs w:val="16"/>
              </w:rPr>
            </w:pPr>
            <w:r w:rsidRPr="00883C76">
              <w:rPr>
                <w:rFonts w:ascii="Arial" w:hAnsi="Arial" w:cs="Arial"/>
                <w:b/>
                <w:bCs/>
                <w:color w:val="FFFFFF" w:themeColor="background1"/>
                <w:sz w:val="16"/>
                <w:szCs w:val="16"/>
              </w:rPr>
              <w:t>359,488,166</w:t>
            </w:r>
          </w:p>
        </w:tc>
        <w:tc>
          <w:tcPr>
            <w:tcW w:w="539" w:type="pct"/>
            <w:shd w:val="clear" w:color="auto" w:fill="4F81BD" w:themeFill="accent1"/>
            <w:noWrap/>
            <w:vAlign w:val="center"/>
            <w:hideMark/>
          </w:tcPr>
          <w:p w:rsidR="00A23C41" w:rsidRPr="00883C76" w:rsidRDefault="00A23C41" w:rsidP="00A23C41">
            <w:pPr>
              <w:spacing w:before="0" w:after="0"/>
              <w:jc w:val="left"/>
              <w:rPr>
                <w:rFonts w:ascii="Arial" w:hAnsi="Arial" w:cs="Arial"/>
                <w:b/>
                <w:bCs/>
                <w:color w:val="FFFFFF" w:themeColor="background1"/>
                <w:sz w:val="16"/>
                <w:szCs w:val="16"/>
              </w:rPr>
            </w:pPr>
            <w:r w:rsidRPr="00883C76">
              <w:rPr>
                <w:rFonts w:ascii="Arial" w:hAnsi="Arial" w:cs="Arial"/>
                <w:b/>
                <w:bCs/>
                <w:color w:val="FFFFFF" w:themeColor="background1"/>
                <w:sz w:val="16"/>
                <w:szCs w:val="16"/>
              </w:rPr>
              <w:t>376,404,759</w:t>
            </w:r>
          </w:p>
        </w:tc>
        <w:tc>
          <w:tcPr>
            <w:tcW w:w="599" w:type="pct"/>
            <w:shd w:val="clear" w:color="auto" w:fill="4F81BD" w:themeFill="accent1"/>
            <w:noWrap/>
            <w:vAlign w:val="center"/>
            <w:hideMark/>
          </w:tcPr>
          <w:p w:rsidR="00A23C41" w:rsidRPr="00883C76" w:rsidRDefault="00A23C41" w:rsidP="00A23C41">
            <w:pPr>
              <w:spacing w:before="0" w:after="0"/>
              <w:jc w:val="left"/>
              <w:rPr>
                <w:rFonts w:ascii="Arial" w:hAnsi="Arial" w:cs="Arial"/>
                <w:b/>
                <w:bCs/>
                <w:color w:val="FFFFFF" w:themeColor="background1"/>
                <w:sz w:val="16"/>
                <w:szCs w:val="16"/>
              </w:rPr>
            </w:pPr>
            <w:r w:rsidRPr="00883C76">
              <w:rPr>
                <w:rFonts w:ascii="Arial" w:hAnsi="Arial" w:cs="Arial"/>
                <w:b/>
                <w:bCs/>
                <w:color w:val="FFFFFF" w:themeColor="background1"/>
                <w:sz w:val="16"/>
                <w:szCs w:val="16"/>
              </w:rPr>
              <w:t>254,839,082</w:t>
            </w:r>
          </w:p>
        </w:tc>
        <w:tc>
          <w:tcPr>
            <w:tcW w:w="580" w:type="pct"/>
            <w:shd w:val="clear" w:color="auto" w:fill="4F81BD" w:themeFill="accent1"/>
            <w:vAlign w:val="center"/>
          </w:tcPr>
          <w:p w:rsidR="00A23C41" w:rsidRPr="00883C76" w:rsidRDefault="00A23C41" w:rsidP="00A23C41">
            <w:pPr>
              <w:spacing w:before="0" w:after="0"/>
              <w:jc w:val="left"/>
              <w:rPr>
                <w:rFonts w:ascii="Arial" w:hAnsi="Arial" w:cs="Arial"/>
                <w:b/>
                <w:bCs/>
                <w:color w:val="FFFFFF" w:themeColor="background1"/>
                <w:sz w:val="16"/>
                <w:szCs w:val="16"/>
              </w:rPr>
            </w:pPr>
            <w:r w:rsidRPr="00883C76">
              <w:rPr>
                <w:rFonts w:ascii="Arial" w:hAnsi="Arial" w:cs="Arial"/>
                <w:b/>
                <w:bCs/>
                <w:color w:val="FFFFFF" w:themeColor="background1"/>
                <w:sz w:val="16"/>
                <w:szCs w:val="16"/>
              </w:rPr>
              <w:t>271,976,563</w:t>
            </w:r>
          </w:p>
        </w:tc>
        <w:tc>
          <w:tcPr>
            <w:tcW w:w="652" w:type="pct"/>
            <w:shd w:val="clear" w:color="auto" w:fill="4F81BD" w:themeFill="accent1"/>
            <w:noWrap/>
            <w:vAlign w:val="center"/>
            <w:hideMark/>
          </w:tcPr>
          <w:p w:rsidR="00A23C41" w:rsidRPr="00883C76" w:rsidRDefault="00A23C41" w:rsidP="00A23C41">
            <w:pPr>
              <w:spacing w:before="0" w:after="0"/>
              <w:jc w:val="left"/>
              <w:rPr>
                <w:rFonts w:ascii="Arial" w:hAnsi="Arial" w:cs="Arial"/>
                <w:b/>
                <w:bCs/>
                <w:color w:val="FFFFFF" w:themeColor="background1"/>
                <w:sz w:val="16"/>
                <w:szCs w:val="16"/>
              </w:rPr>
            </w:pPr>
            <w:r w:rsidRPr="00883C76">
              <w:rPr>
                <w:rFonts w:ascii="Arial" w:hAnsi="Arial" w:cs="Arial"/>
                <w:b/>
                <w:bCs/>
                <w:color w:val="FFFFFF" w:themeColor="background1"/>
                <w:sz w:val="16"/>
                <w:szCs w:val="16"/>
              </w:rPr>
              <w:t>2,087,504,740</w:t>
            </w:r>
          </w:p>
        </w:tc>
        <w:tc>
          <w:tcPr>
            <w:tcW w:w="325" w:type="pct"/>
            <w:shd w:val="clear" w:color="auto" w:fill="4F81BD" w:themeFill="accent1"/>
            <w:noWrap/>
            <w:vAlign w:val="bottom"/>
            <w:hideMark/>
          </w:tcPr>
          <w:p w:rsidR="00A23C41" w:rsidRPr="00883C76" w:rsidRDefault="00A23C41" w:rsidP="00A23C41">
            <w:pPr>
              <w:spacing w:before="0" w:after="0"/>
              <w:jc w:val="right"/>
              <w:rPr>
                <w:rFonts w:ascii="Arial" w:hAnsi="Arial" w:cs="Arial"/>
                <w:b/>
                <w:color w:val="FFFFFF" w:themeColor="background1"/>
                <w:sz w:val="16"/>
                <w:szCs w:val="16"/>
              </w:rPr>
            </w:pPr>
            <w:r w:rsidRPr="00883C76">
              <w:rPr>
                <w:rFonts w:ascii="Arial" w:hAnsi="Arial" w:cs="Arial"/>
                <w:b/>
                <w:color w:val="FFFFFF" w:themeColor="background1"/>
                <w:sz w:val="16"/>
                <w:szCs w:val="16"/>
              </w:rPr>
              <w:t>100%</w:t>
            </w:r>
          </w:p>
        </w:tc>
      </w:tr>
    </w:tbl>
    <w:p w:rsidR="00A23C41" w:rsidRPr="00EF09A2" w:rsidRDefault="00A23C41" w:rsidP="00A23C41">
      <w:pPr>
        <w:tabs>
          <w:tab w:val="left" w:pos="1985"/>
        </w:tabs>
        <w:spacing w:before="0" w:after="0"/>
        <w:rPr>
          <w:rFonts w:ascii="Arial" w:hAnsi="Arial" w:cs="Arial"/>
          <w:sz w:val="24"/>
          <w:szCs w:val="24"/>
        </w:rPr>
      </w:pPr>
    </w:p>
    <w:p w:rsidR="00A23C41" w:rsidRPr="00EF09A2" w:rsidRDefault="00A23C41" w:rsidP="00A23C41">
      <w:pPr>
        <w:spacing w:before="0" w:after="0"/>
        <w:rPr>
          <w:rFonts w:ascii="Arial" w:eastAsia="Times" w:hAnsi="Arial" w:cs="Arial"/>
          <w:b/>
          <w:smallCaps/>
          <w:color w:val="1F497D" w:themeColor="text2"/>
          <w:spacing w:val="-1"/>
          <w:sz w:val="24"/>
          <w:szCs w:val="24"/>
          <w:lang w:val="en-GB"/>
        </w:rPr>
      </w:pPr>
      <w:r w:rsidRPr="00EF09A2">
        <w:rPr>
          <w:rFonts w:ascii="Arial" w:eastAsia="Times" w:hAnsi="Arial" w:cs="Arial"/>
          <w:b/>
          <w:smallCaps/>
          <w:color w:val="1F497D" w:themeColor="text2"/>
          <w:spacing w:val="-1"/>
          <w:sz w:val="24"/>
          <w:szCs w:val="24"/>
          <w:lang w:val="en-GB"/>
        </w:rPr>
        <w:t>Technical Composition of EC funds</w:t>
      </w:r>
      <w:bookmarkEnd w:id="97"/>
      <w:r w:rsidRPr="00EF09A2">
        <w:rPr>
          <w:rFonts w:ascii="Arial" w:eastAsia="Times" w:hAnsi="Arial" w:cs="Arial"/>
          <w:b/>
          <w:smallCaps/>
          <w:color w:val="1F497D" w:themeColor="text2"/>
          <w:spacing w:val="-1"/>
          <w:sz w:val="24"/>
          <w:szCs w:val="24"/>
          <w:lang w:val="en-GB"/>
        </w:rPr>
        <w:t xml:space="preserve"> </w:t>
      </w:r>
    </w:p>
    <w:p w:rsidR="00A23C41" w:rsidRPr="00261D08" w:rsidRDefault="00A23C41" w:rsidP="00A23C41">
      <w:pPr>
        <w:spacing w:before="0" w:after="0"/>
        <w:rPr>
          <w:rFonts w:ascii="Arial" w:hAnsi="Arial" w:cs="Arial"/>
          <w:sz w:val="22"/>
          <w:szCs w:val="22"/>
        </w:rPr>
      </w:pPr>
      <w:r w:rsidRPr="00261D08">
        <w:rPr>
          <w:rFonts w:ascii="Arial" w:hAnsi="Arial" w:cs="Arial"/>
          <w:sz w:val="22"/>
          <w:szCs w:val="22"/>
        </w:rPr>
        <w:t xml:space="preserve">The analysis of distribution by type of aid and contracting parties offers interesting results. </w:t>
      </w:r>
    </w:p>
    <w:p w:rsidR="00A23C41" w:rsidRPr="00261D08" w:rsidRDefault="00A23C41" w:rsidP="00A23C41">
      <w:pPr>
        <w:spacing w:before="0" w:after="0"/>
        <w:rPr>
          <w:rFonts w:ascii="Arial" w:hAnsi="Arial" w:cs="Arial"/>
          <w:sz w:val="22"/>
          <w:szCs w:val="22"/>
        </w:rPr>
      </w:pPr>
    </w:p>
    <w:p w:rsidR="00A23C41" w:rsidRPr="00261D08" w:rsidRDefault="00A23C41" w:rsidP="00A23C41">
      <w:pPr>
        <w:spacing w:before="0" w:after="0"/>
        <w:rPr>
          <w:rFonts w:ascii="Arial" w:hAnsi="Arial" w:cs="Arial"/>
          <w:sz w:val="22"/>
          <w:szCs w:val="22"/>
        </w:rPr>
      </w:pPr>
      <w:r w:rsidRPr="00261D08">
        <w:rPr>
          <w:rFonts w:ascii="Arial" w:hAnsi="Arial" w:cs="Arial"/>
          <w:sz w:val="22"/>
          <w:szCs w:val="22"/>
        </w:rPr>
        <w:t xml:space="preserve">On the basis of the “type of aid”: </w:t>
      </w:r>
    </w:p>
    <w:p w:rsidR="00A23C41" w:rsidRPr="00261D08" w:rsidRDefault="00A23C41" w:rsidP="00B54C8F">
      <w:pPr>
        <w:pStyle w:val="Paragrafoelenco"/>
        <w:numPr>
          <w:ilvl w:val="0"/>
          <w:numId w:val="43"/>
        </w:numPr>
        <w:spacing w:before="0" w:after="0"/>
        <w:rPr>
          <w:rFonts w:ascii="Arial" w:hAnsi="Arial" w:cs="Arial"/>
          <w:sz w:val="22"/>
          <w:szCs w:val="22"/>
        </w:rPr>
      </w:pPr>
      <w:r w:rsidRPr="00261D08">
        <w:rPr>
          <w:rFonts w:ascii="Arial" w:hAnsi="Arial" w:cs="Arial"/>
          <w:sz w:val="22"/>
          <w:szCs w:val="22"/>
        </w:rPr>
        <w:t xml:space="preserve">33% falls under Direct Financial Assistance (categorized as Budget Support in the database) (€687m); </w:t>
      </w:r>
    </w:p>
    <w:p w:rsidR="00A23C41" w:rsidRPr="00261D08" w:rsidRDefault="00A23C41" w:rsidP="00B54C8F">
      <w:pPr>
        <w:pStyle w:val="Paragrafoelenco"/>
        <w:numPr>
          <w:ilvl w:val="0"/>
          <w:numId w:val="43"/>
        </w:numPr>
        <w:spacing w:before="0" w:after="0"/>
        <w:rPr>
          <w:rFonts w:ascii="Arial" w:hAnsi="Arial" w:cs="Arial"/>
          <w:sz w:val="22"/>
          <w:szCs w:val="22"/>
        </w:rPr>
      </w:pPr>
      <w:r w:rsidRPr="00261D08">
        <w:rPr>
          <w:rFonts w:ascii="Arial" w:hAnsi="Arial" w:cs="Arial"/>
          <w:sz w:val="22"/>
          <w:szCs w:val="22"/>
        </w:rPr>
        <w:t>Contribution to multilateral institutions accounts for 26% (€538m);</w:t>
      </w:r>
    </w:p>
    <w:p w:rsidR="00A23C41" w:rsidRPr="00261D08" w:rsidRDefault="00A23C41" w:rsidP="00B54C8F">
      <w:pPr>
        <w:pStyle w:val="Paragrafoelenco"/>
        <w:numPr>
          <w:ilvl w:val="0"/>
          <w:numId w:val="43"/>
        </w:numPr>
        <w:spacing w:before="0" w:after="0"/>
        <w:rPr>
          <w:rFonts w:ascii="Arial" w:hAnsi="Arial" w:cs="Arial"/>
          <w:sz w:val="22"/>
          <w:szCs w:val="22"/>
        </w:rPr>
      </w:pPr>
      <w:r w:rsidRPr="00261D08">
        <w:rPr>
          <w:rFonts w:ascii="Arial" w:hAnsi="Arial" w:cs="Arial"/>
          <w:sz w:val="22"/>
          <w:szCs w:val="22"/>
        </w:rPr>
        <w:t xml:space="preserve">Project-type intervention account for 23% (€473m). </w:t>
      </w:r>
    </w:p>
    <w:p w:rsidR="00A23C41" w:rsidRPr="00261D08" w:rsidRDefault="00A23C41" w:rsidP="00A23C41">
      <w:pPr>
        <w:spacing w:before="0" w:after="0"/>
        <w:rPr>
          <w:rFonts w:ascii="Arial" w:hAnsi="Arial" w:cs="Arial"/>
          <w:sz w:val="22"/>
          <w:szCs w:val="22"/>
        </w:rPr>
      </w:pPr>
    </w:p>
    <w:p w:rsidR="00A23C41" w:rsidRPr="00261D08" w:rsidRDefault="00A23C41" w:rsidP="00A23C41">
      <w:pPr>
        <w:spacing w:before="0" w:after="0"/>
        <w:rPr>
          <w:rFonts w:ascii="Arial" w:hAnsi="Arial" w:cs="Arial"/>
          <w:sz w:val="22"/>
          <w:szCs w:val="22"/>
        </w:rPr>
      </w:pPr>
      <w:r w:rsidRPr="00261D08">
        <w:rPr>
          <w:rFonts w:ascii="Arial" w:hAnsi="Arial" w:cs="Arial"/>
          <w:sz w:val="22"/>
          <w:szCs w:val="22"/>
        </w:rPr>
        <w:t xml:space="preserve">The main contracting parties are Palestine’ “Public Administration Institutions” receiving 47% (€980m) of the total </w:t>
      </w:r>
      <w:r w:rsidR="009D7E2C">
        <w:rPr>
          <w:rFonts w:ascii="Arial" w:hAnsi="Arial" w:cs="Arial"/>
          <w:sz w:val="22"/>
          <w:szCs w:val="22"/>
        </w:rPr>
        <w:t>committed amount</w:t>
      </w:r>
      <w:r w:rsidRPr="00261D08">
        <w:rPr>
          <w:rFonts w:ascii="Arial" w:hAnsi="Arial" w:cs="Arial"/>
          <w:sz w:val="22"/>
          <w:szCs w:val="22"/>
        </w:rPr>
        <w:t xml:space="preserve"> (see Figure 7) and the United Nat</w:t>
      </w:r>
      <w:r>
        <w:rPr>
          <w:rFonts w:ascii="Arial" w:hAnsi="Arial" w:cs="Arial"/>
          <w:sz w:val="22"/>
          <w:szCs w:val="22"/>
        </w:rPr>
        <w:t>ions Family, receiving 32% (€595</w:t>
      </w:r>
      <w:r w:rsidRPr="00261D08">
        <w:rPr>
          <w:rFonts w:ascii="Arial" w:hAnsi="Arial" w:cs="Arial"/>
          <w:sz w:val="22"/>
          <w:szCs w:val="22"/>
        </w:rPr>
        <w:t xml:space="preserve">m) of the total </w:t>
      </w:r>
      <w:r w:rsidR="009D7E2C">
        <w:rPr>
          <w:rFonts w:ascii="Arial" w:hAnsi="Arial" w:cs="Arial"/>
          <w:sz w:val="22"/>
          <w:szCs w:val="22"/>
        </w:rPr>
        <w:t>committed amount</w:t>
      </w:r>
      <w:r w:rsidRPr="00261D08">
        <w:rPr>
          <w:rFonts w:ascii="Arial" w:hAnsi="Arial" w:cs="Arial"/>
          <w:sz w:val="22"/>
          <w:szCs w:val="22"/>
        </w:rPr>
        <w:t xml:space="preserve">, </w:t>
      </w:r>
      <w:r>
        <w:rPr>
          <w:rFonts w:ascii="Arial" w:hAnsi="Arial" w:cs="Arial"/>
          <w:sz w:val="22"/>
          <w:szCs w:val="22"/>
        </w:rPr>
        <w:t>of which disbursed to UNRWA (€535</w:t>
      </w:r>
      <w:r w:rsidRPr="00261D08">
        <w:rPr>
          <w:rFonts w:ascii="Arial" w:hAnsi="Arial" w:cs="Arial"/>
          <w:sz w:val="22"/>
          <w:szCs w:val="22"/>
        </w:rPr>
        <w:t xml:space="preserve">m). </w:t>
      </w:r>
    </w:p>
    <w:p w:rsidR="00A23C41" w:rsidRPr="00261D08" w:rsidRDefault="00A23C41" w:rsidP="00A23C41">
      <w:pPr>
        <w:spacing w:before="0" w:after="0"/>
        <w:rPr>
          <w:rFonts w:ascii="Arial" w:hAnsi="Arial" w:cs="Arial"/>
          <w:sz w:val="22"/>
          <w:szCs w:val="22"/>
        </w:rPr>
      </w:pPr>
    </w:p>
    <w:tbl>
      <w:tblPr>
        <w:tblStyle w:val="Grigliatabella"/>
        <w:tblW w:w="0" w:type="auto"/>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Look w:val="04A0"/>
      </w:tblPr>
      <w:tblGrid>
        <w:gridCol w:w="9854"/>
      </w:tblGrid>
      <w:tr w:rsidR="00A23C41" w:rsidRPr="00EF09A2" w:rsidTr="00A23C41">
        <w:tc>
          <w:tcPr>
            <w:tcW w:w="9854" w:type="dxa"/>
          </w:tcPr>
          <w:p w:rsidR="00A23C41" w:rsidRPr="00261D08" w:rsidRDefault="00A23C41" w:rsidP="00D714DB">
            <w:pPr>
              <w:pStyle w:val="Didascalia"/>
              <w:framePr w:wrap="around"/>
            </w:pPr>
            <w:bookmarkStart w:id="98" w:name="_Ref363226781"/>
            <w:bookmarkStart w:id="99" w:name="_Toc366744935"/>
            <w:r w:rsidRPr="00261D08">
              <w:lastRenderedPageBreak/>
              <w:t>Figure</w:t>
            </w:r>
            <w:bookmarkEnd w:id="98"/>
            <w:r w:rsidRPr="00261D08">
              <w:t xml:space="preserve"> 7: </w:t>
            </w:r>
            <w:r w:rsidR="00A96ED2">
              <w:t>DEVCO</w:t>
            </w:r>
            <w:r w:rsidRPr="00261D08">
              <w:t xml:space="preserve"> </w:t>
            </w:r>
            <w:r w:rsidR="009D7E2C">
              <w:t>Committed amount</w:t>
            </w:r>
            <w:r>
              <w:t xml:space="preserve"> by contracting p</w:t>
            </w:r>
            <w:r w:rsidRPr="00261D08">
              <w:t>arty to Palestine 2008-201</w:t>
            </w:r>
            <w:r w:rsidR="00363C06">
              <w:t>3</w:t>
            </w:r>
            <w:r w:rsidRPr="00261D08">
              <w:t xml:space="preserve"> - €M</w:t>
            </w:r>
            <w:bookmarkEnd w:id="99"/>
          </w:p>
          <w:p w:rsidR="00A23C41" w:rsidRPr="00EF09A2" w:rsidRDefault="00A23C41" w:rsidP="00A23C41">
            <w:pPr>
              <w:spacing w:before="0" w:after="0"/>
              <w:rPr>
                <w:rFonts w:ascii="Arial" w:hAnsi="Arial" w:cs="Arial"/>
                <w:sz w:val="24"/>
                <w:szCs w:val="24"/>
              </w:rPr>
            </w:pPr>
            <w:r w:rsidRPr="00261D08">
              <w:rPr>
                <w:rFonts w:ascii="Arial" w:hAnsi="Arial" w:cs="Arial"/>
                <w:noProof/>
                <w:sz w:val="24"/>
                <w:szCs w:val="24"/>
                <w:lang w:val="it-IT" w:eastAsia="it-IT"/>
              </w:rPr>
              <w:drawing>
                <wp:inline distT="0" distB="0" distL="0" distR="0">
                  <wp:extent cx="6057900" cy="2743200"/>
                  <wp:effectExtent l="0" t="0" r="0" b="0"/>
                  <wp:docPr id="111" name="Grafico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2"/>
                    </a:graphicData>
                  </a:graphic>
                </wp:inline>
              </w:drawing>
            </w:r>
          </w:p>
        </w:tc>
      </w:tr>
    </w:tbl>
    <w:p w:rsidR="00A23C41" w:rsidRPr="00EF09A2" w:rsidRDefault="00A23C41" w:rsidP="00A23C41">
      <w:pPr>
        <w:spacing w:before="0" w:after="0"/>
        <w:rPr>
          <w:rFonts w:ascii="Arial" w:hAnsi="Arial" w:cs="Arial"/>
          <w:sz w:val="24"/>
          <w:szCs w:val="24"/>
        </w:rPr>
      </w:pPr>
    </w:p>
    <w:p w:rsidR="00A23C41" w:rsidRPr="00EF09A2" w:rsidRDefault="00A23C41" w:rsidP="00A23C41">
      <w:pPr>
        <w:spacing w:before="0" w:after="0"/>
        <w:rPr>
          <w:rFonts w:ascii="Arial" w:hAnsi="Arial" w:cs="Arial"/>
          <w:b/>
          <w:caps/>
          <w:color w:val="1F497D" w:themeColor="text2"/>
          <w:sz w:val="24"/>
          <w:szCs w:val="24"/>
        </w:rPr>
      </w:pPr>
      <w:r w:rsidRPr="00EF09A2">
        <w:rPr>
          <w:rFonts w:ascii="Arial" w:hAnsi="Arial" w:cs="Arial"/>
          <w:b/>
          <w:smallCaps/>
          <w:color w:val="1F497D" w:themeColor="text2"/>
          <w:sz w:val="24"/>
          <w:szCs w:val="24"/>
        </w:rPr>
        <w:t xml:space="preserve">2.3 </w:t>
      </w:r>
      <w:r w:rsidRPr="00EF09A2">
        <w:rPr>
          <w:rFonts w:ascii="Arial" w:hAnsi="Arial" w:cs="Arial"/>
          <w:b/>
          <w:smallCaps/>
          <w:color w:val="1F497D" w:themeColor="text2"/>
          <w:sz w:val="24"/>
          <w:szCs w:val="24"/>
        </w:rPr>
        <w:tab/>
        <w:t xml:space="preserve">ECHO </w:t>
      </w:r>
      <w:r w:rsidRPr="00EF09A2">
        <w:rPr>
          <w:rFonts w:ascii="Arial" w:hAnsi="Arial" w:cs="Arial"/>
          <w:b/>
          <w:caps/>
          <w:color w:val="1F497D" w:themeColor="text2"/>
          <w:sz w:val="24"/>
          <w:szCs w:val="24"/>
        </w:rPr>
        <w:t>Interventions</w:t>
      </w:r>
    </w:p>
    <w:p w:rsidR="00A23C41" w:rsidRPr="00EF09A2" w:rsidRDefault="00A23C41" w:rsidP="00A23C41">
      <w:pPr>
        <w:spacing w:before="0" w:after="0"/>
        <w:rPr>
          <w:rFonts w:ascii="Arial" w:hAnsi="Arial" w:cs="Arial"/>
          <w:b/>
          <w:smallCaps/>
          <w:color w:val="1F497D" w:themeColor="text2"/>
          <w:sz w:val="24"/>
          <w:szCs w:val="24"/>
        </w:rPr>
      </w:pPr>
    </w:p>
    <w:p w:rsidR="00A23C41" w:rsidRPr="0011584D" w:rsidRDefault="00A23C41" w:rsidP="00A23C41">
      <w:pPr>
        <w:spacing w:before="0" w:after="0"/>
        <w:rPr>
          <w:rFonts w:ascii="Arial" w:hAnsi="Arial" w:cs="Arial"/>
          <w:sz w:val="22"/>
          <w:szCs w:val="22"/>
        </w:rPr>
      </w:pPr>
      <w:r w:rsidRPr="0011584D">
        <w:rPr>
          <w:rFonts w:ascii="Arial" w:hAnsi="Arial" w:cs="Arial"/>
          <w:sz w:val="22"/>
          <w:szCs w:val="22"/>
        </w:rPr>
        <w:t xml:space="preserve">During the period 2008-2013 Palestine has received through ECHO </w:t>
      </w:r>
      <w:r w:rsidR="00A85671">
        <w:rPr>
          <w:rFonts w:ascii="Arial" w:hAnsi="Arial" w:cs="Arial"/>
          <w:sz w:val="22"/>
          <w:szCs w:val="22"/>
        </w:rPr>
        <w:t xml:space="preserve">a total </w:t>
      </w:r>
      <w:r w:rsidR="00D26878">
        <w:rPr>
          <w:rFonts w:ascii="Arial" w:hAnsi="Arial" w:cs="Arial"/>
          <w:sz w:val="22"/>
          <w:szCs w:val="22"/>
        </w:rPr>
        <w:t>committed</w:t>
      </w:r>
      <w:r w:rsidR="00A85671">
        <w:rPr>
          <w:rFonts w:ascii="Arial" w:hAnsi="Arial" w:cs="Arial"/>
          <w:sz w:val="22"/>
          <w:szCs w:val="22"/>
        </w:rPr>
        <w:t xml:space="preserve"> amount of €311M for a total of 215</w:t>
      </w:r>
      <w:r w:rsidR="002E7A85">
        <w:rPr>
          <w:rFonts w:ascii="Arial" w:hAnsi="Arial" w:cs="Arial"/>
          <w:sz w:val="22"/>
          <w:szCs w:val="22"/>
        </w:rPr>
        <w:t xml:space="preserve"> interventions following a decreasing</w:t>
      </w:r>
      <w:r w:rsidRPr="0011584D">
        <w:rPr>
          <w:rFonts w:ascii="Arial" w:hAnsi="Arial" w:cs="Arial"/>
          <w:sz w:val="22"/>
          <w:szCs w:val="22"/>
        </w:rPr>
        <w:t xml:space="preserve"> trend throughout the years. Indeed, funds have been largely disbursed in 2008 (€71.6M) and in 20</w:t>
      </w:r>
      <w:r w:rsidR="002E7A85">
        <w:rPr>
          <w:rFonts w:ascii="Arial" w:hAnsi="Arial" w:cs="Arial"/>
          <w:sz w:val="22"/>
          <w:szCs w:val="22"/>
        </w:rPr>
        <w:t>09</w:t>
      </w:r>
      <w:r w:rsidRPr="0011584D">
        <w:rPr>
          <w:rFonts w:ascii="Arial" w:hAnsi="Arial" w:cs="Arial"/>
          <w:sz w:val="22"/>
          <w:szCs w:val="22"/>
        </w:rPr>
        <w:t xml:space="preserve"> (€</w:t>
      </w:r>
      <w:r w:rsidR="002E7A85">
        <w:rPr>
          <w:rFonts w:ascii="Arial" w:hAnsi="Arial" w:cs="Arial"/>
          <w:sz w:val="22"/>
          <w:szCs w:val="22"/>
        </w:rPr>
        <w:t>67</w:t>
      </w:r>
      <w:r w:rsidRPr="0011584D">
        <w:rPr>
          <w:rFonts w:ascii="Arial" w:hAnsi="Arial" w:cs="Arial"/>
          <w:sz w:val="22"/>
          <w:szCs w:val="22"/>
        </w:rPr>
        <w:t>M); while in 20</w:t>
      </w:r>
      <w:r w:rsidR="002E7A85">
        <w:rPr>
          <w:rFonts w:ascii="Arial" w:hAnsi="Arial" w:cs="Arial"/>
          <w:sz w:val="22"/>
          <w:szCs w:val="22"/>
        </w:rPr>
        <w:t>10</w:t>
      </w:r>
      <w:r w:rsidRPr="0011584D">
        <w:rPr>
          <w:rFonts w:ascii="Arial" w:hAnsi="Arial" w:cs="Arial"/>
          <w:sz w:val="22"/>
          <w:szCs w:val="22"/>
        </w:rPr>
        <w:t xml:space="preserve"> </w:t>
      </w:r>
      <w:r w:rsidR="002E7A85">
        <w:rPr>
          <w:rFonts w:ascii="Arial" w:hAnsi="Arial" w:cs="Arial"/>
          <w:sz w:val="22"/>
          <w:szCs w:val="22"/>
        </w:rPr>
        <w:t>funds have dropped of 27% and reached €34M in 2013</w:t>
      </w:r>
      <w:r w:rsidRPr="0011584D">
        <w:rPr>
          <w:rFonts w:ascii="Arial" w:hAnsi="Arial" w:cs="Arial"/>
          <w:sz w:val="22"/>
          <w:szCs w:val="22"/>
        </w:rPr>
        <w:t xml:space="preserve">, see figure 8. </w:t>
      </w:r>
    </w:p>
    <w:p w:rsidR="00A23C41" w:rsidRPr="0011584D" w:rsidRDefault="00A23C41" w:rsidP="00A23C41">
      <w:pPr>
        <w:spacing w:before="0" w:after="0"/>
        <w:rPr>
          <w:rFonts w:ascii="Arial" w:hAnsi="Arial" w:cs="Arial"/>
          <w:sz w:val="22"/>
          <w:szCs w:val="22"/>
        </w:rPr>
      </w:pPr>
    </w:p>
    <w:p w:rsidR="00A23C41" w:rsidRPr="00EF09A2" w:rsidRDefault="00A23C41" w:rsidP="00A23C41">
      <w:pPr>
        <w:spacing w:before="0" w:after="0"/>
        <w:rPr>
          <w:rFonts w:ascii="Arial" w:hAnsi="Arial" w:cs="Arial"/>
          <w:sz w:val="24"/>
          <w:szCs w:val="24"/>
        </w:rPr>
      </w:pPr>
    </w:p>
    <w:tbl>
      <w:tblPr>
        <w:tblStyle w:val="Grigliatabella"/>
        <w:tblW w:w="7680" w:type="dxa"/>
        <w:jc w:val="center"/>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Look w:val="04A0"/>
      </w:tblPr>
      <w:tblGrid>
        <w:gridCol w:w="7680"/>
      </w:tblGrid>
      <w:tr w:rsidR="00A23C41" w:rsidRPr="00EF09A2" w:rsidTr="006E33B1">
        <w:trPr>
          <w:trHeight w:val="4667"/>
          <w:jc w:val="center"/>
        </w:trPr>
        <w:tc>
          <w:tcPr>
            <w:tcW w:w="7680" w:type="dxa"/>
          </w:tcPr>
          <w:p w:rsidR="00A23C41" w:rsidRPr="006E33B1" w:rsidRDefault="00A23C41" w:rsidP="006E33B1">
            <w:pPr>
              <w:spacing w:before="0" w:after="0"/>
              <w:jc w:val="center"/>
              <w:rPr>
                <w:rFonts w:ascii="Arial" w:hAnsi="Arial" w:cs="Arial"/>
                <w:b/>
                <w:color w:val="1F497D" w:themeColor="text2"/>
                <w:sz w:val="18"/>
                <w:szCs w:val="18"/>
              </w:rPr>
            </w:pPr>
            <w:r w:rsidRPr="0011584D">
              <w:rPr>
                <w:rFonts w:ascii="Arial" w:hAnsi="Arial" w:cs="Arial"/>
                <w:b/>
                <w:color w:val="1F497D" w:themeColor="text2"/>
                <w:kern w:val="28"/>
                <w:sz w:val="18"/>
                <w:szCs w:val="18"/>
                <w:lang w:eastAsia="pl-PL"/>
              </w:rPr>
              <w:t xml:space="preserve">Figure 8: ECHO </w:t>
            </w:r>
            <w:r w:rsidR="00D26878">
              <w:rPr>
                <w:rFonts w:ascii="Arial" w:hAnsi="Arial" w:cs="Arial"/>
                <w:b/>
                <w:color w:val="1F497D" w:themeColor="text2"/>
                <w:kern w:val="28"/>
                <w:sz w:val="18"/>
                <w:szCs w:val="18"/>
                <w:lang w:eastAsia="pl-PL"/>
              </w:rPr>
              <w:t>C</w:t>
            </w:r>
            <w:r w:rsidR="000F4AAC">
              <w:rPr>
                <w:rFonts w:ascii="Arial" w:hAnsi="Arial" w:cs="Arial"/>
                <w:b/>
                <w:color w:val="1F497D" w:themeColor="text2"/>
                <w:kern w:val="28"/>
                <w:sz w:val="18"/>
                <w:szCs w:val="18"/>
                <w:lang w:eastAsia="pl-PL"/>
              </w:rPr>
              <w:t>o</w:t>
            </w:r>
            <w:r w:rsidR="009D7E2C">
              <w:rPr>
                <w:rFonts w:ascii="Arial" w:hAnsi="Arial" w:cs="Arial"/>
                <w:b/>
                <w:color w:val="1F497D" w:themeColor="text2"/>
                <w:kern w:val="28"/>
                <w:sz w:val="18"/>
                <w:szCs w:val="18"/>
                <w:lang w:eastAsia="pl-PL"/>
              </w:rPr>
              <w:t>mmitted</w:t>
            </w:r>
            <w:r w:rsidRPr="0011584D">
              <w:rPr>
                <w:rFonts w:ascii="Arial" w:hAnsi="Arial" w:cs="Arial"/>
                <w:b/>
                <w:color w:val="1F497D" w:themeColor="text2"/>
                <w:kern w:val="28"/>
                <w:sz w:val="18"/>
                <w:szCs w:val="18"/>
                <w:lang w:eastAsia="pl-PL"/>
              </w:rPr>
              <w:t xml:space="preserve"> amount by sector and year – 2008-201</w:t>
            </w:r>
            <w:r w:rsidR="00363C06">
              <w:rPr>
                <w:rFonts w:ascii="Arial" w:hAnsi="Arial" w:cs="Arial"/>
                <w:b/>
                <w:color w:val="1F497D" w:themeColor="text2"/>
                <w:kern w:val="28"/>
                <w:sz w:val="18"/>
                <w:szCs w:val="18"/>
                <w:lang w:eastAsia="pl-PL"/>
              </w:rPr>
              <w:t>3</w:t>
            </w:r>
            <w:r w:rsidRPr="0011584D">
              <w:rPr>
                <w:rFonts w:ascii="Arial" w:hAnsi="Arial" w:cs="Arial"/>
                <w:b/>
                <w:smallCaps/>
                <w:color w:val="1F497D" w:themeColor="text2"/>
                <w:sz w:val="18"/>
                <w:szCs w:val="18"/>
              </w:rPr>
              <w:t xml:space="preserve">  - M€</w:t>
            </w:r>
            <w:r w:rsidR="006E33B1">
              <w:rPr>
                <w:rFonts w:ascii="Arial" w:hAnsi="Arial" w:cs="Arial"/>
                <w:b/>
                <w:smallCaps/>
                <w:color w:val="1F497D" w:themeColor="text2"/>
                <w:sz w:val="18"/>
                <w:szCs w:val="18"/>
              </w:rPr>
              <w:t xml:space="preserve"> </w:t>
            </w:r>
            <w:r w:rsidR="006E33B1" w:rsidRPr="006E33B1">
              <w:rPr>
                <w:rFonts w:ascii="Arial" w:hAnsi="Arial" w:cs="Arial"/>
                <w:b/>
                <w:color w:val="1F497D" w:themeColor="text2"/>
                <w:sz w:val="18"/>
                <w:szCs w:val="18"/>
              </w:rPr>
              <w:t>and units (for contracts)</w:t>
            </w:r>
          </w:p>
          <w:p w:rsidR="006E33B1" w:rsidRPr="006E33B1" w:rsidRDefault="006E33B1" w:rsidP="006E33B1">
            <w:pPr>
              <w:spacing w:before="0" w:after="0"/>
              <w:jc w:val="center"/>
              <w:rPr>
                <w:rFonts w:ascii="Arial" w:hAnsi="Arial" w:cs="Arial"/>
                <w:b/>
                <w:i/>
                <w:smallCaps/>
                <w:color w:val="1F497D" w:themeColor="text2"/>
                <w:sz w:val="18"/>
                <w:szCs w:val="18"/>
              </w:rPr>
            </w:pPr>
            <w:r w:rsidRPr="006E33B1">
              <w:rPr>
                <w:rFonts w:ascii="Arial" w:hAnsi="Arial" w:cs="Arial"/>
                <w:b/>
                <w:smallCaps/>
                <w:noProof/>
                <w:color w:val="1F497D" w:themeColor="text2"/>
                <w:sz w:val="24"/>
                <w:szCs w:val="24"/>
                <w:lang w:val="it-IT" w:eastAsia="it-IT"/>
              </w:rPr>
              <w:drawing>
                <wp:inline distT="0" distB="0" distL="0" distR="0">
                  <wp:extent cx="4572000" cy="2714625"/>
                  <wp:effectExtent l="0" t="0" r="0" b="0"/>
                  <wp:docPr id="37" name="Grafico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53"/>
                    </a:graphicData>
                  </a:graphic>
                </wp:inline>
              </w:drawing>
            </w:r>
            <w:r w:rsidRPr="006E33B1">
              <w:rPr>
                <w:rFonts w:ascii="Arial" w:hAnsi="Arial" w:cs="Arial"/>
                <w:i/>
                <w:sz w:val="18"/>
                <w:szCs w:val="18"/>
              </w:rPr>
              <w:t>Source: ECHO data</w:t>
            </w:r>
          </w:p>
        </w:tc>
      </w:tr>
    </w:tbl>
    <w:p w:rsidR="00A23C41" w:rsidRDefault="00A23C41" w:rsidP="00A23C41">
      <w:pPr>
        <w:spacing w:before="0" w:after="0"/>
        <w:rPr>
          <w:rFonts w:ascii="Arial" w:hAnsi="Arial" w:cs="Arial"/>
          <w:b/>
          <w:smallCaps/>
          <w:color w:val="1F497D" w:themeColor="text2"/>
          <w:sz w:val="24"/>
          <w:szCs w:val="24"/>
        </w:rPr>
      </w:pPr>
    </w:p>
    <w:p w:rsidR="002E7A85" w:rsidRPr="0011584D" w:rsidRDefault="002E7A85" w:rsidP="002E7A85">
      <w:pPr>
        <w:spacing w:before="0" w:after="0"/>
        <w:rPr>
          <w:rFonts w:ascii="Arial" w:hAnsi="Arial" w:cs="Arial"/>
          <w:sz w:val="22"/>
          <w:szCs w:val="22"/>
        </w:rPr>
      </w:pPr>
      <w:r w:rsidRPr="0011584D">
        <w:rPr>
          <w:rFonts w:ascii="Arial" w:hAnsi="Arial" w:cs="Arial"/>
          <w:sz w:val="22"/>
          <w:szCs w:val="22"/>
        </w:rPr>
        <w:t xml:space="preserve">In terms of </w:t>
      </w:r>
      <w:proofErr w:type="spellStart"/>
      <w:r w:rsidRPr="0011584D">
        <w:rPr>
          <w:rFonts w:ascii="Arial" w:hAnsi="Arial" w:cs="Arial"/>
          <w:sz w:val="22"/>
          <w:szCs w:val="22"/>
        </w:rPr>
        <w:t>sectoral</w:t>
      </w:r>
      <w:proofErr w:type="spellEnd"/>
      <w:r w:rsidRPr="0011584D">
        <w:rPr>
          <w:rFonts w:ascii="Arial" w:hAnsi="Arial" w:cs="Arial"/>
          <w:sz w:val="22"/>
          <w:szCs w:val="22"/>
        </w:rPr>
        <w:t xml:space="preserve"> allocation the </w:t>
      </w:r>
      <w:r w:rsidR="006E5541" w:rsidRPr="0011584D">
        <w:rPr>
          <w:rFonts w:ascii="Arial" w:hAnsi="Arial" w:cs="Arial"/>
          <w:sz w:val="22"/>
          <w:szCs w:val="22"/>
        </w:rPr>
        <w:t xml:space="preserve">“Social Protection” </w:t>
      </w:r>
      <w:r w:rsidR="006E5541">
        <w:rPr>
          <w:rFonts w:ascii="Arial" w:hAnsi="Arial" w:cs="Arial"/>
          <w:sz w:val="22"/>
          <w:szCs w:val="22"/>
        </w:rPr>
        <w:t xml:space="preserve">and “Food” </w:t>
      </w:r>
      <w:r w:rsidRPr="0011584D">
        <w:rPr>
          <w:rFonts w:ascii="Arial" w:hAnsi="Arial" w:cs="Arial"/>
          <w:sz w:val="22"/>
          <w:szCs w:val="22"/>
        </w:rPr>
        <w:t>sectors receive the majority of funds with €</w:t>
      </w:r>
      <w:r w:rsidR="006E5541">
        <w:rPr>
          <w:rFonts w:ascii="Arial" w:hAnsi="Arial" w:cs="Arial"/>
          <w:sz w:val="22"/>
          <w:szCs w:val="22"/>
        </w:rPr>
        <w:t>122</w:t>
      </w:r>
      <w:r w:rsidRPr="0011584D">
        <w:rPr>
          <w:rFonts w:ascii="Arial" w:hAnsi="Arial" w:cs="Arial"/>
          <w:sz w:val="22"/>
          <w:szCs w:val="22"/>
        </w:rPr>
        <w:t xml:space="preserve">M </w:t>
      </w:r>
      <w:r w:rsidR="006E5541">
        <w:rPr>
          <w:rFonts w:ascii="Arial" w:hAnsi="Arial" w:cs="Arial"/>
          <w:sz w:val="22"/>
          <w:szCs w:val="22"/>
        </w:rPr>
        <w:t xml:space="preserve">(39%) </w:t>
      </w:r>
      <w:r w:rsidRPr="0011584D">
        <w:rPr>
          <w:rFonts w:ascii="Arial" w:hAnsi="Arial" w:cs="Arial"/>
          <w:sz w:val="22"/>
          <w:szCs w:val="22"/>
        </w:rPr>
        <w:t>and €</w:t>
      </w:r>
      <w:r w:rsidR="006E5541">
        <w:rPr>
          <w:rFonts w:ascii="Arial" w:hAnsi="Arial" w:cs="Arial"/>
          <w:sz w:val="22"/>
          <w:szCs w:val="22"/>
        </w:rPr>
        <w:t>115</w:t>
      </w:r>
      <w:r w:rsidRPr="0011584D">
        <w:rPr>
          <w:rFonts w:ascii="Arial" w:hAnsi="Arial" w:cs="Arial"/>
          <w:sz w:val="22"/>
          <w:szCs w:val="22"/>
        </w:rPr>
        <w:t xml:space="preserve">M </w:t>
      </w:r>
      <w:r w:rsidR="006E5541">
        <w:rPr>
          <w:rFonts w:ascii="Arial" w:hAnsi="Arial" w:cs="Arial"/>
          <w:sz w:val="22"/>
          <w:szCs w:val="22"/>
        </w:rPr>
        <w:t xml:space="preserve">(37) </w:t>
      </w:r>
      <w:r w:rsidR="00D5511D">
        <w:rPr>
          <w:rFonts w:ascii="Arial" w:hAnsi="Arial" w:cs="Arial"/>
          <w:sz w:val="22"/>
          <w:szCs w:val="22"/>
        </w:rPr>
        <w:t>respectively, see figure 9</w:t>
      </w:r>
      <w:r w:rsidR="006E5541">
        <w:rPr>
          <w:rFonts w:ascii="Arial" w:hAnsi="Arial" w:cs="Arial"/>
          <w:sz w:val="22"/>
          <w:szCs w:val="22"/>
        </w:rPr>
        <w:t xml:space="preserve">. “Health” ranks third with a total of €34M (11%); “Children”, “Water6Sanitation” and “Technical Assistance” </w:t>
      </w:r>
      <w:r w:rsidR="006E5541" w:rsidRPr="0011584D">
        <w:rPr>
          <w:rFonts w:ascii="Arial" w:hAnsi="Arial" w:cs="Arial"/>
          <w:sz w:val="22"/>
          <w:szCs w:val="22"/>
        </w:rPr>
        <w:t>sectors</w:t>
      </w:r>
      <w:r w:rsidR="006E5541">
        <w:rPr>
          <w:rFonts w:ascii="Arial" w:hAnsi="Arial" w:cs="Arial"/>
          <w:sz w:val="22"/>
          <w:szCs w:val="22"/>
        </w:rPr>
        <w:t xml:space="preserve"> follows </w:t>
      </w:r>
      <w:r w:rsidRPr="0011584D">
        <w:rPr>
          <w:rFonts w:ascii="Arial" w:hAnsi="Arial" w:cs="Arial"/>
          <w:sz w:val="22"/>
          <w:szCs w:val="22"/>
        </w:rPr>
        <w:t>with €</w:t>
      </w:r>
      <w:r w:rsidR="006E5541">
        <w:rPr>
          <w:rFonts w:ascii="Arial" w:hAnsi="Arial" w:cs="Arial"/>
          <w:sz w:val="22"/>
          <w:szCs w:val="22"/>
        </w:rPr>
        <w:t>14</w:t>
      </w:r>
      <w:r w:rsidRPr="0011584D">
        <w:rPr>
          <w:rFonts w:ascii="Arial" w:hAnsi="Arial" w:cs="Arial"/>
          <w:sz w:val="22"/>
          <w:szCs w:val="22"/>
        </w:rPr>
        <w:t>M</w:t>
      </w:r>
      <w:r w:rsidR="006E5541">
        <w:rPr>
          <w:rFonts w:ascii="Arial" w:hAnsi="Arial" w:cs="Arial"/>
          <w:sz w:val="22"/>
          <w:szCs w:val="22"/>
        </w:rPr>
        <w:t>,</w:t>
      </w:r>
      <w:r w:rsidRPr="0011584D">
        <w:rPr>
          <w:rFonts w:ascii="Arial" w:hAnsi="Arial" w:cs="Arial"/>
          <w:sz w:val="22"/>
          <w:szCs w:val="22"/>
        </w:rPr>
        <w:t xml:space="preserve"> €</w:t>
      </w:r>
      <w:r w:rsidR="006E5541">
        <w:rPr>
          <w:rFonts w:ascii="Arial" w:hAnsi="Arial" w:cs="Arial"/>
          <w:sz w:val="22"/>
          <w:szCs w:val="22"/>
        </w:rPr>
        <w:t>13</w:t>
      </w:r>
      <w:r w:rsidRPr="0011584D">
        <w:rPr>
          <w:rFonts w:ascii="Arial" w:hAnsi="Arial" w:cs="Arial"/>
          <w:sz w:val="22"/>
          <w:szCs w:val="22"/>
        </w:rPr>
        <w:t xml:space="preserve">M </w:t>
      </w:r>
      <w:r w:rsidR="006E5541" w:rsidRPr="0011584D">
        <w:rPr>
          <w:rFonts w:ascii="Arial" w:hAnsi="Arial" w:cs="Arial"/>
          <w:sz w:val="22"/>
          <w:szCs w:val="22"/>
        </w:rPr>
        <w:t>and</w:t>
      </w:r>
      <w:r w:rsidR="006E5541">
        <w:rPr>
          <w:rFonts w:ascii="Arial" w:hAnsi="Arial" w:cs="Arial"/>
          <w:sz w:val="22"/>
          <w:szCs w:val="22"/>
        </w:rPr>
        <w:t xml:space="preserve"> €12M </w:t>
      </w:r>
      <w:r w:rsidR="00D26878">
        <w:rPr>
          <w:rFonts w:ascii="Arial" w:hAnsi="Arial" w:cs="Arial"/>
          <w:sz w:val="22"/>
          <w:szCs w:val="22"/>
        </w:rPr>
        <w:t>respectively.</w:t>
      </w:r>
      <w:r w:rsidRPr="0011584D">
        <w:rPr>
          <w:rFonts w:ascii="Arial" w:hAnsi="Arial" w:cs="Arial"/>
          <w:sz w:val="22"/>
          <w:szCs w:val="22"/>
        </w:rPr>
        <w:t xml:space="preserve"> </w:t>
      </w:r>
    </w:p>
    <w:p w:rsidR="002E7A85" w:rsidRDefault="002E7A85" w:rsidP="00A23C41">
      <w:pPr>
        <w:spacing w:before="0" w:after="0"/>
        <w:rPr>
          <w:rFonts w:ascii="Arial" w:hAnsi="Arial" w:cs="Arial"/>
          <w:b/>
          <w:smallCaps/>
          <w:color w:val="1F497D" w:themeColor="text2"/>
          <w:sz w:val="24"/>
          <w:szCs w:val="24"/>
        </w:rPr>
      </w:pPr>
    </w:p>
    <w:p w:rsidR="002E7A85" w:rsidRPr="00EF09A2" w:rsidRDefault="002E7A85" w:rsidP="00A23C41">
      <w:pPr>
        <w:spacing w:before="0" w:after="0"/>
        <w:rPr>
          <w:rFonts w:ascii="Arial" w:hAnsi="Arial" w:cs="Arial"/>
          <w:b/>
          <w:smallCaps/>
          <w:color w:val="1F497D" w:themeColor="text2"/>
          <w:sz w:val="24"/>
          <w:szCs w:val="24"/>
        </w:rPr>
      </w:pPr>
    </w:p>
    <w:p w:rsidR="00A23C41" w:rsidRPr="00EF09A2" w:rsidRDefault="00A23C41" w:rsidP="00A23C41">
      <w:pPr>
        <w:spacing w:before="0" w:after="0"/>
        <w:rPr>
          <w:rFonts w:ascii="Arial" w:hAnsi="Arial" w:cs="Arial"/>
          <w:b/>
          <w:smallCaps/>
          <w:color w:val="1F497D" w:themeColor="text2"/>
          <w:sz w:val="24"/>
          <w:szCs w:val="24"/>
        </w:rPr>
      </w:pPr>
    </w:p>
    <w:tbl>
      <w:tblPr>
        <w:tblStyle w:val="Grigliatabella"/>
        <w:tblW w:w="0" w:type="auto"/>
        <w:jc w:val="center"/>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Look w:val="04A0"/>
      </w:tblPr>
      <w:tblGrid>
        <w:gridCol w:w="7416"/>
      </w:tblGrid>
      <w:tr w:rsidR="00A23C41" w:rsidRPr="00EF09A2" w:rsidTr="00A23C41">
        <w:trPr>
          <w:trHeight w:val="4135"/>
          <w:jc w:val="center"/>
        </w:trPr>
        <w:tc>
          <w:tcPr>
            <w:tcW w:w="6721" w:type="dxa"/>
          </w:tcPr>
          <w:p w:rsidR="00A23C41" w:rsidRPr="0011584D" w:rsidRDefault="00A23C41" w:rsidP="00A23C41">
            <w:pPr>
              <w:spacing w:before="0" w:after="0"/>
              <w:jc w:val="center"/>
              <w:rPr>
                <w:rFonts w:ascii="Arial" w:hAnsi="Arial" w:cs="Arial"/>
                <w:b/>
                <w:smallCaps/>
                <w:color w:val="1F497D" w:themeColor="text2"/>
                <w:sz w:val="18"/>
                <w:szCs w:val="18"/>
              </w:rPr>
            </w:pPr>
            <w:r w:rsidRPr="0011584D">
              <w:rPr>
                <w:rFonts w:ascii="Arial" w:hAnsi="Arial" w:cs="Arial"/>
                <w:b/>
                <w:color w:val="1F497D" w:themeColor="text2"/>
                <w:kern w:val="28"/>
                <w:sz w:val="18"/>
                <w:szCs w:val="18"/>
                <w:lang w:eastAsia="pl-PL"/>
              </w:rPr>
              <w:lastRenderedPageBreak/>
              <w:t>Figure 9:</w:t>
            </w:r>
            <w:r w:rsidRPr="0011584D">
              <w:rPr>
                <w:rFonts w:ascii="Arial" w:hAnsi="Arial" w:cs="Arial"/>
                <w:b/>
                <w:smallCaps/>
                <w:color w:val="1F497D" w:themeColor="text2"/>
                <w:sz w:val="18"/>
                <w:szCs w:val="18"/>
              </w:rPr>
              <w:t xml:space="preserve"> </w:t>
            </w:r>
            <w:r w:rsidRPr="0011584D">
              <w:rPr>
                <w:rFonts w:ascii="Arial" w:hAnsi="Arial" w:cs="Arial"/>
                <w:b/>
                <w:color w:val="1F497D" w:themeColor="text2"/>
                <w:kern w:val="28"/>
                <w:sz w:val="18"/>
                <w:szCs w:val="18"/>
                <w:lang w:eastAsia="pl-PL"/>
              </w:rPr>
              <w:t xml:space="preserve">ECHO </w:t>
            </w:r>
            <w:r w:rsidR="009D7E2C">
              <w:rPr>
                <w:rFonts w:ascii="Arial" w:hAnsi="Arial" w:cs="Arial"/>
                <w:b/>
                <w:color w:val="1F497D" w:themeColor="text2"/>
                <w:kern w:val="28"/>
                <w:sz w:val="18"/>
                <w:szCs w:val="18"/>
                <w:lang w:eastAsia="pl-PL"/>
              </w:rPr>
              <w:t>Committed</w:t>
            </w:r>
            <w:r w:rsidRPr="0011584D">
              <w:rPr>
                <w:rFonts w:ascii="Arial" w:hAnsi="Arial" w:cs="Arial"/>
                <w:b/>
                <w:color w:val="1F497D" w:themeColor="text2"/>
                <w:kern w:val="28"/>
                <w:sz w:val="18"/>
                <w:szCs w:val="18"/>
                <w:lang w:eastAsia="pl-PL"/>
              </w:rPr>
              <w:t xml:space="preserve"> amount by sector – 2008-201</w:t>
            </w:r>
            <w:r w:rsidR="00363C06">
              <w:rPr>
                <w:rFonts w:ascii="Arial" w:hAnsi="Arial" w:cs="Arial"/>
                <w:b/>
                <w:color w:val="1F497D" w:themeColor="text2"/>
                <w:kern w:val="28"/>
                <w:sz w:val="18"/>
                <w:szCs w:val="18"/>
                <w:lang w:eastAsia="pl-PL"/>
              </w:rPr>
              <w:t>3</w:t>
            </w:r>
            <w:r w:rsidRPr="0011584D">
              <w:rPr>
                <w:rFonts w:ascii="Arial" w:hAnsi="Arial" w:cs="Arial"/>
                <w:b/>
                <w:smallCaps/>
                <w:color w:val="1F497D" w:themeColor="text2"/>
                <w:sz w:val="18"/>
                <w:szCs w:val="18"/>
              </w:rPr>
              <w:t xml:space="preserve">  - %</w:t>
            </w:r>
          </w:p>
          <w:p w:rsidR="00A23C41" w:rsidRPr="00EF09A2" w:rsidRDefault="006E5541" w:rsidP="00A23C41">
            <w:pPr>
              <w:spacing w:before="0" w:after="0"/>
              <w:jc w:val="center"/>
              <w:rPr>
                <w:rFonts w:ascii="Arial" w:hAnsi="Arial" w:cs="Arial"/>
                <w:b/>
                <w:smallCaps/>
                <w:color w:val="1F497D" w:themeColor="text2"/>
                <w:sz w:val="24"/>
                <w:szCs w:val="24"/>
              </w:rPr>
            </w:pPr>
            <w:r w:rsidRPr="006E5541">
              <w:rPr>
                <w:rFonts w:ascii="Arial" w:hAnsi="Arial" w:cs="Arial"/>
                <w:b/>
                <w:smallCaps/>
                <w:noProof/>
                <w:color w:val="1F497D" w:themeColor="text2"/>
                <w:sz w:val="24"/>
                <w:szCs w:val="24"/>
                <w:lang w:val="it-IT" w:eastAsia="it-IT"/>
              </w:rPr>
              <w:drawing>
                <wp:inline distT="0" distB="0" distL="0" distR="0">
                  <wp:extent cx="4572000" cy="2743200"/>
                  <wp:effectExtent l="0" t="0" r="0" b="0"/>
                  <wp:docPr id="33" name="Gra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4"/>
                    </a:graphicData>
                  </a:graphic>
                </wp:inline>
              </w:drawing>
            </w:r>
          </w:p>
        </w:tc>
      </w:tr>
    </w:tbl>
    <w:p w:rsidR="00A23C41" w:rsidRDefault="00A23C41" w:rsidP="00A23C41">
      <w:pPr>
        <w:spacing w:before="0" w:after="0"/>
        <w:rPr>
          <w:rFonts w:ascii="Arial" w:hAnsi="Arial" w:cs="Arial"/>
          <w:b/>
          <w:smallCaps/>
          <w:color w:val="1F497D" w:themeColor="text2"/>
          <w:sz w:val="24"/>
          <w:szCs w:val="24"/>
        </w:rPr>
      </w:pPr>
    </w:p>
    <w:p w:rsidR="002C4ADF" w:rsidRPr="0011584D" w:rsidRDefault="002C4ADF" w:rsidP="002C4ADF">
      <w:pPr>
        <w:spacing w:before="0" w:after="0"/>
        <w:rPr>
          <w:rFonts w:ascii="Arial" w:hAnsi="Arial" w:cs="Arial"/>
          <w:sz w:val="22"/>
          <w:szCs w:val="22"/>
        </w:rPr>
      </w:pPr>
      <w:r w:rsidRPr="0011584D">
        <w:rPr>
          <w:rFonts w:ascii="Arial" w:hAnsi="Arial" w:cs="Arial"/>
          <w:sz w:val="22"/>
          <w:szCs w:val="22"/>
        </w:rPr>
        <w:t>Another interesting results is related to the partners involved in the interventions. Indeed, while funds are disbursed with a slight different to NGOs (€1</w:t>
      </w:r>
      <w:r w:rsidR="00C32443">
        <w:rPr>
          <w:rFonts w:ascii="Arial" w:hAnsi="Arial" w:cs="Arial"/>
          <w:sz w:val="22"/>
          <w:szCs w:val="22"/>
        </w:rPr>
        <w:t>68</w:t>
      </w:r>
      <w:r w:rsidRPr="0011584D">
        <w:rPr>
          <w:rFonts w:ascii="Arial" w:hAnsi="Arial" w:cs="Arial"/>
          <w:sz w:val="22"/>
          <w:szCs w:val="22"/>
        </w:rPr>
        <w:t>M) and UN (€</w:t>
      </w:r>
      <w:r w:rsidR="00C32443">
        <w:rPr>
          <w:rFonts w:ascii="Arial" w:hAnsi="Arial" w:cs="Arial"/>
          <w:sz w:val="22"/>
          <w:szCs w:val="22"/>
        </w:rPr>
        <w:t>142</w:t>
      </w:r>
      <w:r w:rsidRPr="0011584D">
        <w:rPr>
          <w:rFonts w:ascii="Arial" w:hAnsi="Arial" w:cs="Arial"/>
          <w:sz w:val="22"/>
          <w:szCs w:val="22"/>
        </w:rPr>
        <w:t>M) the number of activities covered are sensibly different, with 1</w:t>
      </w:r>
      <w:r w:rsidR="00C32443">
        <w:rPr>
          <w:rFonts w:ascii="Arial" w:hAnsi="Arial" w:cs="Arial"/>
          <w:sz w:val="22"/>
          <w:szCs w:val="22"/>
        </w:rPr>
        <w:t>69</w:t>
      </w:r>
      <w:r w:rsidRPr="0011584D">
        <w:rPr>
          <w:rFonts w:ascii="Arial" w:hAnsi="Arial" w:cs="Arial"/>
          <w:sz w:val="22"/>
          <w:szCs w:val="22"/>
        </w:rPr>
        <w:t xml:space="preserve"> for NGO</w:t>
      </w:r>
      <w:r w:rsidR="00C32443">
        <w:rPr>
          <w:rFonts w:ascii="Arial" w:hAnsi="Arial" w:cs="Arial"/>
          <w:sz w:val="22"/>
          <w:szCs w:val="22"/>
        </w:rPr>
        <w:t>/</w:t>
      </w:r>
      <w:r w:rsidRPr="0011584D">
        <w:rPr>
          <w:rFonts w:ascii="Arial" w:hAnsi="Arial" w:cs="Arial"/>
          <w:sz w:val="22"/>
          <w:szCs w:val="22"/>
        </w:rPr>
        <w:t xml:space="preserve"> Associations and </w:t>
      </w:r>
      <w:r w:rsidR="00C32443">
        <w:rPr>
          <w:rFonts w:ascii="Arial" w:hAnsi="Arial" w:cs="Arial"/>
          <w:sz w:val="22"/>
          <w:szCs w:val="22"/>
        </w:rPr>
        <w:t>46</w:t>
      </w:r>
      <w:r w:rsidRPr="0011584D">
        <w:rPr>
          <w:rFonts w:ascii="Arial" w:hAnsi="Arial" w:cs="Arial"/>
          <w:sz w:val="22"/>
          <w:szCs w:val="22"/>
        </w:rPr>
        <w:t xml:space="preserve"> for UN Agencies, see table 15.  </w:t>
      </w:r>
    </w:p>
    <w:p w:rsidR="002C4ADF" w:rsidRPr="00EF09A2" w:rsidRDefault="002C4ADF" w:rsidP="00A23C41">
      <w:pPr>
        <w:spacing w:before="0" w:after="0"/>
        <w:rPr>
          <w:rFonts w:ascii="Arial" w:hAnsi="Arial" w:cs="Arial"/>
          <w:b/>
          <w:smallCaps/>
          <w:color w:val="1F497D" w:themeColor="text2"/>
          <w:sz w:val="24"/>
          <w:szCs w:val="24"/>
        </w:rPr>
      </w:pPr>
    </w:p>
    <w:p w:rsidR="00A23C41" w:rsidRPr="0011584D" w:rsidRDefault="00A23C41" w:rsidP="00A23C41">
      <w:pPr>
        <w:spacing w:before="0" w:after="0"/>
        <w:jc w:val="center"/>
        <w:rPr>
          <w:rFonts w:ascii="Arial" w:hAnsi="Arial" w:cs="Arial"/>
          <w:sz w:val="18"/>
          <w:szCs w:val="18"/>
        </w:rPr>
      </w:pPr>
      <w:r w:rsidRPr="0011584D">
        <w:rPr>
          <w:rFonts w:ascii="Arial" w:hAnsi="Arial" w:cs="Arial"/>
          <w:b/>
          <w:color w:val="1F497D" w:themeColor="text2"/>
          <w:kern w:val="28"/>
          <w:sz w:val="18"/>
          <w:szCs w:val="18"/>
          <w:lang w:eastAsia="pl-PL"/>
        </w:rPr>
        <w:t>Table 15:</w:t>
      </w:r>
      <w:r w:rsidRPr="0011584D">
        <w:rPr>
          <w:rFonts w:ascii="Arial" w:hAnsi="Arial" w:cs="Arial"/>
          <w:sz w:val="18"/>
          <w:szCs w:val="18"/>
        </w:rPr>
        <w:t xml:space="preserve"> </w:t>
      </w:r>
      <w:r w:rsidRPr="0011584D">
        <w:rPr>
          <w:rFonts w:ascii="Arial" w:hAnsi="Arial" w:cs="Arial"/>
          <w:b/>
          <w:color w:val="1F497D" w:themeColor="text2"/>
          <w:kern w:val="28"/>
          <w:sz w:val="18"/>
          <w:szCs w:val="18"/>
          <w:lang w:eastAsia="pl-PL"/>
        </w:rPr>
        <w:t xml:space="preserve">ECHO </w:t>
      </w:r>
      <w:r w:rsidR="009D7E2C">
        <w:rPr>
          <w:rFonts w:ascii="Arial" w:hAnsi="Arial" w:cs="Arial"/>
          <w:b/>
          <w:color w:val="1F497D" w:themeColor="text2"/>
          <w:kern w:val="28"/>
          <w:sz w:val="18"/>
          <w:szCs w:val="18"/>
          <w:lang w:eastAsia="pl-PL"/>
        </w:rPr>
        <w:t>Committed</w:t>
      </w:r>
      <w:r w:rsidRPr="0011584D">
        <w:rPr>
          <w:rFonts w:ascii="Arial" w:hAnsi="Arial" w:cs="Arial"/>
          <w:b/>
          <w:color w:val="1F497D" w:themeColor="text2"/>
          <w:kern w:val="28"/>
          <w:sz w:val="18"/>
          <w:szCs w:val="18"/>
          <w:lang w:eastAsia="pl-PL"/>
        </w:rPr>
        <w:t xml:space="preserve"> amount by type of partner – 2008-201</w:t>
      </w:r>
      <w:r w:rsidR="00363C06">
        <w:rPr>
          <w:rFonts w:ascii="Arial" w:hAnsi="Arial" w:cs="Arial"/>
          <w:b/>
          <w:color w:val="1F497D" w:themeColor="text2"/>
          <w:kern w:val="28"/>
          <w:sz w:val="18"/>
          <w:szCs w:val="18"/>
          <w:lang w:eastAsia="pl-PL"/>
        </w:rPr>
        <w:t>3</w:t>
      </w:r>
      <w:r w:rsidRPr="0011584D">
        <w:rPr>
          <w:rFonts w:ascii="Arial" w:hAnsi="Arial" w:cs="Arial"/>
          <w:b/>
          <w:smallCaps/>
          <w:color w:val="1F497D" w:themeColor="text2"/>
          <w:sz w:val="18"/>
          <w:szCs w:val="18"/>
        </w:rPr>
        <w:t xml:space="preserve">  - €</w:t>
      </w:r>
    </w:p>
    <w:tbl>
      <w:tblPr>
        <w:tblW w:w="6912" w:type="dxa"/>
        <w:jc w:val="center"/>
        <w:tblInd w:w="65" w:type="dxa"/>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70" w:type="dxa"/>
          <w:right w:w="70" w:type="dxa"/>
        </w:tblCellMar>
        <w:tblLook w:val="04A0"/>
      </w:tblPr>
      <w:tblGrid>
        <w:gridCol w:w="2072"/>
        <w:gridCol w:w="1940"/>
        <w:gridCol w:w="1940"/>
        <w:gridCol w:w="960"/>
      </w:tblGrid>
      <w:tr w:rsidR="00A23C41" w:rsidRPr="0011584D" w:rsidTr="00A23C41">
        <w:trPr>
          <w:trHeight w:val="270"/>
          <w:jc w:val="center"/>
        </w:trPr>
        <w:tc>
          <w:tcPr>
            <w:tcW w:w="2072" w:type="dxa"/>
            <w:tcBorders>
              <w:bottom w:val="single" w:sz="4" w:space="0" w:color="1F497D" w:themeColor="text2"/>
            </w:tcBorders>
            <w:shd w:val="clear" w:color="000000" w:fill="1F497D"/>
            <w:noWrap/>
            <w:vAlign w:val="center"/>
            <w:hideMark/>
          </w:tcPr>
          <w:p w:rsidR="00A23C41" w:rsidRPr="0011584D" w:rsidRDefault="00A23C41" w:rsidP="00A23C41">
            <w:pPr>
              <w:spacing w:before="0" w:after="0"/>
              <w:jc w:val="center"/>
              <w:rPr>
                <w:rFonts w:ascii="Arial" w:hAnsi="Arial" w:cs="Arial"/>
                <w:b/>
                <w:bCs/>
                <w:color w:val="FFFFFF"/>
                <w:sz w:val="18"/>
                <w:szCs w:val="18"/>
                <w:lang w:val="it-IT" w:eastAsia="it-IT"/>
              </w:rPr>
            </w:pPr>
            <w:proofErr w:type="spellStart"/>
            <w:r w:rsidRPr="0011584D">
              <w:rPr>
                <w:rFonts w:ascii="Arial" w:hAnsi="Arial" w:cs="Arial"/>
                <w:b/>
                <w:bCs/>
                <w:color w:val="FFFFFF"/>
                <w:sz w:val="18"/>
                <w:szCs w:val="18"/>
                <w:lang w:val="it-IT" w:eastAsia="it-IT"/>
              </w:rPr>
              <w:t>Type</w:t>
            </w:r>
            <w:proofErr w:type="spellEnd"/>
            <w:r w:rsidRPr="0011584D">
              <w:rPr>
                <w:rFonts w:ascii="Arial" w:hAnsi="Arial" w:cs="Arial"/>
                <w:b/>
                <w:bCs/>
                <w:color w:val="FFFFFF"/>
                <w:sz w:val="18"/>
                <w:szCs w:val="18"/>
                <w:lang w:val="it-IT" w:eastAsia="it-IT"/>
              </w:rPr>
              <w:t xml:space="preserve"> </w:t>
            </w:r>
            <w:proofErr w:type="spellStart"/>
            <w:r w:rsidRPr="0011584D">
              <w:rPr>
                <w:rFonts w:ascii="Arial" w:hAnsi="Arial" w:cs="Arial"/>
                <w:b/>
                <w:bCs/>
                <w:color w:val="FFFFFF"/>
                <w:sz w:val="18"/>
                <w:szCs w:val="18"/>
                <w:lang w:val="it-IT" w:eastAsia="it-IT"/>
              </w:rPr>
              <w:t>of</w:t>
            </w:r>
            <w:proofErr w:type="spellEnd"/>
            <w:r w:rsidRPr="0011584D">
              <w:rPr>
                <w:rFonts w:ascii="Arial" w:hAnsi="Arial" w:cs="Arial"/>
                <w:b/>
                <w:bCs/>
                <w:color w:val="FFFFFF"/>
                <w:sz w:val="18"/>
                <w:szCs w:val="18"/>
                <w:lang w:val="it-IT" w:eastAsia="it-IT"/>
              </w:rPr>
              <w:t xml:space="preserve"> partner</w:t>
            </w:r>
          </w:p>
        </w:tc>
        <w:tc>
          <w:tcPr>
            <w:tcW w:w="1940" w:type="dxa"/>
            <w:tcBorders>
              <w:bottom w:val="single" w:sz="4" w:space="0" w:color="1F497D" w:themeColor="text2"/>
            </w:tcBorders>
            <w:shd w:val="clear" w:color="000000" w:fill="1F497D"/>
            <w:noWrap/>
            <w:vAlign w:val="center"/>
            <w:hideMark/>
          </w:tcPr>
          <w:p w:rsidR="00A23C41" w:rsidRPr="0011584D" w:rsidRDefault="00A23C41" w:rsidP="00A23C41">
            <w:pPr>
              <w:spacing w:before="0" w:after="0"/>
              <w:jc w:val="center"/>
              <w:rPr>
                <w:rFonts w:ascii="Arial" w:hAnsi="Arial" w:cs="Arial"/>
                <w:b/>
                <w:bCs/>
                <w:color w:val="FFFFFF"/>
                <w:sz w:val="18"/>
                <w:szCs w:val="18"/>
                <w:lang w:val="it-IT" w:eastAsia="it-IT"/>
              </w:rPr>
            </w:pPr>
            <w:proofErr w:type="spellStart"/>
            <w:r w:rsidRPr="0011584D">
              <w:rPr>
                <w:rFonts w:ascii="Arial" w:hAnsi="Arial" w:cs="Arial"/>
                <w:b/>
                <w:bCs/>
                <w:color w:val="FFFFFF"/>
                <w:sz w:val="18"/>
                <w:szCs w:val="18"/>
                <w:lang w:val="it-IT" w:eastAsia="it-IT"/>
              </w:rPr>
              <w:t>Allocated</w:t>
            </w:r>
            <w:proofErr w:type="spellEnd"/>
            <w:r w:rsidRPr="0011584D">
              <w:rPr>
                <w:rFonts w:ascii="Arial" w:hAnsi="Arial" w:cs="Arial"/>
                <w:b/>
                <w:bCs/>
                <w:color w:val="FFFFFF"/>
                <w:sz w:val="18"/>
                <w:szCs w:val="18"/>
                <w:lang w:val="it-IT" w:eastAsia="it-IT"/>
              </w:rPr>
              <w:t xml:space="preserve"> </w:t>
            </w:r>
            <w:proofErr w:type="spellStart"/>
            <w:r w:rsidRPr="0011584D">
              <w:rPr>
                <w:rFonts w:ascii="Arial" w:hAnsi="Arial" w:cs="Arial"/>
                <w:b/>
                <w:bCs/>
                <w:color w:val="FFFFFF"/>
                <w:sz w:val="18"/>
                <w:szCs w:val="18"/>
                <w:lang w:val="it-IT" w:eastAsia="it-IT"/>
              </w:rPr>
              <w:t>Amount</w:t>
            </w:r>
            <w:proofErr w:type="spellEnd"/>
          </w:p>
        </w:tc>
        <w:tc>
          <w:tcPr>
            <w:tcW w:w="1940" w:type="dxa"/>
            <w:tcBorders>
              <w:bottom w:val="single" w:sz="4" w:space="0" w:color="1F497D" w:themeColor="text2"/>
            </w:tcBorders>
            <w:shd w:val="clear" w:color="000000" w:fill="1F497D"/>
            <w:noWrap/>
            <w:vAlign w:val="center"/>
            <w:hideMark/>
          </w:tcPr>
          <w:p w:rsidR="00A23C41" w:rsidRPr="0011584D" w:rsidRDefault="00A23C41" w:rsidP="00A23C41">
            <w:pPr>
              <w:spacing w:before="0" w:after="0"/>
              <w:jc w:val="center"/>
              <w:rPr>
                <w:rFonts w:ascii="Arial" w:hAnsi="Arial" w:cs="Arial"/>
                <w:b/>
                <w:bCs/>
                <w:color w:val="FFFFFF"/>
                <w:sz w:val="18"/>
                <w:szCs w:val="18"/>
                <w:lang w:val="it-IT" w:eastAsia="it-IT"/>
              </w:rPr>
            </w:pPr>
            <w:r w:rsidRPr="0011584D">
              <w:rPr>
                <w:rFonts w:ascii="Arial" w:hAnsi="Arial" w:cs="Arial"/>
                <w:b/>
                <w:bCs/>
                <w:color w:val="FFFFFF"/>
                <w:sz w:val="18"/>
                <w:szCs w:val="18"/>
                <w:lang w:val="it-IT" w:eastAsia="it-IT"/>
              </w:rPr>
              <w:t xml:space="preserve">N. </w:t>
            </w:r>
            <w:proofErr w:type="spellStart"/>
            <w:r w:rsidRPr="0011584D">
              <w:rPr>
                <w:rFonts w:ascii="Arial" w:hAnsi="Arial" w:cs="Arial"/>
                <w:b/>
                <w:bCs/>
                <w:color w:val="FFFFFF"/>
                <w:sz w:val="18"/>
                <w:szCs w:val="18"/>
                <w:lang w:val="it-IT" w:eastAsia="it-IT"/>
              </w:rPr>
              <w:t>of</w:t>
            </w:r>
            <w:proofErr w:type="spellEnd"/>
            <w:r w:rsidRPr="0011584D">
              <w:rPr>
                <w:rFonts w:ascii="Arial" w:hAnsi="Arial" w:cs="Arial"/>
                <w:b/>
                <w:bCs/>
                <w:color w:val="FFFFFF"/>
                <w:sz w:val="18"/>
                <w:szCs w:val="18"/>
                <w:lang w:val="it-IT" w:eastAsia="it-IT"/>
              </w:rPr>
              <w:t xml:space="preserve"> </w:t>
            </w:r>
            <w:proofErr w:type="spellStart"/>
            <w:r w:rsidRPr="0011584D">
              <w:rPr>
                <w:rFonts w:ascii="Arial" w:hAnsi="Arial" w:cs="Arial"/>
                <w:b/>
                <w:bCs/>
                <w:color w:val="FFFFFF"/>
                <w:sz w:val="18"/>
                <w:szCs w:val="18"/>
                <w:lang w:val="it-IT" w:eastAsia="it-IT"/>
              </w:rPr>
              <w:t>interventions</w:t>
            </w:r>
            <w:proofErr w:type="spellEnd"/>
          </w:p>
        </w:tc>
        <w:tc>
          <w:tcPr>
            <w:tcW w:w="960" w:type="dxa"/>
            <w:tcBorders>
              <w:bottom w:val="single" w:sz="4" w:space="0" w:color="1F497D" w:themeColor="text2"/>
            </w:tcBorders>
            <w:shd w:val="clear" w:color="000000" w:fill="1F497D"/>
            <w:noWrap/>
            <w:vAlign w:val="center"/>
            <w:hideMark/>
          </w:tcPr>
          <w:p w:rsidR="00A23C41" w:rsidRPr="0011584D" w:rsidRDefault="00A23C41" w:rsidP="00A23C41">
            <w:pPr>
              <w:spacing w:before="0" w:after="0"/>
              <w:jc w:val="center"/>
              <w:rPr>
                <w:rFonts w:ascii="Arial" w:hAnsi="Arial" w:cs="Arial"/>
                <w:b/>
                <w:bCs/>
                <w:color w:val="FFFFFF"/>
                <w:sz w:val="18"/>
                <w:szCs w:val="18"/>
                <w:lang w:val="it-IT" w:eastAsia="it-IT"/>
              </w:rPr>
            </w:pPr>
            <w:r w:rsidRPr="0011584D">
              <w:rPr>
                <w:rFonts w:ascii="Arial" w:hAnsi="Arial" w:cs="Arial"/>
                <w:b/>
                <w:bCs/>
                <w:color w:val="FFFFFF"/>
                <w:sz w:val="18"/>
                <w:szCs w:val="18"/>
                <w:lang w:val="it-IT" w:eastAsia="it-IT"/>
              </w:rPr>
              <w:t>%</w:t>
            </w:r>
          </w:p>
        </w:tc>
      </w:tr>
      <w:tr w:rsidR="002C4ADF" w:rsidRPr="0011584D" w:rsidTr="002C4ADF">
        <w:trPr>
          <w:trHeight w:val="270"/>
          <w:jc w:val="center"/>
        </w:trPr>
        <w:tc>
          <w:tcPr>
            <w:tcW w:w="2072" w:type="dxa"/>
            <w:tcBorders>
              <w:right w:val="nil"/>
            </w:tcBorders>
            <w:shd w:val="clear" w:color="auto" w:fill="auto"/>
            <w:noWrap/>
            <w:vAlign w:val="center"/>
            <w:hideMark/>
          </w:tcPr>
          <w:p w:rsidR="002C4ADF" w:rsidRDefault="002C4ADF" w:rsidP="002C4ADF">
            <w:pPr>
              <w:spacing w:before="0" w:after="0"/>
              <w:jc w:val="center"/>
              <w:rPr>
                <w:rFonts w:ascii="Calibri" w:hAnsi="Calibri"/>
                <w:color w:val="000000"/>
                <w:sz w:val="22"/>
                <w:szCs w:val="22"/>
              </w:rPr>
            </w:pPr>
            <w:r>
              <w:rPr>
                <w:rFonts w:ascii="Calibri" w:hAnsi="Calibri"/>
                <w:color w:val="000000"/>
                <w:sz w:val="22"/>
                <w:szCs w:val="22"/>
              </w:rPr>
              <w:t>NGO/association</w:t>
            </w:r>
          </w:p>
        </w:tc>
        <w:tc>
          <w:tcPr>
            <w:tcW w:w="1940" w:type="dxa"/>
            <w:tcBorders>
              <w:left w:val="nil"/>
              <w:right w:val="nil"/>
            </w:tcBorders>
            <w:shd w:val="clear" w:color="auto" w:fill="auto"/>
            <w:noWrap/>
            <w:vAlign w:val="center"/>
            <w:hideMark/>
          </w:tcPr>
          <w:p w:rsidR="002C4ADF" w:rsidRDefault="002C4ADF" w:rsidP="002C4ADF">
            <w:pPr>
              <w:spacing w:before="0" w:after="0"/>
              <w:jc w:val="center"/>
              <w:rPr>
                <w:rFonts w:ascii="Calibri" w:hAnsi="Calibri"/>
                <w:color w:val="000000"/>
                <w:sz w:val="22"/>
                <w:szCs w:val="22"/>
              </w:rPr>
            </w:pPr>
            <w:r>
              <w:rPr>
                <w:rFonts w:ascii="Calibri" w:hAnsi="Calibri"/>
                <w:color w:val="000000"/>
                <w:sz w:val="22"/>
                <w:szCs w:val="22"/>
              </w:rPr>
              <w:t>168,253,424</w:t>
            </w:r>
          </w:p>
        </w:tc>
        <w:tc>
          <w:tcPr>
            <w:tcW w:w="1940" w:type="dxa"/>
            <w:tcBorders>
              <w:left w:val="nil"/>
              <w:right w:val="nil"/>
            </w:tcBorders>
            <w:shd w:val="clear" w:color="auto" w:fill="auto"/>
            <w:noWrap/>
            <w:vAlign w:val="center"/>
            <w:hideMark/>
          </w:tcPr>
          <w:p w:rsidR="002C4ADF" w:rsidRDefault="002C4ADF" w:rsidP="002C4ADF">
            <w:pPr>
              <w:spacing w:before="0" w:after="0"/>
              <w:jc w:val="center"/>
              <w:rPr>
                <w:rFonts w:ascii="Calibri" w:hAnsi="Calibri"/>
                <w:color w:val="000000"/>
                <w:sz w:val="22"/>
                <w:szCs w:val="22"/>
              </w:rPr>
            </w:pPr>
            <w:r>
              <w:rPr>
                <w:rFonts w:ascii="Calibri" w:hAnsi="Calibri"/>
                <w:color w:val="000000"/>
                <w:sz w:val="22"/>
                <w:szCs w:val="22"/>
              </w:rPr>
              <w:t>169</w:t>
            </w:r>
          </w:p>
        </w:tc>
        <w:tc>
          <w:tcPr>
            <w:tcW w:w="960" w:type="dxa"/>
            <w:tcBorders>
              <w:left w:val="nil"/>
            </w:tcBorders>
            <w:shd w:val="clear" w:color="auto" w:fill="auto"/>
            <w:noWrap/>
            <w:vAlign w:val="center"/>
            <w:hideMark/>
          </w:tcPr>
          <w:p w:rsidR="002C4ADF" w:rsidRPr="0011584D" w:rsidRDefault="002C4ADF" w:rsidP="002C4ADF">
            <w:pPr>
              <w:spacing w:before="0" w:after="0"/>
              <w:jc w:val="center"/>
              <w:rPr>
                <w:rFonts w:ascii="Arial" w:hAnsi="Arial" w:cs="Arial"/>
                <w:color w:val="000000"/>
                <w:sz w:val="18"/>
                <w:szCs w:val="18"/>
              </w:rPr>
            </w:pPr>
            <w:r w:rsidRPr="0011584D">
              <w:rPr>
                <w:rFonts w:ascii="Arial" w:hAnsi="Arial" w:cs="Arial"/>
                <w:color w:val="000000"/>
                <w:sz w:val="18"/>
                <w:szCs w:val="18"/>
              </w:rPr>
              <w:t>5</w:t>
            </w:r>
            <w:r>
              <w:rPr>
                <w:rFonts w:ascii="Arial" w:hAnsi="Arial" w:cs="Arial"/>
                <w:color w:val="000000"/>
                <w:sz w:val="18"/>
                <w:szCs w:val="18"/>
              </w:rPr>
              <w:t>4</w:t>
            </w:r>
            <w:r w:rsidRPr="0011584D">
              <w:rPr>
                <w:rFonts w:ascii="Arial" w:hAnsi="Arial" w:cs="Arial"/>
                <w:color w:val="000000"/>
                <w:sz w:val="18"/>
                <w:szCs w:val="18"/>
              </w:rPr>
              <w:t>%</w:t>
            </w:r>
          </w:p>
        </w:tc>
      </w:tr>
      <w:tr w:rsidR="002C4ADF" w:rsidRPr="0011584D" w:rsidTr="002C4ADF">
        <w:trPr>
          <w:trHeight w:val="270"/>
          <w:jc w:val="center"/>
        </w:trPr>
        <w:tc>
          <w:tcPr>
            <w:tcW w:w="2072" w:type="dxa"/>
            <w:tcBorders>
              <w:right w:val="nil"/>
            </w:tcBorders>
            <w:shd w:val="clear" w:color="auto" w:fill="auto"/>
            <w:noWrap/>
            <w:vAlign w:val="center"/>
            <w:hideMark/>
          </w:tcPr>
          <w:p w:rsidR="002C4ADF" w:rsidRDefault="002C4ADF" w:rsidP="002C4ADF">
            <w:pPr>
              <w:spacing w:before="0" w:after="0"/>
              <w:jc w:val="center"/>
              <w:rPr>
                <w:rFonts w:ascii="Calibri" w:hAnsi="Calibri"/>
                <w:color w:val="000000"/>
                <w:sz w:val="22"/>
                <w:szCs w:val="22"/>
              </w:rPr>
            </w:pPr>
            <w:r>
              <w:rPr>
                <w:rFonts w:ascii="Calibri" w:hAnsi="Calibri"/>
                <w:color w:val="000000"/>
                <w:sz w:val="22"/>
                <w:szCs w:val="22"/>
              </w:rPr>
              <w:t>UN</w:t>
            </w:r>
          </w:p>
        </w:tc>
        <w:tc>
          <w:tcPr>
            <w:tcW w:w="1940" w:type="dxa"/>
            <w:tcBorders>
              <w:left w:val="nil"/>
              <w:right w:val="nil"/>
            </w:tcBorders>
            <w:shd w:val="clear" w:color="auto" w:fill="auto"/>
            <w:noWrap/>
            <w:vAlign w:val="center"/>
            <w:hideMark/>
          </w:tcPr>
          <w:p w:rsidR="002C4ADF" w:rsidRDefault="002C4ADF" w:rsidP="002C4ADF">
            <w:pPr>
              <w:spacing w:before="0" w:after="0"/>
              <w:jc w:val="center"/>
              <w:rPr>
                <w:rFonts w:ascii="Calibri" w:hAnsi="Calibri"/>
                <w:color w:val="000000"/>
                <w:sz w:val="22"/>
                <w:szCs w:val="22"/>
              </w:rPr>
            </w:pPr>
            <w:r>
              <w:rPr>
                <w:rFonts w:ascii="Calibri" w:hAnsi="Calibri"/>
                <w:color w:val="000000"/>
                <w:sz w:val="22"/>
                <w:szCs w:val="22"/>
              </w:rPr>
              <w:t>142,542,518</w:t>
            </w:r>
          </w:p>
        </w:tc>
        <w:tc>
          <w:tcPr>
            <w:tcW w:w="1940" w:type="dxa"/>
            <w:tcBorders>
              <w:left w:val="nil"/>
              <w:right w:val="nil"/>
            </w:tcBorders>
            <w:shd w:val="clear" w:color="auto" w:fill="auto"/>
            <w:noWrap/>
            <w:vAlign w:val="center"/>
            <w:hideMark/>
          </w:tcPr>
          <w:p w:rsidR="002C4ADF" w:rsidRDefault="002C4ADF" w:rsidP="002C4ADF">
            <w:pPr>
              <w:spacing w:before="0" w:after="0"/>
              <w:jc w:val="center"/>
              <w:rPr>
                <w:rFonts w:ascii="Calibri" w:hAnsi="Calibri"/>
                <w:color w:val="000000"/>
                <w:sz w:val="22"/>
                <w:szCs w:val="22"/>
              </w:rPr>
            </w:pPr>
            <w:r>
              <w:rPr>
                <w:rFonts w:ascii="Calibri" w:hAnsi="Calibri"/>
                <w:color w:val="000000"/>
                <w:sz w:val="22"/>
                <w:szCs w:val="22"/>
              </w:rPr>
              <w:t>46</w:t>
            </w:r>
          </w:p>
        </w:tc>
        <w:tc>
          <w:tcPr>
            <w:tcW w:w="960" w:type="dxa"/>
            <w:tcBorders>
              <w:left w:val="nil"/>
            </w:tcBorders>
            <w:shd w:val="clear" w:color="auto" w:fill="auto"/>
            <w:noWrap/>
            <w:vAlign w:val="center"/>
            <w:hideMark/>
          </w:tcPr>
          <w:p w:rsidR="002C4ADF" w:rsidRPr="0011584D" w:rsidRDefault="002C4ADF" w:rsidP="002C4ADF">
            <w:pPr>
              <w:spacing w:before="0" w:after="0"/>
              <w:jc w:val="center"/>
              <w:rPr>
                <w:rFonts w:ascii="Arial" w:hAnsi="Arial" w:cs="Arial"/>
                <w:color w:val="000000"/>
                <w:sz w:val="18"/>
                <w:szCs w:val="18"/>
              </w:rPr>
            </w:pPr>
            <w:r w:rsidRPr="0011584D">
              <w:rPr>
                <w:rFonts w:ascii="Arial" w:hAnsi="Arial" w:cs="Arial"/>
                <w:color w:val="000000"/>
                <w:sz w:val="18"/>
                <w:szCs w:val="18"/>
              </w:rPr>
              <w:t>4</w:t>
            </w:r>
            <w:r>
              <w:rPr>
                <w:rFonts w:ascii="Arial" w:hAnsi="Arial" w:cs="Arial"/>
                <w:color w:val="000000"/>
                <w:sz w:val="18"/>
                <w:szCs w:val="18"/>
              </w:rPr>
              <w:t>4</w:t>
            </w:r>
            <w:r w:rsidRPr="0011584D">
              <w:rPr>
                <w:rFonts w:ascii="Arial" w:hAnsi="Arial" w:cs="Arial"/>
                <w:color w:val="000000"/>
                <w:sz w:val="18"/>
                <w:szCs w:val="18"/>
              </w:rPr>
              <w:t>%</w:t>
            </w:r>
          </w:p>
        </w:tc>
      </w:tr>
      <w:tr w:rsidR="002C4ADF" w:rsidRPr="0011584D" w:rsidTr="002C4ADF">
        <w:trPr>
          <w:trHeight w:val="270"/>
          <w:jc w:val="center"/>
        </w:trPr>
        <w:tc>
          <w:tcPr>
            <w:tcW w:w="2072" w:type="dxa"/>
            <w:tcBorders>
              <w:right w:val="nil"/>
            </w:tcBorders>
            <w:shd w:val="clear" w:color="000000" w:fill="F2F2F2"/>
            <w:noWrap/>
            <w:vAlign w:val="center"/>
            <w:hideMark/>
          </w:tcPr>
          <w:p w:rsidR="002C4ADF" w:rsidRPr="0011584D" w:rsidRDefault="002C4ADF" w:rsidP="002C4ADF">
            <w:pPr>
              <w:spacing w:before="0" w:after="0"/>
              <w:jc w:val="center"/>
              <w:rPr>
                <w:rFonts w:ascii="Arial" w:hAnsi="Arial" w:cs="Arial"/>
                <w:b/>
                <w:bCs/>
                <w:color w:val="000000"/>
                <w:sz w:val="18"/>
                <w:szCs w:val="18"/>
              </w:rPr>
            </w:pPr>
            <w:r w:rsidRPr="0011584D">
              <w:rPr>
                <w:rFonts w:ascii="Arial" w:hAnsi="Arial" w:cs="Arial"/>
                <w:b/>
                <w:bCs/>
                <w:color w:val="000000"/>
                <w:sz w:val="18"/>
                <w:szCs w:val="18"/>
              </w:rPr>
              <w:t>Total</w:t>
            </w:r>
          </w:p>
        </w:tc>
        <w:tc>
          <w:tcPr>
            <w:tcW w:w="1940" w:type="dxa"/>
            <w:tcBorders>
              <w:left w:val="nil"/>
              <w:right w:val="nil"/>
            </w:tcBorders>
            <w:shd w:val="clear" w:color="000000" w:fill="F2F2F2"/>
            <w:noWrap/>
            <w:vAlign w:val="center"/>
            <w:hideMark/>
          </w:tcPr>
          <w:p w:rsidR="002C4ADF" w:rsidRPr="0011584D" w:rsidRDefault="002C4ADF" w:rsidP="002C4ADF">
            <w:pPr>
              <w:spacing w:before="0" w:after="0"/>
              <w:jc w:val="center"/>
              <w:rPr>
                <w:rFonts w:ascii="Arial" w:hAnsi="Arial" w:cs="Arial"/>
                <w:b/>
                <w:bCs/>
                <w:color w:val="000000"/>
                <w:sz w:val="18"/>
                <w:szCs w:val="18"/>
              </w:rPr>
            </w:pPr>
            <w:r>
              <w:rPr>
                <w:rFonts w:ascii="Calibri" w:hAnsi="Calibri"/>
                <w:b/>
                <w:bCs/>
                <w:color w:val="000000"/>
                <w:sz w:val="22"/>
                <w:szCs w:val="22"/>
              </w:rPr>
              <w:t>310,795,942</w:t>
            </w:r>
          </w:p>
        </w:tc>
        <w:tc>
          <w:tcPr>
            <w:tcW w:w="1940" w:type="dxa"/>
            <w:tcBorders>
              <w:left w:val="nil"/>
              <w:right w:val="nil"/>
            </w:tcBorders>
            <w:shd w:val="clear" w:color="000000" w:fill="F2F2F2"/>
            <w:noWrap/>
            <w:vAlign w:val="center"/>
            <w:hideMark/>
          </w:tcPr>
          <w:p w:rsidR="002C4ADF" w:rsidRDefault="002C4ADF" w:rsidP="002C4ADF">
            <w:pPr>
              <w:spacing w:before="0" w:after="0"/>
              <w:jc w:val="center"/>
              <w:rPr>
                <w:rFonts w:ascii="Calibri" w:hAnsi="Calibri"/>
                <w:color w:val="000000"/>
                <w:sz w:val="22"/>
                <w:szCs w:val="22"/>
              </w:rPr>
            </w:pPr>
            <w:r>
              <w:rPr>
                <w:rFonts w:ascii="Calibri" w:hAnsi="Calibri"/>
                <w:color w:val="000000"/>
                <w:sz w:val="22"/>
                <w:szCs w:val="22"/>
              </w:rPr>
              <w:t>215</w:t>
            </w:r>
          </w:p>
        </w:tc>
        <w:tc>
          <w:tcPr>
            <w:tcW w:w="960" w:type="dxa"/>
            <w:tcBorders>
              <w:left w:val="nil"/>
            </w:tcBorders>
            <w:shd w:val="clear" w:color="000000" w:fill="F2F2F2"/>
            <w:noWrap/>
            <w:vAlign w:val="center"/>
            <w:hideMark/>
          </w:tcPr>
          <w:p w:rsidR="002C4ADF" w:rsidRPr="0011584D" w:rsidRDefault="002C4ADF" w:rsidP="002C4ADF">
            <w:pPr>
              <w:spacing w:before="0" w:after="0"/>
              <w:jc w:val="center"/>
              <w:rPr>
                <w:rFonts w:ascii="Arial" w:hAnsi="Arial" w:cs="Arial"/>
                <w:b/>
                <w:bCs/>
                <w:color w:val="000000"/>
                <w:sz w:val="18"/>
                <w:szCs w:val="18"/>
              </w:rPr>
            </w:pPr>
            <w:r w:rsidRPr="0011584D">
              <w:rPr>
                <w:rFonts w:ascii="Arial" w:hAnsi="Arial" w:cs="Arial"/>
                <w:b/>
                <w:bCs/>
                <w:color w:val="000000"/>
                <w:sz w:val="18"/>
                <w:szCs w:val="18"/>
              </w:rPr>
              <w:t>100%</w:t>
            </w:r>
          </w:p>
        </w:tc>
      </w:tr>
    </w:tbl>
    <w:p w:rsidR="00A23C41" w:rsidRPr="00EF09A2" w:rsidRDefault="00A23C41" w:rsidP="00A23C41">
      <w:pPr>
        <w:spacing w:before="0" w:after="0"/>
        <w:rPr>
          <w:rFonts w:ascii="Arial" w:hAnsi="Arial" w:cs="Arial"/>
          <w:sz w:val="20"/>
        </w:rPr>
      </w:pPr>
      <w:r w:rsidRPr="00EF09A2">
        <w:rPr>
          <w:rFonts w:ascii="Arial" w:hAnsi="Arial" w:cs="Arial"/>
          <w:sz w:val="20"/>
        </w:rPr>
        <w:br w:type="page"/>
      </w:r>
    </w:p>
    <w:p w:rsidR="00A23C41" w:rsidRPr="00A23C41" w:rsidRDefault="00A23C41" w:rsidP="005E7468">
      <w:pPr>
        <w:pStyle w:val="Titolo1"/>
      </w:pPr>
      <w:bookmarkStart w:id="100" w:name="_Toc367291884"/>
      <w:bookmarkStart w:id="101" w:name="_Toc382998027"/>
      <w:r w:rsidRPr="00A23C41">
        <w:lastRenderedPageBreak/>
        <w:t xml:space="preserve">aNNEX </w:t>
      </w:r>
      <w:r w:rsidR="00043271">
        <w:t>8</w:t>
      </w:r>
      <w:r w:rsidRPr="00A23C41">
        <w:t>: Others Donors’ Cooperation</w:t>
      </w:r>
      <w:bookmarkEnd w:id="100"/>
      <w:bookmarkEnd w:id="101"/>
    </w:p>
    <w:p w:rsidR="00A23C41" w:rsidRDefault="00A23C41" w:rsidP="00A23C41">
      <w:pPr>
        <w:spacing w:before="0" w:after="0"/>
        <w:rPr>
          <w:rFonts w:ascii="Arial" w:hAnsi="Arial" w:cs="Arial"/>
          <w:sz w:val="22"/>
          <w:szCs w:val="22"/>
        </w:rPr>
      </w:pPr>
    </w:p>
    <w:p w:rsidR="00A23C41" w:rsidRPr="004F4FDE" w:rsidRDefault="00A23C41" w:rsidP="00A23C41">
      <w:pPr>
        <w:spacing w:before="0" w:after="0"/>
        <w:rPr>
          <w:rFonts w:ascii="Arial" w:hAnsi="Arial" w:cs="Arial"/>
          <w:sz w:val="22"/>
          <w:szCs w:val="22"/>
        </w:rPr>
      </w:pPr>
      <w:r w:rsidRPr="004F4FDE">
        <w:rPr>
          <w:rFonts w:ascii="Arial" w:hAnsi="Arial" w:cs="Arial"/>
          <w:sz w:val="22"/>
          <w:szCs w:val="22"/>
        </w:rPr>
        <w:t xml:space="preserve">Between 2008 and 2012 the Official Development Aid (ODA) commitments to Palestine from OECD/DAC donors amounted to </w:t>
      </w:r>
      <w:r w:rsidRPr="004F4FDE">
        <w:rPr>
          <w:rFonts w:ascii="Arial" w:hAnsi="Arial" w:cs="Arial"/>
          <w:b/>
          <w:sz w:val="22"/>
          <w:szCs w:val="22"/>
        </w:rPr>
        <w:t>US$12.2bn</w:t>
      </w:r>
      <w:r w:rsidRPr="004F4FDE">
        <w:rPr>
          <w:rFonts w:ascii="Arial" w:hAnsi="Arial" w:cs="Arial"/>
          <w:sz w:val="22"/>
          <w:szCs w:val="22"/>
        </w:rPr>
        <w:t xml:space="preserve"> (equal to €9bn</w:t>
      </w:r>
      <w:r w:rsidRPr="004F4FDE">
        <w:rPr>
          <w:rStyle w:val="Rimandonotaapidipagina"/>
          <w:rFonts w:ascii="Arial" w:hAnsi="Arial" w:cs="Arial"/>
          <w:sz w:val="22"/>
          <w:szCs w:val="22"/>
        </w:rPr>
        <w:footnoteReference w:id="87"/>
      </w:r>
      <w:r w:rsidRPr="004F4FDE">
        <w:rPr>
          <w:rFonts w:ascii="Arial" w:hAnsi="Arial" w:cs="Arial"/>
          <w:sz w:val="22"/>
          <w:szCs w:val="22"/>
        </w:rPr>
        <w:t xml:space="preserve">).  </w:t>
      </w:r>
    </w:p>
    <w:p w:rsidR="00A23C41" w:rsidRPr="00EF09A2" w:rsidRDefault="00A43E18" w:rsidP="00A23C41">
      <w:pPr>
        <w:spacing w:before="0" w:after="0"/>
        <w:rPr>
          <w:rFonts w:ascii="Arial" w:hAnsi="Arial" w:cs="Arial"/>
          <w:sz w:val="24"/>
          <w:szCs w:val="24"/>
        </w:rPr>
      </w:pPr>
      <w:r w:rsidRPr="00A43E18">
        <w:rPr>
          <w:rFonts w:ascii="Arial" w:hAnsi="Arial" w:cs="Arial"/>
          <w:noProof/>
          <w:sz w:val="24"/>
          <w:szCs w:val="24"/>
        </w:rPr>
        <w:pict>
          <v:shape id="Text Box 9" o:spid="_x0000_s1111" type="#_x0000_t202" style="position:absolute;left:0;text-align:left;margin-left:82.8pt;margin-top:9.6pt;width:279.45pt;height:180pt;z-index:25172377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" filled="f" strokecolor="#000090">
            <v:path arrowok="t"/>
            <v:textbox>
              <w:txbxContent>
                <w:p w:rsidR="005D72C2" w:rsidRPr="00B8433C" w:rsidRDefault="005D72C2" w:rsidP="00D714DB">
                  <w:pPr>
                    <w:pStyle w:val="Didascalia"/>
                    <w:rPr>
                      <w:smallCaps/>
                    </w:rPr>
                  </w:pPr>
                  <w:bookmarkStart w:id="102" w:name="_Ref366155659"/>
                  <w:bookmarkStart w:id="103" w:name="_Toc366743975"/>
                  <w:bookmarkStart w:id="104" w:name="_Toc366744055"/>
                  <w:bookmarkStart w:id="105" w:name="_Toc366744936"/>
                  <w:r w:rsidRPr="00B8433C">
                    <w:t xml:space="preserve">Figure </w:t>
                  </w:r>
                  <w:bookmarkEnd w:id="102"/>
                  <w:r>
                    <w:t>10</w:t>
                  </w:r>
                  <w:r w:rsidRPr="00B8433C">
                    <w:t>: Total ODA Commitments to Palestine by year – 2007/201</w:t>
                  </w:r>
                  <w:r>
                    <w:t>2</w:t>
                  </w:r>
                  <w:r w:rsidRPr="00B8433C">
                    <w:t xml:space="preserve"> – € Millions</w:t>
                  </w:r>
                  <w:bookmarkEnd w:id="103"/>
                  <w:bookmarkEnd w:id="104"/>
                  <w:bookmarkEnd w:id="105"/>
                </w:p>
                <w:p w:rsidR="005D72C2" w:rsidRPr="002430D3" w:rsidRDefault="005D72C2" w:rsidP="00A23C41">
                  <w:pPr>
                    <w:spacing w:before="0" w:after="0"/>
                    <w:suppressOverlap/>
                    <w:rPr>
                      <w:rFonts w:ascii="Times New Roman" w:hAnsi="Times New Roman"/>
                      <w:smallCaps/>
                      <w:sz w:val="18"/>
                      <w:szCs w:val="18"/>
                    </w:rPr>
                  </w:pPr>
                  <w:r w:rsidRPr="004F4FDE">
                    <w:rPr>
                      <w:rFonts w:ascii="Times New Roman" w:hAnsi="Times New Roman"/>
                      <w:smallCaps/>
                      <w:noProof/>
                      <w:sz w:val="18"/>
                      <w:szCs w:val="18"/>
                      <w:lang w:val="it-IT" w:eastAsia="it-IT"/>
                    </w:rPr>
                    <w:drawing>
                      <wp:inline distT="0" distB="0" distL="0" distR="0">
                        <wp:extent cx="3355891" cy="1716656"/>
                        <wp:effectExtent l="0" t="0" r="0" b="0"/>
                        <wp:docPr id="105" name="Grafico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55"/>
                          </a:graphicData>
                        </a:graphic>
                      </wp:inline>
                    </w:drawing>
                  </w:r>
                </w:p>
                <w:p w:rsidR="005D72C2" w:rsidRDefault="005D72C2" w:rsidP="00A23C41">
                  <w:pPr>
                    <w:jc w:val="center"/>
                  </w:pPr>
                  <w:r w:rsidRPr="004C203D">
                    <w:rPr>
                      <w:rFonts w:ascii="Times New Roman" w:hAnsi="Times New Roman"/>
                      <w:i/>
                      <w:sz w:val="18"/>
                      <w:szCs w:val="18"/>
                    </w:rPr>
                    <w:t>Source: OECD CRS database and DRN elaboration</w:t>
                  </w:r>
                </w:p>
              </w:txbxContent>
            </v:textbox>
            <w10:wrap type="square"/>
          </v:shape>
        </w:pict>
      </w:r>
    </w:p>
    <w:p w:rsidR="00A23C41" w:rsidRPr="00EF09A2" w:rsidRDefault="00A23C41" w:rsidP="00A23C41">
      <w:pPr>
        <w:spacing w:before="0" w:after="0"/>
        <w:rPr>
          <w:rFonts w:ascii="Arial" w:hAnsi="Arial" w:cs="Arial"/>
          <w:sz w:val="24"/>
          <w:szCs w:val="24"/>
        </w:rPr>
      </w:pPr>
    </w:p>
    <w:p w:rsidR="00A23C41" w:rsidRPr="00EF09A2" w:rsidRDefault="00A23C41" w:rsidP="00A23C41">
      <w:pPr>
        <w:spacing w:before="0" w:after="0"/>
        <w:rPr>
          <w:rFonts w:ascii="Arial" w:hAnsi="Arial" w:cs="Arial"/>
          <w:sz w:val="24"/>
          <w:szCs w:val="24"/>
        </w:rPr>
      </w:pPr>
    </w:p>
    <w:p w:rsidR="00A23C41" w:rsidRPr="00EF09A2" w:rsidRDefault="00A23C41" w:rsidP="00A23C41">
      <w:pPr>
        <w:spacing w:before="0" w:after="0"/>
        <w:rPr>
          <w:rFonts w:ascii="Arial" w:hAnsi="Arial" w:cs="Arial"/>
          <w:sz w:val="24"/>
          <w:szCs w:val="24"/>
        </w:rPr>
      </w:pPr>
    </w:p>
    <w:p w:rsidR="00A23C41" w:rsidRPr="00EF09A2" w:rsidRDefault="00A23C41" w:rsidP="00A23C41">
      <w:pPr>
        <w:spacing w:before="0" w:after="0"/>
        <w:rPr>
          <w:rFonts w:ascii="Arial" w:hAnsi="Arial" w:cs="Arial"/>
          <w:sz w:val="24"/>
          <w:szCs w:val="24"/>
        </w:rPr>
      </w:pPr>
    </w:p>
    <w:p w:rsidR="00A23C41" w:rsidRPr="00EF09A2" w:rsidRDefault="00A23C41" w:rsidP="00A23C41">
      <w:pPr>
        <w:spacing w:before="0" w:after="0"/>
        <w:rPr>
          <w:rFonts w:ascii="Arial" w:hAnsi="Arial" w:cs="Arial"/>
          <w:sz w:val="24"/>
          <w:szCs w:val="24"/>
        </w:rPr>
      </w:pPr>
    </w:p>
    <w:p w:rsidR="00A23C41" w:rsidRPr="00EF09A2" w:rsidRDefault="00A23C41" w:rsidP="00A23C41">
      <w:pPr>
        <w:spacing w:before="0" w:after="0"/>
        <w:rPr>
          <w:rFonts w:ascii="Arial" w:hAnsi="Arial" w:cs="Arial"/>
          <w:sz w:val="24"/>
          <w:szCs w:val="24"/>
        </w:rPr>
      </w:pPr>
    </w:p>
    <w:p w:rsidR="00A23C41" w:rsidRPr="00EF09A2" w:rsidRDefault="00A23C41" w:rsidP="00A23C41">
      <w:pPr>
        <w:spacing w:before="0" w:after="0"/>
        <w:rPr>
          <w:rFonts w:ascii="Arial" w:hAnsi="Arial" w:cs="Arial"/>
          <w:sz w:val="24"/>
          <w:szCs w:val="24"/>
        </w:rPr>
      </w:pPr>
    </w:p>
    <w:p w:rsidR="00A23C41" w:rsidRPr="00EF09A2" w:rsidRDefault="00A23C41" w:rsidP="00A23C41">
      <w:pPr>
        <w:spacing w:before="0" w:after="0"/>
        <w:rPr>
          <w:rFonts w:ascii="Arial" w:hAnsi="Arial" w:cs="Arial"/>
          <w:sz w:val="24"/>
          <w:szCs w:val="24"/>
        </w:rPr>
      </w:pPr>
    </w:p>
    <w:p w:rsidR="00A23C41" w:rsidRPr="00EF09A2" w:rsidRDefault="00A23C41" w:rsidP="00A23C41">
      <w:pPr>
        <w:spacing w:before="0" w:after="0"/>
        <w:rPr>
          <w:rFonts w:ascii="Arial" w:hAnsi="Arial" w:cs="Arial"/>
          <w:sz w:val="24"/>
          <w:szCs w:val="24"/>
        </w:rPr>
      </w:pPr>
    </w:p>
    <w:p w:rsidR="00A23C41" w:rsidRPr="00EF09A2" w:rsidRDefault="00A23C41" w:rsidP="00A23C41">
      <w:pPr>
        <w:spacing w:before="0" w:after="0"/>
        <w:rPr>
          <w:rFonts w:ascii="Arial" w:hAnsi="Arial" w:cs="Arial"/>
          <w:sz w:val="24"/>
          <w:szCs w:val="24"/>
        </w:rPr>
      </w:pPr>
    </w:p>
    <w:p w:rsidR="00A23C41" w:rsidRPr="00EF09A2" w:rsidRDefault="00A23C41" w:rsidP="00A23C41">
      <w:pPr>
        <w:spacing w:before="0" w:after="0"/>
        <w:rPr>
          <w:rFonts w:ascii="Arial" w:hAnsi="Arial" w:cs="Arial"/>
          <w:sz w:val="24"/>
          <w:szCs w:val="24"/>
        </w:rPr>
      </w:pPr>
    </w:p>
    <w:p w:rsidR="00A23C41" w:rsidRPr="00EF09A2" w:rsidRDefault="00A23C41" w:rsidP="00A23C41">
      <w:pPr>
        <w:spacing w:before="0" w:after="0"/>
        <w:rPr>
          <w:rFonts w:ascii="Arial" w:hAnsi="Arial" w:cs="Arial"/>
          <w:sz w:val="24"/>
          <w:szCs w:val="24"/>
        </w:rPr>
      </w:pPr>
    </w:p>
    <w:p w:rsidR="00A23C41" w:rsidRPr="00EF09A2" w:rsidRDefault="00A23C41" w:rsidP="00A23C41">
      <w:pPr>
        <w:spacing w:before="0" w:after="0"/>
        <w:rPr>
          <w:rFonts w:ascii="Arial" w:hAnsi="Arial" w:cs="Arial"/>
          <w:sz w:val="24"/>
          <w:szCs w:val="24"/>
        </w:rPr>
      </w:pPr>
    </w:p>
    <w:p w:rsidR="00A23C41" w:rsidRPr="00EF09A2" w:rsidRDefault="00A23C41" w:rsidP="00A23C41">
      <w:pPr>
        <w:spacing w:before="0" w:after="0"/>
        <w:rPr>
          <w:rFonts w:ascii="Arial" w:hAnsi="Arial" w:cs="Arial"/>
          <w:sz w:val="24"/>
          <w:szCs w:val="24"/>
        </w:rPr>
      </w:pPr>
    </w:p>
    <w:p w:rsidR="00A23C41" w:rsidRPr="00EF09A2" w:rsidRDefault="00A23C41" w:rsidP="00A23C41">
      <w:pPr>
        <w:spacing w:before="0" w:after="0"/>
        <w:rPr>
          <w:rFonts w:ascii="Arial" w:hAnsi="Arial" w:cs="Arial"/>
          <w:sz w:val="24"/>
          <w:szCs w:val="24"/>
        </w:rPr>
      </w:pPr>
      <w:r w:rsidRPr="004F4FDE">
        <w:rPr>
          <w:rFonts w:ascii="Arial" w:hAnsi="Arial" w:cs="Arial"/>
          <w:sz w:val="22"/>
          <w:szCs w:val="22"/>
        </w:rPr>
        <w:t>Figure 10 shows that ODA commitments reached a peak in 2009 with a total of US$2bn; from 2010 commitments decreased dropping by more than 30% in 2012 when the total amount was €1.2bn</w:t>
      </w:r>
      <w:r w:rsidRPr="00EF09A2">
        <w:rPr>
          <w:rFonts w:ascii="Arial" w:hAnsi="Arial" w:cs="Arial"/>
          <w:sz w:val="24"/>
          <w:szCs w:val="24"/>
        </w:rPr>
        <w:t xml:space="preserve">. </w:t>
      </w:r>
    </w:p>
    <w:p w:rsidR="00A23C41" w:rsidRPr="00EF09A2" w:rsidRDefault="00A43E18" w:rsidP="00A23C41">
      <w:pPr>
        <w:spacing w:before="0" w:after="0"/>
        <w:rPr>
          <w:rFonts w:ascii="Arial" w:hAnsi="Arial" w:cs="Arial"/>
          <w:sz w:val="24"/>
          <w:szCs w:val="24"/>
        </w:rPr>
      </w:pPr>
      <w:r w:rsidRPr="00A43E18">
        <w:rPr>
          <w:rFonts w:ascii="Arial" w:hAnsi="Arial" w:cs="Arial"/>
          <w:noProof/>
          <w:sz w:val="24"/>
          <w:szCs w:val="24"/>
        </w:rPr>
        <w:pict>
          <v:shape id="Text Box 10" o:spid="_x0000_s1112" type="#_x0000_t202" style="position:absolute;left:0;text-align:left;margin-left:78.75pt;margin-top:9.35pt;width:283.5pt;height:235.55pt;z-index:251724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" filled="f" strokecolor="#000090">
            <v:path arrowok="t"/>
            <v:textbox>
              <w:txbxContent>
                <w:p w:rsidR="005D72C2" w:rsidRPr="00DB65CC" w:rsidRDefault="005D72C2" w:rsidP="00D714DB">
                  <w:pPr>
                    <w:pStyle w:val="Didascalia"/>
                  </w:pPr>
                  <w:bookmarkStart w:id="106" w:name="_Toc366743976"/>
                  <w:bookmarkStart w:id="107" w:name="_Toc366744056"/>
                  <w:bookmarkStart w:id="108" w:name="_Toc366744937"/>
                  <w:r w:rsidRPr="00DB65CC">
                    <w:t xml:space="preserve">Figure </w:t>
                  </w:r>
                  <w:r>
                    <w:t>11</w:t>
                  </w:r>
                  <w:r w:rsidRPr="00DB65CC">
                    <w:t>: Total ODA Commitments to Palestine by Donors – 2007/2012 - %</w:t>
                  </w:r>
                  <w:bookmarkEnd w:id="106"/>
                  <w:bookmarkEnd w:id="107"/>
                  <w:bookmarkEnd w:id="108"/>
                </w:p>
                <w:p w:rsidR="005D72C2" w:rsidRPr="002430D3" w:rsidRDefault="005D72C2" w:rsidP="00A23C41">
                  <w:pPr>
                    <w:spacing w:before="0" w:after="0"/>
                    <w:suppressOverlap/>
                    <w:jc w:val="center"/>
                  </w:pPr>
                  <w:r w:rsidRPr="004F4FDE">
                    <w:rPr>
                      <w:noProof/>
                      <w:lang w:val="it-IT" w:eastAsia="it-IT"/>
                    </w:rPr>
                    <w:drawing>
                      <wp:inline distT="0" distB="0" distL="0" distR="0">
                        <wp:extent cx="3407434" cy="2277373"/>
                        <wp:effectExtent l="0" t="0" r="0" b="0"/>
                        <wp:docPr id="106" name="Grafico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6"/>
                          </a:graphicData>
                        </a:graphic>
                      </wp:inline>
                    </w:drawing>
                  </w:r>
                </w:p>
                <w:p w:rsidR="005D72C2" w:rsidRDefault="005D72C2" w:rsidP="00A23C41">
                  <w:pPr>
                    <w:jc w:val="center"/>
                  </w:pPr>
                  <w:r w:rsidRPr="004C203D">
                    <w:rPr>
                      <w:rFonts w:ascii="Times New Roman" w:hAnsi="Times New Roman"/>
                      <w:i/>
                      <w:sz w:val="18"/>
                      <w:szCs w:val="18"/>
                    </w:rPr>
                    <w:t>Source: OECD CRS database and DRN elaboration</w:t>
                  </w:r>
                </w:p>
              </w:txbxContent>
            </v:textbox>
            <w10:wrap type="square"/>
          </v:shape>
        </w:pict>
      </w:r>
    </w:p>
    <w:p w:rsidR="00A23C41" w:rsidRPr="00EF09A2" w:rsidRDefault="00A23C41" w:rsidP="00A23C41">
      <w:pPr>
        <w:spacing w:before="0" w:after="0"/>
        <w:rPr>
          <w:rFonts w:ascii="Arial" w:hAnsi="Arial" w:cs="Arial"/>
          <w:sz w:val="24"/>
          <w:szCs w:val="24"/>
        </w:rPr>
      </w:pPr>
    </w:p>
    <w:p w:rsidR="00A23C41" w:rsidRPr="00EF09A2" w:rsidRDefault="00A23C41" w:rsidP="00A23C41">
      <w:pPr>
        <w:spacing w:before="0" w:after="0"/>
        <w:rPr>
          <w:rFonts w:ascii="Arial" w:hAnsi="Arial" w:cs="Arial"/>
          <w:sz w:val="24"/>
          <w:szCs w:val="24"/>
        </w:rPr>
      </w:pPr>
    </w:p>
    <w:p w:rsidR="00A23C41" w:rsidRPr="00EF09A2" w:rsidRDefault="00A23C41" w:rsidP="00A23C41">
      <w:pPr>
        <w:spacing w:before="0" w:after="0"/>
        <w:rPr>
          <w:rFonts w:ascii="Arial" w:hAnsi="Arial" w:cs="Arial"/>
          <w:sz w:val="24"/>
          <w:szCs w:val="24"/>
        </w:rPr>
      </w:pPr>
    </w:p>
    <w:p w:rsidR="00A23C41" w:rsidRPr="00EF09A2" w:rsidRDefault="00A23C41" w:rsidP="00A23C41">
      <w:pPr>
        <w:spacing w:before="0" w:after="0"/>
        <w:rPr>
          <w:rFonts w:ascii="Arial" w:hAnsi="Arial" w:cs="Arial"/>
          <w:sz w:val="24"/>
          <w:szCs w:val="24"/>
        </w:rPr>
      </w:pPr>
    </w:p>
    <w:p w:rsidR="00A23C41" w:rsidRPr="00EF09A2" w:rsidRDefault="00A23C41" w:rsidP="00A23C41">
      <w:pPr>
        <w:spacing w:before="0" w:after="0"/>
        <w:rPr>
          <w:rFonts w:ascii="Arial" w:hAnsi="Arial" w:cs="Arial"/>
          <w:sz w:val="24"/>
          <w:szCs w:val="24"/>
        </w:rPr>
      </w:pPr>
    </w:p>
    <w:p w:rsidR="00A23C41" w:rsidRPr="00EF09A2" w:rsidRDefault="00A23C41" w:rsidP="00A23C41">
      <w:pPr>
        <w:spacing w:before="0" w:after="0"/>
        <w:rPr>
          <w:rFonts w:ascii="Arial" w:hAnsi="Arial" w:cs="Arial"/>
          <w:sz w:val="24"/>
          <w:szCs w:val="24"/>
        </w:rPr>
      </w:pPr>
    </w:p>
    <w:p w:rsidR="00A23C41" w:rsidRPr="00EF09A2" w:rsidRDefault="00A23C41" w:rsidP="00A23C41">
      <w:pPr>
        <w:spacing w:before="0" w:after="0"/>
        <w:rPr>
          <w:rFonts w:ascii="Arial" w:hAnsi="Arial" w:cs="Arial"/>
          <w:sz w:val="24"/>
          <w:szCs w:val="24"/>
        </w:rPr>
      </w:pPr>
    </w:p>
    <w:p w:rsidR="00A23C41" w:rsidRPr="00EF09A2" w:rsidRDefault="00A23C41" w:rsidP="00A23C41">
      <w:pPr>
        <w:spacing w:before="0" w:after="0"/>
        <w:rPr>
          <w:rFonts w:ascii="Arial" w:hAnsi="Arial" w:cs="Arial"/>
          <w:sz w:val="24"/>
          <w:szCs w:val="24"/>
        </w:rPr>
      </w:pPr>
    </w:p>
    <w:p w:rsidR="00A23C41" w:rsidRPr="00EF09A2" w:rsidRDefault="00A23C41" w:rsidP="00A23C41">
      <w:pPr>
        <w:spacing w:before="0" w:after="0"/>
        <w:rPr>
          <w:rFonts w:ascii="Arial" w:hAnsi="Arial" w:cs="Arial"/>
          <w:sz w:val="24"/>
          <w:szCs w:val="24"/>
        </w:rPr>
      </w:pPr>
    </w:p>
    <w:p w:rsidR="00A23C41" w:rsidRPr="00EF09A2" w:rsidRDefault="00A23C41" w:rsidP="00A23C41">
      <w:pPr>
        <w:spacing w:before="0" w:after="0"/>
        <w:rPr>
          <w:rFonts w:ascii="Arial" w:hAnsi="Arial" w:cs="Arial"/>
          <w:sz w:val="24"/>
          <w:szCs w:val="24"/>
        </w:rPr>
      </w:pPr>
    </w:p>
    <w:p w:rsidR="00A23C41" w:rsidRPr="00EF09A2" w:rsidRDefault="00A23C41" w:rsidP="00A23C41">
      <w:pPr>
        <w:spacing w:before="0" w:after="0"/>
        <w:rPr>
          <w:rFonts w:ascii="Arial" w:hAnsi="Arial" w:cs="Arial"/>
          <w:sz w:val="24"/>
          <w:szCs w:val="24"/>
        </w:rPr>
      </w:pPr>
    </w:p>
    <w:p w:rsidR="00A23C41" w:rsidRPr="00EF09A2" w:rsidRDefault="00A23C41" w:rsidP="00A23C41">
      <w:pPr>
        <w:spacing w:before="0" w:after="0"/>
        <w:rPr>
          <w:rFonts w:ascii="Arial" w:hAnsi="Arial" w:cs="Arial"/>
          <w:sz w:val="24"/>
          <w:szCs w:val="24"/>
        </w:rPr>
      </w:pPr>
    </w:p>
    <w:p w:rsidR="00A23C41" w:rsidRPr="00EF09A2" w:rsidRDefault="00A23C41" w:rsidP="00A23C41">
      <w:pPr>
        <w:spacing w:before="0" w:after="0"/>
        <w:rPr>
          <w:rFonts w:ascii="Arial" w:hAnsi="Arial" w:cs="Arial"/>
          <w:sz w:val="24"/>
          <w:szCs w:val="24"/>
        </w:rPr>
      </w:pPr>
    </w:p>
    <w:p w:rsidR="00A23C41" w:rsidRPr="00EF09A2" w:rsidRDefault="00A23C41" w:rsidP="00A23C41">
      <w:pPr>
        <w:spacing w:before="0" w:after="0"/>
        <w:rPr>
          <w:rFonts w:ascii="Arial" w:hAnsi="Arial" w:cs="Arial"/>
          <w:sz w:val="24"/>
          <w:szCs w:val="24"/>
        </w:rPr>
      </w:pPr>
    </w:p>
    <w:p w:rsidR="00A23C41" w:rsidRPr="00EF09A2" w:rsidRDefault="00A23C41" w:rsidP="00A23C41">
      <w:pPr>
        <w:spacing w:before="0" w:after="0"/>
        <w:rPr>
          <w:rFonts w:ascii="Arial" w:hAnsi="Arial" w:cs="Arial"/>
          <w:sz w:val="24"/>
          <w:szCs w:val="24"/>
        </w:rPr>
      </w:pPr>
    </w:p>
    <w:p w:rsidR="00A23C41" w:rsidRPr="00EF09A2" w:rsidRDefault="00A23C41" w:rsidP="00A23C41">
      <w:pPr>
        <w:spacing w:before="0" w:after="0"/>
        <w:rPr>
          <w:rFonts w:ascii="Arial" w:hAnsi="Arial" w:cs="Arial"/>
          <w:sz w:val="24"/>
          <w:szCs w:val="24"/>
        </w:rPr>
      </w:pPr>
    </w:p>
    <w:p w:rsidR="00A23C41" w:rsidRPr="00EF09A2" w:rsidRDefault="00A23C41" w:rsidP="00A23C41">
      <w:pPr>
        <w:spacing w:before="0" w:after="0"/>
        <w:rPr>
          <w:rFonts w:ascii="Arial" w:hAnsi="Arial" w:cs="Arial"/>
          <w:sz w:val="24"/>
          <w:szCs w:val="24"/>
        </w:rPr>
      </w:pPr>
    </w:p>
    <w:p w:rsidR="00A23C41" w:rsidRPr="00EF09A2" w:rsidRDefault="00A23C41" w:rsidP="00A23C41">
      <w:pPr>
        <w:spacing w:before="0" w:after="0"/>
        <w:rPr>
          <w:rFonts w:ascii="Arial" w:hAnsi="Arial" w:cs="Arial"/>
          <w:sz w:val="24"/>
          <w:szCs w:val="24"/>
        </w:rPr>
      </w:pPr>
    </w:p>
    <w:p w:rsidR="00A23C41" w:rsidRPr="00EF09A2" w:rsidRDefault="00A23C41" w:rsidP="00A23C41">
      <w:pPr>
        <w:spacing w:before="0" w:after="0"/>
        <w:rPr>
          <w:rFonts w:ascii="Arial" w:hAnsi="Arial" w:cs="Arial"/>
          <w:sz w:val="24"/>
          <w:szCs w:val="24"/>
        </w:rPr>
      </w:pPr>
    </w:p>
    <w:p w:rsidR="00A23C41" w:rsidRPr="004F4FDE" w:rsidRDefault="00A23C41" w:rsidP="00A23C41">
      <w:pPr>
        <w:spacing w:before="0" w:after="0"/>
        <w:rPr>
          <w:rFonts w:ascii="Arial" w:hAnsi="Arial" w:cs="Arial"/>
          <w:sz w:val="22"/>
          <w:szCs w:val="22"/>
        </w:rPr>
      </w:pPr>
      <w:r w:rsidRPr="004F4FDE">
        <w:rPr>
          <w:rFonts w:ascii="Arial" w:hAnsi="Arial" w:cs="Arial"/>
          <w:sz w:val="22"/>
          <w:szCs w:val="22"/>
        </w:rPr>
        <w:t>Figure 11, based on OECD/DAC data, (</w:t>
      </w:r>
      <w:r w:rsidRPr="004F4FDE">
        <w:rPr>
          <w:rFonts w:ascii="Arial" w:hAnsi="Arial" w:cs="Arial"/>
          <w:sz w:val="22"/>
          <w:szCs w:val="22"/>
          <w:u w:val="single"/>
        </w:rPr>
        <w:t>not including significant contributions from Arab funds and States</w:t>
      </w:r>
      <w:r w:rsidRPr="004F4FDE">
        <w:rPr>
          <w:rFonts w:ascii="Arial" w:hAnsi="Arial" w:cs="Arial"/>
          <w:sz w:val="22"/>
          <w:szCs w:val="22"/>
        </w:rPr>
        <w:t>), shows that the EU Member States represents the largest donors to Palestine with a total aggregated amount of €2.</w:t>
      </w:r>
      <w:r>
        <w:rPr>
          <w:rFonts w:ascii="Arial" w:hAnsi="Arial" w:cs="Arial"/>
          <w:sz w:val="22"/>
          <w:szCs w:val="22"/>
        </w:rPr>
        <w:t>5</w:t>
      </w:r>
      <w:r w:rsidRPr="004F4FDE">
        <w:rPr>
          <w:rFonts w:ascii="Arial" w:hAnsi="Arial" w:cs="Arial"/>
          <w:sz w:val="22"/>
          <w:szCs w:val="22"/>
        </w:rPr>
        <w:t>bn, accounting for 2</w:t>
      </w:r>
      <w:r>
        <w:rPr>
          <w:rFonts w:ascii="Arial" w:hAnsi="Arial" w:cs="Arial"/>
          <w:sz w:val="22"/>
          <w:szCs w:val="22"/>
        </w:rPr>
        <w:t>8</w:t>
      </w:r>
      <w:r w:rsidRPr="004F4FDE">
        <w:rPr>
          <w:rFonts w:ascii="Arial" w:hAnsi="Arial" w:cs="Arial"/>
          <w:sz w:val="22"/>
          <w:szCs w:val="22"/>
        </w:rPr>
        <w:t xml:space="preserve">% of total commitments. </w:t>
      </w:r>
    </w:p>
    <w:p w:rsidR="00A23C41" w:rsidRPr="0077702C" w:rsidRDefault="00A23C41" w:rsidP="00A23C41">
      <w:pPr>
        <w:spacing w:before="0" w:after="0"/>
        <w:rPr>
          <w:rFonts w:ascii="Arial" w:hAnsi="Arial" w:cs="Arial"/>
          <w:sz w:val="22"/>
          <w:szCs w:val="22"/>
        </w:rPr>
      </w:pPr>
      <w:r w:rsidRPr="0077702C">
        <w:rPr>
          <w:rFonts w:ascii="Arial" w:hAnsi="Arial" w:cs="Arial"/>
          <w:sz w:val="22"/>
          <w:szCs w:val="22"/>
        </w:rPr>
        <w:t xml:space="preserve">In particular, Germany and Norway are the two major donors with €459m and €413m; and France and Spain rank third and fourth with contributions each amounting to €281m and €260m of, while Sweden ranks fifth with €236m. </w:t>
      </w:r>
    </w:p>
    <w:p w:rsidR="00A23C41" w:rsidRPr="00EF09A2" w:rsidRDefault="00A23C41" w:rsidP="00A23C41">
      <w:pPr>
        <w:spacing w:before="0" w:after="0"/>
        <w:rPr>
          <w:rFonts w:ascii="Arial" w:hAnsi="Arial" w:cs="Arial"/>
          <w:sz w:val="24"/>
          <w:szCs w:val="24"/>
        </w:rPr>
      </w:pPr>
    </w:p>
    <w:p w:rsidR="00A23C41" w:rsidRPr="00CB5EFC" w:rsidRDefault="00A23C41" w:rsidP="00A23C41">
      <w:pPr>
        <w:spacing w:before="0" w:after="0"/>
        <w:rPr>
          <w:rFonts w:ascii="Arial" w:hAnsi="Arial" w:cs="Arial"/>
          <w:sz w:val="22"/>
          <w:szCs w:val="22"/>
        </w:rPr>
      </w:pPr>
      <w:r w:rsidRPr="00CB5EFC">
        <w:rPr>
          <w:rFonts w:ascii="Arial" w:hAnsi="Arial" w:cs="Arial"/>
          <w:sz w:val="22"/>
          <w:szCs w:val="22"/>
        </w:rPr>
        <w:t xml:space="preserve">United States follow the EU Member states with a total contribution of US$2.3bn while the EU Institutions rank third with a total contribution of US$1.7bn. </w:t>
      </w:r>
    </w:p>
    <w:p w:rsidR="00A23C41" w:rsidRPr="00CB5EFC" w:rsidRDefault="00A23C41" w:rsidP="00A23C41">
      <w:pPr>
        <w:spacing w:before="0" w:after="0"/>
        <w:rPr>
          <w:rFonts w:ascii="Arial" w:hAnsi="Arial" w:cs="Arial"/>
          <w:sz w:val="22"/>
          <w:szCs w:val="22"/>
        </w:rPr>
      </w:pPr>
    </w:p>
    <w:p w:rsidR="00A23C41" w:rsidRPr="00CB5EFC" w:rsidRDefault="00A23C41" w:rsidP="00A23C41">
      <w:pPr>
        <w:spacing w:before="0" w:after="0"/>
        <w:rPr>
          <w:rFonts w:ascii="Arial" w:hAnsi="Arial" w:cs="Arial"/>
          <w:sz w:val="22"/>
          <w:szCs w:val="22"/>
        </w:rPr>
      </w:pPr>
      <w:r w:rsidRPr="00CB5EFC">
        <w:rPr>
          <w:rFonts w:ascii="Arial" w:hAnsi="Arial" w:cs="Arial"/>
          <w:sz w:val="22"/>
          <w:szCs w:val="22"/>
        </w:rPr>
        <w:t>The UN family ranks only fifth and deployed a total of US$1.14bn, of which 97% is funded by UNRWA.</w:t>
      </w:r>
    </w:p>
    <w:p w:rsidR="00A23C41" w:rsidRPr="00EF09A2" w:rsidRDefault="00A23C41" w:rsidP="00A23C41">
      <w:pPr>
        <w:spacing w:before="0" w:after="0"/>
        <w:rPr>
          <w:rFonts w:ascii="Arial" w:hAnsi="Arial" w:cs="Arial"/>
          <w:sz w:val="24"/>
          <w:szCs w:val="24"/>
        </w:rPr>
      </w:pPr>
    </w:p>
    <w:p w:rsidR="00A23C41" w:rsidRPr="00E601AA" w:rsidRDefault="00A23C41" w:rsidP="00A23C41">
      <w:pPr>
        <w:spacing w:before="0" w:after="0"/>
        <w:rPr>
          <w:rFonts w:ascii="Arial" w:hAnsi="Arial" w:cs="Arial"/>
          <w:sz w:val="22"/>
          <w:szCs w:val="22"/>
        </w:rPr>
      </w:pPr>
      <w:r w:rsidRPr="00E601AA">
        <w:rPr>
          <w:rFonts w:ascii="Arial" w:hAnsi="Arial" w:cs="Arial"/>
          <w:sz w:val="22"/>
          <w:szCs w:val="22"/>
        </w:rPr>
        <w:t xml:space="preserve">In terms of </w:t>
      </w:r>
      <w:proofErr w:type="spellStart"/>
      <w:r w:rsidRPr="00E601AA">
        <w:rPr>
          <w:rFonts w:ascii="Arial" w:hAnsi="Arial" w:cs="Arial"/>
          <w:sz w:val="22"/>
          <w:szCs w:val="22"/>
        </w:rPr>
        <w:t>sectoral</w:t>
      </w:r>
      <w:proofErr w:type="spellEnd"/>
      <w:r w:rsidRPr="00E601AA">
        <w:rPr>
          <w:rFonts w:ascii="Arial" w:hAnsi="Arial" w:cs="Arial"/>
          <w:sz w:val="22"/>
          <w:szCs w:val="22"/>
        </w:rPr>
        <w:t xml:space="preserve"> distribution (see Figure 12) 78% of commitments have a specific </w:t>
      </w:r>
      <w:proofErr w:type="spellStart"/>
      <w:r w:rsidRPr="00E601AA">
        <w:rPr>
          <w:rFonts w:ascii="Arial" w:hAnsi="Arial" w:cs="Arial"/>
          <w:sz w:val="22"/>
          <w:szCs w:val="22"/>
        </w:rPr>
        <w:t>sectoral</w:t>
      </w:r>
      <w:proofErr w:type="spellEnd"/>
      <w:r w:rsidRPr="00E601AA">
        <w:rPr>
          <w:rFonts w:ascii="Arial" w:hAnsi="Arial" w:cs="Arial"/>
          <w:sz w:val="22"/>
          <w:szCs w:val="22"/>
        </w:rPr>
        <w:t xml:space="preserve"> allocation of which “Social Infrastructure &amp; Services” absorbs the majority of funds with a total of €5.5bn. “Commodity Aid / General Program Assistance” follows with €547m while “Multi-Sector/Cross-Cutting”, including gender and environment interventions, ranks third with €347m. Last, “Economic Infrastructure &amp; Services” and “Production Sectors” receive €277m each. </w:t>
      </w:r>
    </w:p>
    <w:p w:rsidR="00A23C41" w:rsidRPr="00EF09A2" w:rsidRDefault="00A23C41" w:rsidP="00A23C41">
      <w:pPr>
        <w:spacing w:before="0" w:after="0"/>
        <w:rPr>
          <w:rFonts w:ascii="Arial" w:hAnsi="Arial" w:cs="Arial"/>
          <w:sz w:val="24"/>
          <w:szCs w:val="24"/>
        </w:rPr>
      </w:pPr>
    </w:p>
    <w:tbl>
      <w:tblPr>
        <w:tblStyle w:val="Grigliatabella"/>
        <w:tblpPr w:leftFromText="141" w:rightFromText="141" w:vertAnchor="text" w:horzAnchor="margin" w:tblpXSpec="center" w:tblpY="160"/>
        <w:tblW w:w="0" w:type="auto"/>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Look w:val="04A0"/>
      </w:tblPr>
      <w:tblGrid>
        <w:gridCol w:w="7981"/>
      </w:tblGrid>
      <w:tr w:rsidR="00A23C41" w:rsidRPr="00EF09A2" w:rsidTr="00A23C41">
        <w:trPr>
          <w:trHeight w:val="1798"/>
        </w:trPr>
        <w:tc>
          <w:tcPr>
            <w:tcW w:w="7981" w:type="dxa"/>
          </w:tcPr>
          <w:p w:rsidR="00A23C41" w:rsidRPr="00CB5EFC" w:rsidRDefault="00A23C41" w:rsidP="00D714DB">
            <w:pPr>
              <w:pStyle w:val="Didascalia"/>
              <w:framePr w:hSpace="0" w:wrap="auto" w:vAnchor="margin" w:hAnchor="text" w:xAlign="left" w:yAlign="inline"/>
              <w:rPr>
                <w:smallCaps/>
              </w:rPr>
            </w:pPr>
            <w:bookmarkStart w:id="109" w:name="_Toc366744938"/>
            <w:r w:rsidRPr="00CB5EFC">
              <w:t>Figure 12: Total ODA Commitments to Palestine by DAC sector 2007/201</w:t>
            </w:r>
            <w:r w:rsidR="00331008">
              <w:t>2</w:t>
            </w:r>
            <w:r w:rsidRPr="00CB5EFC">
              <w:t xml:space="preserve"> – </w:t>
            </w:r>
            <w:r>
              <w:t>€</w:t>
            </w:r>
            <w:r w:rsidRPr="00CB5EFC">
              <w:t xml:space="preserve"> Millions</w:t>
            </w:r>
            <w:bookmarkEnd w:id="109"/>
          </w:p>
          <w:p w:rsidR="00A23C41" w:rsidRPr="00EF09A2" w:rsidRDefault="00A23C41" w:rsidP="00A23C41">
            <w:pPr>
              <w:spacing w:before="0" w:after="0"/>
              <w:jc w:val="center"/>
              <w:rPr>
                <w:rFonts w:ascii="Arial" w:hAnsi="Arial" w:cs="Arial"/>
                <w:sz w:val="24"/>
                <w:szCs w:val="24"/>
              </w:rPr>
            </w:pPr>
            <w:r w:rsidRPr="00CB5EFC">
              <w:rPr>
                <w:rFonts w:ascii="Arial" w:hAnsi="Arial" w:cs="Arial"/>
                <w:noProof/>
                <w:sz w:val="24"/>
                <w:szCs w:val="24"/>
                <w:lang w:val="it-IT" w:eastAsia="it-IT"/>
              </w:rPr>
              <w:drawing>
                <wp:inline distT="0" distB="0" distL="0" distR="0">
                  <wp:extent cx="4572000" cy="1647825"/>
                  <wp:effectExtent l="0" t="0" r="0" b="0"/>
                  <wp:docPr id="114" name="Grafico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57"/>
                    </a:graphicData>
                  </a:graphic>
                </wp:inline>
              </w:drawing>
            </w:r>
          </w:p>
        </w:tc>
      </w:tr>
    </w:tbl>
    <w:p w:rsidR="00A23C41" w:rsidRPr="00EF09A2" w:rsidRDefault="00A23C41" w:rsidP="00A23C41">
      <w:pPr>
        <w:rPr>
          <w:rFonts w:ascii="Arial" w:hAnsi="Arial" w:cs="Arial"/>
        </w:rPr>
      </w:pPr>
    </w:p>
    <w:p w:rsidR="00A23C41" w:rsidRPr="00EF09A2" w:rsidRDefault="00A23C41" w:rsidP="00A23C41">
      <w:pPr>
        <w:rPr>
          <w:rFonts w:ascii="Arial" w:hAnsi="Arial" w:cs="Arial"/>
        </w:rPr>
      </w:pPr>
    </w:p>
    <w:p w:rsidR="00A23C41" w:rsidRPr="00EF09A2" w:rsidRDefault="00A23C41" w:rsidP="00A23C41">
      <w:pPr>
        <w:rPr>
          <w:rFonts w:ascii="Arial" w:hAnsi="Arial" w:cs="Arial"/>
        </w:rPr>
      </w:pPr>
    </w:p>
    <w:p w:rsidR="00A23C41" w:rsidRPr="00EF09A2" w:rsidRDefault="00A23C41" w:rsidP="00A23C41">
      <w:pPr>
        <w:rPr>
          <w:rFonts w:ascii="Arial" w:hAnsi="Arial" w:cs="Arial"/>
        </w:rPr>
      </w:pPr>
    </w:p>
    <w:p w:rsidR="00A23C41" w:rsidRDefault="00A23C41" w:rsidP="00A23C41">
      <w:pPr>
        <w:rPr>
          <w:rFonts w:ascii="Arial" w:hAnsi="Arial" w:cs="Arial"/>
        </w:rPr>
      </w:pPr>
    </w:p>
    <w:p w:rsidR="00A23C41" w:rsidRDefault="00A23C41" w:rsidP="00A23C41">
      <w:pPr>
        <w:rPr>
          <w:rFonts w:ascii="Arial" w:hAnsi="Arial" w:cs="Arial"/>
        </w:rPr>
      </w:pPr>
    </w:p>
    <w:p w:rsidR="00A23C41" w:rsidRDefault="00A23C41" w:rsidP="00A23C41">
      <w:pPr>
        <w:rPr>
          <w:rFonts w:ascii="Arial" w:hAnsi="Arial" w:cs="Arial"/>
        </w:rPr>
      </w:pPr>
    </w:p>
    <w:p w:rsidR="00A23C41" w:rsidRPr="00EF09A2" w:rsidRDefault="00A23C41" w:rsidP="00A23C41">
      <w:pPr>
        <w:rPr>
          <w:rFonts w:ascii="Arial" w:hAnsi="Arial" w:cs="Arial"/>
        </w:rPr>
      </w:pPr>
    </w:p>
    <w:p w:rsidR="00A23C41" w:rsidRPr="00EF09A2" w:rsidRDefault="00A23C41" w:rsidP="00A23C41">
      <w:pPr>
        <w:rPr>
          <w:rFonts w:ascii="Arial" w:hAnsi="Arial" w:cs="Arial"/>
        </w:rPr>
      </w:pPr>
    </w:p>
    <w:p w:rsidR="00A23C41" w:rsidRPr="00EF09A2" w:rsidRDefault="00A23C41" w:rsidP="00A23C41">
      <w:pPr>
        <w:rPr>
          <w:rFonts w:ascii="Arial" w:hAnsi="Arial" w:cs="Arial"/>
        </w:rPr>
      </w:pPr>
    </w:p>
    <w:p w:rsidR="00A23C41" w:rsidRDefault="00A23C41" w:rsidP="005E7468">
      <w:pPr>
        <w:pStyle w:val="Titolo1"/>
        <w:sectPr w:rsidR="00A23C41" w:rsidSect="00943FF8">
          <w:footerReference w:type="default" r:id="rId158"/>
          <w:pgSz w:w="11906" w:h="16838"/>
          <w:pgMar w:top="1417" w:right="1134" w:bottom="1134" w:left="1134" w:header="708" w:footer="708" w:gutter="0"/>
          <w:cols w:space="708"/>
          <w:docGrid w:linePitch="360"/>
        </w:sectPr>
      </w:pPr>
    </w:p>
    <w:p w:rsidR="0034151E" w:rsidRPr="0098181B" w:rsidRDefault="0034151E" w:rsidP="005E7468">
      <w:pPr>
        <w:pStyle w:val="Titolo1"/>
      </w:pPr>
      <w:bookmarkStart w:id="110" w:name="_Toc382998028"/>
      <w:r w:rsidRPr="0098181B">
        <w:lastRenderedPageBreak/>
        <w:t>ANN</w:t>
      </w:r>
      <w:r w:rsidR="00582AC7" w:rsidRPr="0098181B">
        <w:t xml:space="preserve">EX </w:t>
      </w:r>
      <w:r w:rsidR="00043271">
        <w:t>9</w:t>
      </w:r>
      <w:r w:rsidRPr="0098181B">
        <w:t>: LIST OF DEVCO INTERVENTIONS IN PALESTINE</w:t>
      </w:r>
      <w:bookmarkEnd w:id="110"/>
    </w:p>
    <w:p w:rsidR="00E10F78" w:rsidRDefault="00E10F78" w:rsidP="0034151E">
      <w:pPr>
        <w:spacing w:before="0" w:after="0"/>
        <w:rPr>
          <w:rFonts w:ascii="Arial" w:hAnsi="Arial" w:cs="Arial"/>
          <w:sz w:val="22"/>
          <w:szCs w:val="22"/>
        </w:rPr>
      </w:pPr>
    </w:p>
    <w:p w:rsidR="0034151E" w:rsidRPr="00E10F78" w:rsidRDefault="0034151E" w:rsidP="0034151E">
      <w:pPr>
        <w:spacing w:before="0" w:after="0"/>
        <w:rPr>
          <w:rFonts w:ascii="Arial" w:hAnsi="Arial" w:cs="Arial"/>
          <w:sz w:val="22"/>
          <w:szCs w:val="22"/>
        </w:rPr>
      </w:pPr>
      <w:r w:rsidRPr="00E10F78">
        <w:rPr>
          <w:rFonts w:ascii="Arial" w:hAnsi="Arial" w:cs="Arial"/>
          <w:sz w:val="22"/>
          <w:szCs w:val="22"/>
        </w:rPr>
        <w:t xml:space="preserve">This section presents the list of EC interventions in Palestine during 2008-2012 extracted from the </w:t>
      </w:r>
      <w:proofErr w:type="spellStart"/>
      <w:r w:rsidRPr="00E10F78">
        <w:rPr>
          <w:rFonts w:ascii="Arial" w:hAnsi="Arial" w:cs="Arial"/>
          <w:sz w:val="22"/>
          <w:szCs w:val="22"/>
        </w:rPr>
        <w:t>DataWarehouse</w:t>
      </w:r>
      <w:proofErr w:type="spellEnd"/>
      <w:r w:rsidRPr="00E10F78">
        <w:rPr>
          <w:rFonts w:ascii="Arial" w:hAnsi="Arial" w:cs="Arial"/>
          <w:sz w:val="22"/>
          <w:szCs w:val="22"/>
        </w:rPr>
        <w:t xml:space="preserve"> and CRIS following the methodology described in Annex 5.</w:t>
      </w:r>
    </w:p>
    <w:p w:rsidR="0034151E" w:rsidRPr="00E10F78" w:rsidRDefault="0034151E" w:rsidP="0034151E">
      <w:pPr>
        <w:spacing w:before="0" w:after="0"/>
        <w:rPr>
          <w:rFonts w:ascii="Arial" w:hAnsi="Arial" w:cs="Arial"/>
          <w:sz w:val="22"/>
          <w:szCs w:val="22"/>
        </w:rPr>
      </w:pPr>
    </w:p>
    <w:p w:rsidR="0034151E" w:rsidRPr="00E10F78" w:rsidRDefault="0034151E" w:rsidP="0034151E">
      <w:pPr>
        <w:spacing w:before="0" w:after="0"/>
        <w:rPr>
          <w:rFonts w:ascii="Arial" w:hAnsi="Arial" w:cs="Arial"/>
          <w:sz w:val="22"/>
          <w:szCs w:val="22"/>
        </w:rPr>
      </w:pPr>
      <w:r w:rsidRPr="00E10F78">
        <w:rPr>
          <w:rFonts w:ascii="Arial" w:hAnsi="Arial" w:cs="Arial"/>
          <w:sz w:val="22"/>
          <w:szCs w:val="22"/>
        </w:rPr>
        <w:t>The inventory is organized through two main sections:</w:t>
      </w:r>
    </w:p>
    <w:p w:rsidR="0034151E" w:rsidRPr="00E10F78" w:rsidRDefault="0034151E" w:rsidP="00B54C8F">
      <w:pPr>
        <w:pStyle w:val="Paragrafoelenco"/>
        <w:numPr>
          <w:ilvl w:val="0"/>
          <w:numId w:val="45"/>
        </w:numPr>
        <w:spacing w:before="0" w:after="0"/>
        <w:jc w:val="left"/>
        <w:rPr>
          <w:rFonts w:ascii="Arial" w:hAnsi="Arial" w:cs="Arial"/>
          <w:sz w:val="22"/>
          <w:szCs w:val="22"/>
        </w:rPr>
      </w:pPr>
      <w:r w:rsidRPr="00E10F78">
        <w:rPr>
          <w:rFonts w:ascii="Arial" w:hAnsi="Arial" w:cs="Arial"/>
          <w:sz w:val="22"/>
          <w:szCs w:val="22"/>
        </w:rPr>
        <w:t>Decisions</w:t>
      </w:r>
      <w:r w:rsidRPr="00E10F78">
        <w:rPr>
          <w:rStyle w:val="Rimandonotaapidipagina"/>
          <w:rFonts w:ascii="Arial" w:hAnsi="Arial" w:cs="Arial"/>
          <w:sz w:val="22"/>
          <w:szCs w:val="22"/>
        </w:rPr>
        <w:footnoteReference w:id="88"/>
      </w:r>
      <w:r w:rsidRPr="00E10F78">
        <w:rPr>
          <w:rFonts w:ascii="Arial" w:hAnsi="Arial" w:cs="Arial"/>
          <w:sz w:val="22"/>
          <w:szCs w:val="22"/>
        </w:rPr>
        <w:t xml:space="preserve"> </w:t>
      </w:r>
    </w:p>
    <w:p w:rsidR="0034151E" w:rsidRPr="00E10F78" w:rsidRDefault="0034151E" w:rsidP="00B54C8F">
      <w:pPr>
        <w:pStyle w:val="Paragrafoelenco"/>
        <w:numPr>
          <w:ilvl w:val="0"/>
          <w:numId w:val="45"/>
        </w:numPr>
        <w:spacing w:before="0" w:after="0"/>
        <w:jc w:val="left"/>
        <w:rPr>
          <w:rFonts w:ascii="Arial" w:hAnsi="Arial" w:cs="Arial"/>
          <w:sz w:val="22"/>
          <w:szCs w:val="22"/>
        </w:rPr>
      </w:pPr>
      <w:r w:rsidRPr="00E10F78">
        <w:rPr>
          <w:rFonts w:ascii="Arial" w:hAnsi="Arial" w:cs="Arial"/>
          <w:sz w:val="22"/>
          <w:szCs w:val="22"/>
        </w:rPr>
        <w:t>Contracts</w:t>
      </w:r>
    </w:p>
    <w:p w:rsidR="0034151E" w:rsidRPr="00E10F78" w:rsidRDefault="0034151E" w:rsidP="0034151E">
      <w:pPr>
        <w:spacing w:before="0" w:after="0"/>
        <w:rPr>
          <w:rFonts w:ascii="Arial" w:hAnsi="Arial" w:cs="Arial"/>
          <w:sz w:val="22"/>
          <w:szCs w:val="22"/>
        </w:rPr>
      </w:pPr>
    </w:p>
    <w:p w:rsidR="0034151E" w:rsidRPr="00E10F78" w:rsidRDefault="0034151E" w:rsidP="0034151E">
      <w:pPr>
        <w:spacing w:before="0" w:after="0"/>
        <w:rPr>
          <w:rFonts w:ascii="Arial" w:hAnsi="Arial" w:cs="Arial"/>
          <w:sz w:val="22"/>
          <w:szCs w:val="22"/>
        </w:rPr>
      </w:pPr>
      <w:r w:rsidRPr="00E10F78">
        <w:rPr>
          <w:rFonts w:ascii="Arial" w:hAnsi="Arial" w:cs="Arial"/>
          <w:sz w:val="22"/>
          <w:szCs w:val="22"/>
        </w:rPr>
        <w:t xml:space="preserve">The decisions have been divided by type of cooperation: </w:t>
      </w:r>
    </w:p>
    <w:p w:rsidR="0034151E" w:rsidRPr="00E10F78" w:rsidRDefault="0034151E" w:rsidP="00B54C8F">
      <w:pPr>
        <w:pStyle w:val="Paragrafoelenco"/>
        <w:numPr>
          <w:ilvl w:val="0"/>
          <w:numId w:val="45"/>
        </w:numPr>
        <w:spacing w:before="0" w:after="0"/>
        <w:jc w:val="left"/>
        <w:rPr>
          <w:rFonts w:ascii="Arial" w:hAnsi="Arial" w:cs="Arial"/>
          <w:sz w:val="22"/>
          <w:szCs w:val="22"/>
        </w:rPr>
      </w:pPr>
      <w:r w:rsidRPr="00E10F78">
        <w:rPr>
          <w:rFonts w:ascii="Arial" w:hAnsi="Arial" w:cs="Arial"/>
          <w:sz w:val="22"/>
          <w:szCs w:val="22"/>
        </w:rPr>
        <w:t xml:space="preserve">Bilateral </w:t>
      </w:r>
    </w:p>
    <w:p w:rsidR="0034151E" w:rsidRPr="00E10F78" w:rsidRDefault="0034151E" w:rsidP="00B54C8F">
      <w:pPr>
        <w:pStyle w:val="Paragrafoelenco"/>
        <w:numPr>
          <w:ilvl w:val="0"/>
          <w:numId w:val="45"/>
        </w:numPr>
        <w:spacing w:before="0" w:after="0"/>
        <w:jc w:val="left"/>
        <w:rPr>
          <w:rFonts w:ascii="Arial" w:hAnsi="Arial" w:cs="Arial"/>
          <w:sz w:val="22"/>
          <w:szCs w:val="22"/>
        </w:rPr>
      </w:pPr>
      <w:r w:rsidRPr="00E10F78">
        <w:rPr>
          <w:rFonts w:ascii="Arial" w:hAnsi="Arial" w:cs="Arial"/>
          <w:sz w:val="22"/>
          <w:szCs w:val="22"/>
        </w:rPr>
        <w:t xml:space="preserve">Regional </w:t>
      </w:r>
      <w:r w:rsidRPr="00E10F78">
        <w:rPr>
          <w:rStyle w:val="Rimandonotaapidipagina"/>
          <w:rFonts w:ascii="Arial" w:hAnsi="Arial" w:cs="Arial"/>
          <w:sz w:val="22"/>
          <w:szCs w:val="22"/>
        </w:rPr>
        <w:footnoteReference w:id="89"/>
      </w:r>
    </w:p>
    <w:p w:rsidR="0034151E" w:rsidRPr="00E10F78" w:rsidRDefault="0034151E" w:rsidP="00B54C8F">
      <w:pPr>
        <w:pStyle w:val="Paragrafoelenco"/>
        <w:numPr>
          <w:ilvl w:val="0"/>
          <w:numId w:val="45"/>
        </w:numPr>
        <w:spacing w:before="0" w:after="0"/>
        <w:jc w:val="left"/>
        <w:rPr>
          <w:rFonts w:ascii="Arial" w:hAnsi="Arial" w:cs="Arial"/>
          <w:sz w:val="22"/>
          <w:szCs w:val="22"/>
        </w:rPr>
      </w:pPr>
      <w:r w:rsidRPr="00E10F78">
        <w:rPr>
          <w:rFonts w:ascii="Arial" w:hAnsi="Arial" w:cs="Arial"/>
          <w:sz w:val="22"/>
          <w:szCs w:val="22"/>
        </w:rPr>
        <w:t xml:space="preserve">Multi-country </w:t>
      </w:r>
    </w:p>
    <w:p w:rsidR="0034151E" w:rsidRPr="00E10F78" w:rsidRDefault="0034151E" w:rsidP="0034151E">
      <w:pPr>
        <w:spacing w:before="0" w:after="0"/>
        <w:rPr>
          <w:rFonts w:ascii="Arial" w:hAnsi="Arial" w:cs="Arial"/>
          <w:sz w:val="22"/>
          <w:szCs w:val="22"/>
        </w:rPr>
      </w:pPr>
    </w:p>
    <w:p w:rsidR="0034151E" w:rsidRPr="00E10F78" w:rsidRDefault="0034151E" w:rsidP="0034151E">
      <w:pPr>
        <w:spacing w:before="0" w:after="0"/>
        <w:rPr>
          <w:rFonts w:ascii="Arial" w:hAnsi="Arial" w:cs="Arial"/>
          <w:sz w:val="22"/>
          <w:szCs w:val="22"/>
        </w:rPr>
      </w:pPr>
      <w:r w:rsidRPr="00E10F78">
        <w:rPr>
          <w:rFonts w:ascii="Arial" w:hAnsi="Arial" w:cs="Arial"/>
          <w:sz w:val="22"/>
          <w:szCs w:val="22"/>
        </w:rPr>
        <w:t>While the contracts have been divided by Sector:</w:t>
      </w:r>
    </w:p>
    <w:p w:rsidR="00C81719" w:rsidRPr="00E10F78" w:rsidRDefault="00C81719" w:rsidP="00C81719">
      <w:pPr>
        <w:pStyle w:val="Paragrafoelenco"/>
        <w:numPr>
          <w:ilvl w:val="0"/>
          <w:numId w:val="45"/>
        </w:numPr>
        <w:spacing w:before="0" w:after="0"/>
        <w:rPr>
          <w:rFonts w:ascii="Arial" w:hAnsi="Arial" w:cs="Arial"/>
          <w:sz w:val="22"/>
          <w:szCs w:val="22"/>
        </w:rPr>
      </w:pPr>
      <w:r w:rsidRPr="00E10F78">
        <w:rPr>
          <w:rFonts w:ascii="Arial" w:hAnsi="Arial" w:cs="Arial"/>
          <w:sz w:val="22"/>
          <w:szCs w:val="22"/>
        </w:rPr>
        <w:t>Culture and communication Sector</w:t>
      </w:r>
    </w:p>
    <w:p w:rsidR="00C81719" w:rsidRPr="00E10F78" w:rsidRDefault="00C81719" w:rsidP="00C81719">
      <w:pPr>
        <w:pStyle w:val="Paragrafoelenco"/>
        <w:numPr>
          <w:ilvl w:val="0"/>
          <w:numId w:val="45"/>
        </w:numPr>
        <w:spacing w:before="0" w:after="0"/>
        <w:rPr>
          <w:rFonts w:ascii="Arial" w:hAnsi="Arial" w:cs="Arial"/>
          <w:sz w:val="22"/>
          <w:szCs w:val="22"/>
        </w:rPr>
      </w:pPr>
      <w:r w:rsidRPr="00E10F78">
        <w:rPr>
          <w:rFonts w:ascii="Arial" w:hAnsi="Arial" w:cs="Arial"/>
          <w:sz w:val="22"/>
          <w:szCs w:val="22"/>
        </w:rPr>
        <w:t>Food security Sector</w:t>
      </w:r>
    </w:p>
    <w:p w:rsidR="00C81719" w:rsidRPr="00E10F78" w:rsidRDefault="00C81719" w:rsidP="00C81719">
      <w:pPr>
        <w:pStyle w:val="Paragrafoelenco"/>
        <w:numPr>
          <w:ilvl w:val="0"/>
          <w:numId w:val="45"/>
        </w:numPr>
        <w:spacing w:before="0" w:after="0"/>
        <w:rPr>
          <w:rFonts w:ascii="Arial" w:hAnsi="Arial" w:cs="Arial"/>
          <w:sz w:val="22"/>
          <w:szCs w:val="22"/>
        </w:rPr>
      </w:pPr>
      <w:r w:rsidRPr="00E10F78">
        <w:rPr>
          <w:rFonts w:ascii="Arial" w:hAnsi="Arial" w:cs="Arial"/>
          <w:sz w:val="22"/>
          <w:szCs w:val="22"/>
        </w:rPr>
        <w:t>Governance and Political Dialogue</w:t>
      </w:r>
    </w:p>
    <w:p w:rsidR="00C81719" w:rsidRPr="00E10F78" w:rsidRDefault="00C81719" w:rsidP="00C81719">
      <w:pPr>
        <w:pStyle w:val="Paragrafoelenco"/>
        <w:numPr>
          <w:ilvl w:val="0"/>
          <w:numId w:val="45"/>
        </w:numPr>
        <w:spacing w:before="0" w:after="0"/>
        <w:rPr>
          <w:rFonts w:ascii="Arial" w:hAnsi="Arial" w:cs="Arial"/>
          <w:sz w:val="22"/>
          <w:szCs w:val="22"/>
        </w:rPr>
      </w:pPr>
      <w:r w:rsidRPr="00E10F78">
        <w:rPr>
          <w:rFonts w:ascii="Arial" w:hAnsi="Arial" w:cs="Arial"/>
          <w:sz w:val="22"/>
          <w:szCs w:val="22"/>
        </w:rPr>
        <w:t xml:space="preserve">Infrastructure Sector </w:t>
      </w:r>
    </w:p>
    <w:p w:rsidR="0034151E" w:rsidRPr="00E10F78" w:rsidRDefault="00862706" w:rsidP="00B54C8F">
      <w:pPr>
        <w:pStyle w:val="Paragrafoelenco"/>
        <w:numPr>
          <w:ilvl w:val="0"/>
          <w:numId w:val="45"/>
        </w:numPr>
        <w:spacing w:before="0" w:after="0"/>
        <w:jc w:val="left"/>
        <w:rPr>
          <w:rFonts w:ascii="Arial" w:hAnsi="Arial" w:cs="Arial"/>
          <w:sz w:val="22"/>
          <w:szCs w:val="22"/>
        </w:rPr>
      </w:pPr>
      <w:r w:rsidRPr="00E10F78">
        <w:rPr>
          <w:rFonts w:ascii="Arial" w:hAnsi="Arial" w:cs="Arial"/>
          <w:sz w:val="22"/>
          <w:szCs w:val="22"/>
        </w:rPr>
        <w:t>Private Sector Development and Trade</w:t>
      </w:r>
    </w:p>
    <w:p w:rsidR="00862706" w:rsidRPr="00E10F78" w:rsidRDefault="00862706" w:rsidP="00B54C8F">
      <w:pPr>
        <w:pStyle w:val="Paragrafoelenco"/>
        <w:numPr>
          <w:ilvl w:val="0"/>
          <w:numId w:val="45"/>
        </w:numPr>
        <w:spacing w:before="0" w:after="0"/>
        <w:jc w:val="left"/>
        <w:rPr>
          <w:rFonts w:ascii="Arial" w:hAnsi="Arial" w:cs="Arial"/>
          <w:sz w:val="22"/>
          <w:szCs w:val="22"/>
        </w:rPr>
      </w:pPr>
      <w:r w:rsidRPr="00E10F78">
        <w:rPr>
          <w:rFonts w:ascii="Arial" w:hAnsi="Arial" w:cs="Arial"/>
          <w:sz w:val="22"/>
          <w:szCs w:val="22"/>
        </w:rPr>
        <w:t>Social Sector</w:t>
      </w:r>
    </w:p>
    <w:p w:rsidR="00862706" w:rsidRPr="00E10F78" w:rsidRDefault="00862706" w:rsidP="00B54C8F">
      <w:pPr>
        <w:pStyle w:val="Paragrafoelenco"/>
        <w:numPr>
          <w:ilvl w:val="0"/>
          <w:numId w:val="45"/>
        </w:numPr>
        <w:spacing w:before="0" w:after="0"/>
        <w:jc w:val="left"/>
        <w:rPr>
          <w:rFonts w:ascii="Arial" w:hAnsi="Arial" w:cs="Arial"/>
          <w:sz w:val="22"/>
          <w:szCs w:val="22"/>
        </w:rPr>
      </w:pPr>
      <w:r w:rsidRPr="00E10F78">
        <w:rPr>
          <w:rFonts w:ascii="Arial" w:hAnsi="Arial" w:cs="Arial"/>
          <w:sz w:val="22"/>
          <w:szCs w:val="22"/>
        </w:rPr>
        <w:t xml:space="preserve">Water and Sanitation Management </w:t>
      </w:r>
    </w:p>
    <w:p w:rsidR="0034151E" w:rsidRPr="00E10F78" w:rsidRDefault="0034151E" w:rsidP="0034151E">
      <w:pPr>
        <w:tabs>
          <w:tab w:val="left" w:pos="1440"/>
        </w:tabs>
        <w:spacing w:before="0" w:after="0"/>
        <w:rPr>
          <w:rFonts w:ascii="Arial" w:hAnsi="Arial" w:cs="Arial"/>
          <w:sz w:val="22"/>
          <w:szCs w:val="22"/>
        </w:rPr>
      </w:pPr>
    </w:p>
    <w:p w:rsidR="0034151E" w:rsidRPr="00E10F78" w:rsidRDefault="0034151E" w:rsidP="0034151E">
      <w:pPr>
        <w:tabs>
          <w:tab w:val="left" w:pos="1440"/>
        </w:tabs>
        <w:spacing w:before="0" w:after="0"/>
        <w:rPr>
          <w:rFonts w:ascii="Arial" w:hAnsi="Arial" w:cs="Arial"/>
          <w:sz w:val="22"/>
          <w:szCs w:val="22"/>
        </w:rPr>
      </w:pPr>
      <w:r w:rsidRPr="00E10F78">
        <w:rPr>
          <w:rFonts w:ascii="Arial" w:hAnsi="Arial" w:cs="Arial"/>
          <w:sz w:val="22"/>
          <w:szCs w:val="22"/>
        </w:rPr>
        <w:t>The column selected for the presentation of decisions will be the following: Decision Reference; Title; Decisions Year, Allocated Amount, C</w:t>
      </w:r>
      <w:r w:rsidR="009D7E2C">
        <w:rPr>
          <w:rFonts w:ascii="Arial" w:hAnsi="Arial" w:cs="Arial"/>
          <w:sz w:val="22"/>
          <w:szCs w:val="22"/>
        </w:rPr>
        <w:t>ommitted</w:t>
      </w:r>
      <w:r w:rsidRPr="00E10F78">
        <w:rPr>
          <w:rFonts w:ascii="Arial" w:hAnsi="Arial" w:cs="Arial"/>
          <w:sz w:val="22"/>
          <w:szCs w:val="22"/>
        </w:rPr>
        <w:t xml:space="preserve"> Amount, </w:t>
      </w:r>
      <w:r w:rsidR="00AE6360">
        <w:rPr>
          <w:rFonts w:ascii="Arial" w:hAnsi="Arial" w:cs="Arial"/>
          <w:sz w:val="22"/>
          <w:szCs w:val="22"/>
        </w:rPr>
        <w:t>Disbursed amount</w:t>
      </w:r>
      <w:r w:rsidRPr="00E10F78">
        <w:rPr>
          <w:rFonts w:ascii="Arial" w:hAnsi="Arial" w:cs="Arial"/>
          <w:sz w:val="22"/>
          <w:szCs w:val="22"/>
        </w:rPr>
        <w:t xml:space="preserve">, Number of contracts. </w:t>
      </w:r>
    </w:p>
    <w:p w:rsidR="0034151E" w:rsidRPr="00E10F78" w:rsidRDefault="0034151E" w:rsidP="0034151E">
      <w:pPr>
        <w:tabs>
          <w:tab w:val="left" w:pos="1440"/>
        </w:tabs>
        <w:spacing w:before="0" w:after="0"/>
        <w:rPr>
          <w:rFonts w:ascii="Arial" w:hAnsi="Arial" w:cs="Arial"/>
          <w:sz w:val="22"/>
          <w:szCs w:val="22"/>
        </w:rPr>
      </w:pPr>
      <w:r w:rsidRPr="00E10F78">
        <w:rPr>
          <w:rFonts w:ascii="Arial" w:hAnsi="Arial" w:cs="Arial"/>
          <w:sz w:val="22"/>
          <w:szCs w:val="22"/>
        </w:rPr>
        <w:t>The Decision presented are listed by decision year and allocated amount in ascending order.</w:t>
      </w:r>
    </w:p>
    <w:p w:rsidR="0034151E" w:rsidRPr="00E10F78" w:rsidRDefault="0034151E" w:rsidP="0034151E">
      <w:pPr>
        <w:tabs>
          <w:tab w:val="left" w:pos="1440"/>
        </w:tabs>
        <w:spacing w:before="0" w:after="0"/>
        <w:rPr>
          <w:rFonts w:ascii="Arial" w:hAnsi="Arial" w:cs="Arial"/>
          <w:sz w:val="22"/>
          <w:szCs w:val="22"/>
        </w:rPr>
      </w:pPr>
    </w:p>
    <w:p w:rsidR="0034151E" w:rsidRPr="00E10F78" w:rsidRDefault="0034151E" w:rsidP="0034151E">
      <w:pPr>
        <w:tabs>
          <w:tab w:val="left" w:pos="1440"/>
        </w:tabs>
        <w:spacing w:before="0" w:after="0"/>
        <w:rPr>
          <w:rFonts w:ascii="Arial" w:hAnsi="Arial" w:cs="Arial"/>
          <w:sz w:val="22"/>
          <w:szCs w:val="22"/>
        </w:rPr>
      </w:pPr>
      <w:r w:rsidRPr="00E10F78">
        <w:rPr>
          <w:rFonts w:ascii="Arial" w:hAnsi="Arial" w:cs="Arial"/>
          <w:sz w:val="22"/>
          <w:szCs w:val="22"/>
        </w:rPr>
        <w:t xml:space="preserve">The column selected for the presentation of contracts will be the following: Contract reference, Title, Status, Domain, Mechanism, Sub-sector, </w:t>
      </w:r>
      <w:r w:rsidR="00C81719" w:rsidRPr="00E10F78">
        <w:rPr>
          <w:rFonts w:ascii="Arial" w:hAnsi="Arial" w:cs="Arial"/>
          <w:sz w:val="22"/>
          <w:szCs w:val="22"/>
        </w:rPr>
        <w:t>Allocated</w:t>
      </w:r>
      <w:r w:rsidR="00862706" w:rsidRPr="00E10F78">
        <w:rPr>
          <w:rFonts w:ascii="Arial" w:hAnsi="Arial" w:cs="Arial"/>
          <w:sz w:val="22"/>
          <w:szCs w:val="22"/>
        </w:rPr>
        <w:t xml:space="preserve">, </w:t>
      </w:r>
      <w:r w:rsidR="009D7E2C">
        <w:rPr>
          <w:rFonts w:ascii="Arial" w:hAnsi="Arial" w:cs="Arial"/>
          <w:sz w:val="22"/>
          <w:szCs w:val="22"/>
        </w:rPr>
        <w:t>Committed</w:t>
      </w:r>
      <w:r w:rsidRPr="00E10F78">
        <w:rPr>
          <w:rFonts w:ascii="Arial" w:hAnsi="Arial" w:cs="Arial"/>
          <w:sz w:val="22"/>
          <w:szCs w:val="22"/>
        </w:rPr>
        <w:t xml:space="preserve"> Amoun</w:t>
      </w:r>
      <w:r w:rsidR="00C81719" w:rsidRPr="00E10F78">
        <w:rPr>
          <w:rFonts w:ascii="Arial" w:hAnsi="Arial" w:cs="Arial"/>
          <w:sz w:val="22"/>
          <w:szCs w:val="22"/>
        </w:rPr>
        <w:t xml:space="preserve">t, </w:t>
      </w:r>
      <w:r w:rsidR="00AE6360">
        <w:rPr>
          <w:rFonts w:ascii="Arial" w:hAnsi="Arial" w:cs="Arial"/>
          <w:sz w:val="22"/>
          <w:szCs w:val="22"/>
        </w:rPr>
        <w:t>Disbursed amount</w:t>
      </w:r>
      <w:r w:rsidR="00C81719" w:rsidRPr="00E10F78">
        <w:rPr>
          <w:rFonts w:ascii="Arial" w:hAnsi="Arial" w:cs="Arial"/>
          <w:sz w:val="22"/>
          <w:szCs w:val="22"/>
        </w:rPr>
        <w:t>, Decision Number.</w:t>
      </w:r>
      <w:r w:rsidRPr="00E10F78">
        <w:rPr>
          <w:rFonts w:ascii="Arial" w:hAnsi="Arial" w:cs="Arial"/>
          <w:sz w:val="22"/>
          <w:szCs w:val="22"/>
        </w:rPr>
        <w:t xml:space="preserve"> </w:t>
      </w:r>
    </w:p>
    <w:p w:rsidR="0034151E" w:rsidRPr="00E10F78" w:rsidRDefault="0034151E" w:rsidP="0034151E">
      <w:pPr>
        <w:tabs>
          <w:tab w:val="left" w:pos="1440"/>
        </w:tabs>
        <w:spacing w:before="0" w:after="0"/>
        <w:rPr>
          <w:rFonts w:ascii="Arial" w:hAnsi="Arial" w:cs="Arial"/>
          <w:sz w:val="22"/>
          <w:szCs w:val="22"/>
        </w:rPr>
      </w:pPr>
      <w:r w:rsidRPr="00E10F78">
        <w:rPr>
          <w:rFonts w:ascii="Arial" w:hAnsi="Arial" w:cs="Arial"/>
          <w:sz w:val="22"/>
          <w:szCs w:val="22"/>
        </w:rPr>
        <w:t xml:space="preserve">The contracts presented are listed by </w:t>
      </w:r>
      <w:r w:rsidR="00862706" w:rsidRPr="00E10F78">
        <w:rPr>
          <w:rFonts w:ascii="Arial" w:hAnsi="Arial" w:cs="Arial"/>
          <w:sz w:val="22"/>
          <w:szCs w:val="22"/>
        </w:rPr>
        <w:t>subsector</w:t>
      </w:r>
      <w:r w:rsidRPr="00E10F78">
        <w:rPr>
          <w:rFonts w:ascii="Arial" w:hAnsi="Arial" w:cs="Arial"/>
          <w:sz w:val="22"/>
          <w:szCs w:val="22"/>
        </w:rPr>
        <w:t xml:space="preserve">, </w:t>
      </w:r>
      <w:r w:rsidR="00862706" w:rsidRPr="00E10F78">
        <w:rPr>
          <w:rFonts w:ascii="Arial" w:hAnsi="Arial" w:cs="Arial"/>
          <w:sz w:val="22"/>
          <w:szCs w:val="22"/>
        </w:rPr>
        <w:t xml:space="preserve">track, </w:t>
      </w:r>
      <w:r w:rsidR="009D7E2C">
        <w:rPr>
          <w:rFonts w:ascii="Arial" w:hAnsi="Arial" w:cs="Arial"/>
          <w:sz w:val="22"/>
          <w:szCs w:val="22"/>
        </w:rPr>
        <w:t>committed</w:t>
      </w:r>
      <w:r w:rsidR="00862706" w:rsidRPr="00E10F78">
        <w:rPr>
          <w:rFonts w:ascii="Arial" w:hAnsi="Arial" w:cs="Arial"/>
          <w:sz w:val="22"/>
          <w:szCs w:val="22"/>
        </w:rPr>
        <w:t xml:space="preserve"> amount in des</w:t>
      </w:r>
      <w:r w:rsidRPr="00E10F78">
        <w:rPr>
          <w:rFonts w:ascii="Arial" w:hAnsi="Arial" w:cs="Arial"/>
          <w:sz w:val="22"/>
          <w:szCs w:val="22"/>
        </w:rPr>
        <w:t>cending order.</w:t>
      </w:r>
    </w:p>
    <w:p w:rsidR="0034151E" w:rsidRPr="00431D17" w:rsidRDefault="0034151E" w:rsidP="0034151E"/>
    <w:p w:rsidR="000550D3" w:rsidRDefault="000550D3"/>
    <w:p w:rsidR="0034151E" w:rsidRDefault="0034151E"/>
    <w:p w:rsidR="0034151E" w:rsidRDefault="0034151E"/>
    <w:p w:rsidR="0034151E" w:rsidRDefault="0034151E"/>
    <w:p w:rsidR="00C83007" w:rsidRDefault="00C83007">
      <w:pPr>
        <w:sectPr w:rsidR="00C83007" w:rsidSect="00943FF8">
          <w:pgSz w:w="11906" w:h="16838"/>
          <w:pgMar w:top="1417" w:right="1134" w:bottom="1134" w:left="1134" w:header="708" w:footer="708" w:gutter="0"/>
          <w:cols w:space="708"/>
          <w:docGrid w:linePitch="360"/>
        </w:sectPr>
      </w:pPr>
    </w:p>
    <w:p w:rsidR="003C6F5E" w:rsidRPr="000622AE" w:rsidRDefault="003C6F5E" w:rsidP="000622AE">
      <w:pPr>
        <w:shd w:val="clear" w:color="auto" w:fill="FFFFFF" w:themeFill="background1"/>
        <w:spacing w:before="0" w:after="0"/>
        <w:rPr>
          <w:rFonts w:ascii="Arial" w:hAnsi="Arial" w:cs="Arial"/>
          <w:b/>
          <w:smallCaps/>
          <w:color w:val="1F497D" w:themeColor="text2"/>
          <w:sz w:val="24"/>
          <w:szCs w:val="24"/>
        </w:rPr>
      </w:pPr>
      <w:r w:rsidRPr="000622AE">
        <w:rPr>
          <w:rFonts w:ascii="Arial" w:hAnsi="Arial" w:cs="Arial"/>
          <w:b/>
          <w:smallCaps/>
          <w:color w:val="1F497D" w:themeColor="text2"/>
          <w:sz w:val="24"/>
          <w:szCs w:val="24"/>
        </w:rPr>
        <w:lastRenderedPageBreak/>
        <w:t>EC Decisions in Palestine - Bilateral Cooperation</w:t>
      </w:r>
      <w:r w:rsidR="008C776A">
        <w:rPr>
          <w:rStyle w:val="Rimandonotaapidipagina"/>
          <w:rFonts w:cs="Arial"/>
          <w:b/>
          <w:smallCaps w:val="0"/>
          <w:color w:val="1F497D" w:themeColor="text2"/>
        </w:rPr>
        <w:footnoteReference w:id="90"/>
      </w:r>
    </w:p>
    <w:p w:rsidR="003C6F5E" w:rsidRDefault="00C21CA3" w:rsidP="003C6F5E">
      <w:pPr>
        <w:rPr>
          <w:lang w:val="it-IT"/>
        </w:rPr>
      </w:pPr>
      <w:r w:rsidRPr="00C21CA3">
        <w:drawing>
          <wp:inline distT="0" distB="0" distL="0" distR="0">
            <wp:extent cx="9067800" cy="5448300"/>
            <wp:effectExtent l="19050" t="0" r="0" b="0"/>
            <wp:docPr id="74"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9" cstate="print"/>
                    <a:srcRect/>
                    <a:stretch>
                      <a:fillRect/>
                    </a:stretch>
                  </pic:blipFill>
                  <pic:spPr bwMode="auto">
                    <a:xfrm>
                      <a:off x="0" y="0"/>
                      <a:ext cx="9072245" cy="5450971"/>
                    </a:xfrm>
                    <a:prstGeom prst="rect">
                      <a:avLst/>
                    </a:prstGeom>
                    <a:noFill/>
                    <a:ln w="9525">
                      <a:noFill/>
                      <a:miter lim="800000"/>
                      <a:headEnd/>
                      <a:tailEnd/>
                    </a:ln>
                  </pic:spPr>
                </pic:pic>
              </a:graphicData>
            </a:graphic>
          </wp:inline>
        </w:drawing>
      </w:r>
    </w:p>
    <w:p w:rsidR="003C6F5E" w:rsidRDefault="00C21CA3" w:rsidP="003C6F5E">
      <w:pPr>
        <w:rPr>
          <w:lang w:val="it-IT"/>
        </w:rPr>
      </w:pPr>
      <w:r w:rsidRPr="00C21CA3">
        <w:lastRenderedPageBreak/>
        <w:drawing>
          <wp:inline distT="0" distB="0" distL="0" distR="0">
            <wp:extent cx="9067800" cy="6105525"/>
            <wp:effectExtent l="19050" t="0" r="0" b="0"/>
            <wp:docPr id="8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0" cstate="print"/>
                    <a:srcRect/>
                    <a:stretch>
                      <a:fillRect/>
                    </a:stretch>
                  </pic:blipFill>
                  <pic:spPr bwMode="auto">
                    <a:xfrm>
                      <a:off x="0" y="0"/>
                      <a:ext cx="9072245" cy="6108518"/>
                    </a:xfrm>
                    <a:prstGeom prst="rect">
                      <a:avLst/>
                    </a:prstGeom>
                    <a:noFill/>
                    <a:ln w="9525">
                      <a:noFill/>
                      <a:miter lim="800000"/>
                      <a:headEnd/>
                      <a:tailEnd/>
                    </a:ln>
                  </pic:spPr>
                </pic:pic>
              </a:graphicData>
            </a:graphic>
          </wp:inline>
        </w:drawing>
      </w:r>
    </w:p>
    <w:p w:rsidR="000622AE" w:rsidRDefault="0067386E" w:rsidP="00C21CA3">
      <w:pPr>
        <w:rPr>
          <w:rFonts w:ascii="Arial" w:hAnsi="Arial" w:cs="Arial"/>
          <w:b/>
          <w:smallCaps/>
          <w:color w:val="1F497D" w:themeColor="text2"/>
          <w:sz w:val="24"/>
          <w:szCs w:val="24"/>
        </w:rPr>
      </w:pPr>
      <w:r w:rsidRPr="0067386E">
        <w:rPr>
          <w:szCs w:val="24"/>
        </w:rPr>
        <w:lastRenderedPageBreak/>
        <w:drawing>
          <wp:inline distT="0" distB="0" distL="0" distR="0">
            <wp:extent cx="9067799" cy="5857875"/>
            <wp:effectExtent l="19050" t="0" r="1" b="0"/>
            <wp:docPr id="205" name="Immagin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61" cstate="print"/>
                    <a:srcRect/>
                    <a:stretch>
                      <a:fillRect/>
                    </a:stretch>
                  </pic:blipFill>
                  <pic:spPr bwMode="auto">
                    <a:xfrm>
                      <a:off x="0" y="0"/>
                      <a:ext cx="9072245" cy="5860747"/>
                    </a:xfrm>
                    <a:prstGeom prst="rect">
                      <a:avLst/>
                    </a:prstGeom>
                    <a:noFill/>
                    <a:ln w="9525">
                      <a:noFill/>
                      <a:miter lim="800000"/>
                      <a:headEnd/>
                      <a:tailEnd/>
                    </a:ln>
                  </pic:spPr>
                </pic:pic>
              </a:graphicData>
            </a:graphic>
          </wp:inline>
        </w:drawing>
      </w:r>
      <w:r w:rsidR="000622AE">
        <w:rPr>
          <w:rFonts w:ascii="Arial" w:hAnsi="Arial" w:cs="Arial"/>
          <w:b/>
          <w:smallCaps/>
          <w:color w:val="1F497D" w:themeColor="text2"/>
          <w:sz w:val="24"/>
          <w:szCs w:val="24"/>
        </w:rPr>
        <w:br w:type="page"/>
      </w:r>
    </w:p>
    <w:p w:rsidR="003C6F5E" w:rsidRPr="000622AE" w:rsidRDefault="003C6F5E" w:rsidP="00627274">
      <w:pPr>
        <w:shd w:val="clear" w:color="auto" w:fill="FFFFFF" w:themeFill="background1"/>
        <w:spacing w:before="0" w:after="0"/>
        <w:rPr>
          <w:rFonts w:ascii="Arial" w:hAnsi="Arial" w:cs="Arial"/>
          <w:b/>
          <w:smallCaps/>
          <w:color w:val="1F497D" w:themeColor="text2"/>
          <w:sz w:val="24"/>
          <w:szCs w:val="24"/>
        </w:rPr>
      </w:pPr>
      <w:r w:rsidRPr="000622AE">
        <w:rPr>
          <w:rFonts w:ascii="Arial" w:hAnsi="Arial" w:cs="Arial"/>
          <w:b/>
          <w:smallCaps/>
          <w:color w:val="1F497D" w:themeColor="text2"/>
          <w:sz w:val="24"/>
          <w:szCs w:val="24"/>
        </w:rPr>
        <w:lastRenderedPageBreak/>
        <w:t>EC Decisions in Palestine – Regional Cooperation</w:t>
      </w:r>
    </w:p>
    <w:p w:rsidR="003C6F5E" w:rsidRDefault="00C21CA3" w:rsidP="003C6F5E">
      <w:pPr>
        <w:rPr>
          <w:lang w:val="it-IT"/>
        </w:rPr>
      </w:pPr>
      <w:r w:rsidRPr="00C21CA3">
        <w:drawing>
          <wp:inline distT="0" distB="0" distL="0" distR="0">
            <wp:extent cx="9072245" cy="4727453"/>
            <wp:effectExtent l="19050" t="0" r="0" b="0"/>
            <wp:docPr id="95"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2" cstate="print"/>
                    <a:srcRect/>
                    <a:stretch>
                      <a:fillRect/>
                    </a:stretch>
                  </pic:blipFill>
                  <pic:spPr bwMode="auto">
                    <a:xfrm>
                      <a:off x="0" y="0"/>
                      <a:ext cx="9072245" cy="4727453"/>
                    </a:xfrm>
                    <a:prstGeom prst="rect">
                      <a:avLst/>
                    </a:prstGeom>
                    <a:noFill/>
                    <a:ln w="9525">
                      <a:noFill/>
                      <a:miter lim="800000"/>
                      <a:headEnd/>
                      <a:tailEnd/>
                    </a:ln>
                  </pic:spPr>
                </pic:pic>
              </a:graphicData>
            </a:graphic>
          </wp:inline>
        </w:drawing>
      </w:r>
    </w:p>
    <w:p w:rsidR="003C6F5E" w:rsidRDefault="003C6F5E" w:rsidP="003C6F5E">
      <w:pPr>
        <w:spacing w:before="0" w:after="0"/>
        <w:rPr>
          <w:lang w:val="it-IT"/>
        </w:rPr>
      </w:pPr>
    </w:p>
    <w:p w:rsidR="003C6F5E" w:rsidRDefault="003C6F5E" w:rsidP="003C6F5E">
      <w:pPr>
        <w:spacing w:before="0" w:after="0"/>
        <w:rPr>
          <w:lang w:val="it-IT"/>
        </w:rPr>
      </w:pPr>
    </w:p>
    <w:p w:rsidR="003C6F5E" w:rsidRDefault="003C6F5E" w:rsidP="003C6F5E">
      <w:pPr>
        <w:spacing w:before="0" w:after="0"/>
        <w:rPr>
          <w:lang w:val="it-IT"/>
        </w:rPr>
      </w:pPr>
    </w:p>
    <w:p w:rsidR="003C6F5E" w:rsidRPr="00127789" w:rsidRDefault="003C6F5E" w:rsidP="003C6F5E">
      <w:pPr>
        <w:spacing w:before="0" w:after="0"/>
      </w:pPr>
      <w:r w:rsidRPr="002954A9">
        <w:t xml:space="preserve"> </w:t>
      </w:r>
      <w:r w:rsidRPr="00127789">
        <w:br w:type="page"/>
      </w:r>
    </w:p>
    <w:p w:rsidR="003C6F5E" w:rsidRPr="00BB60C9" w:rsidRDefault="003C6F5E" w:rsidP="00627274">
      <w:pPr>
        <w:shd w:val="clear" w:color="auto" w:fill="FFFFFF" w:themeFill="background1"/>
        <w:spacing w:before="0" w:after="0"/>
        <w:rPr>
          <w:rFonts w:ascii="Times New Roman" w:hAnsi="Times New Roman"/>
          <w:b/>
          <w:smallCaps/>
          <w:color w:val="1F497D" w:themeColor="text2"/>
          <w:sz w:val="28"/>
          <w:szCs w:val="28"/>
        </w:rPr>
      </w:pPr>
      <w:r w:rsidRPr="000622AE">
        <w:rPr>
          <w:rFonts w:ascii="Arial" w:hAnsi="Arial" w:cs="Arial"/>
          <w:b/>
          <w:smallCaps/>
          <w:color w:val="1F497D" w:themeColor="text2"/>
          <w:sz w:val="24"/>
          <w:szCs w:val="24"/>
          <w:shd w:val="clear" w:color="auto" w:fill="FFFFFF" w:themeFill="background1"/>
        </w:rPr>
        <w:lastRenderedPageBreak/>
        <w:t>EC Decisions in Palestine – Multi Country Thematic Cooperation</w:t>
      </w:r>
    </w:p>
    <w:p w:rsidR="003C6F5E" w:rsidRDefault="00C21CA3" w:rsidP="003C6F5E">
      <w:pPr>
        <w:rPr>
          <w:lang w:val="it-IT"/>
        </w:rPr>
      </w:pPr>
      <w:r w:rsidRPr="00C21CA3">
        <w:drawing>
          <wp:inline distT="0" distB="0" distL="0" distR="0">
            <wp:extent cx="9067800" cy="5743575"/>
            <wp:effectExtent l="19050" t="0" r="0" b="0"/>
            <wp:docPr id="10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3" cstate="print"/>
                    <a:srcRect/>
                    <a:stretch>
                      <a:fillRect/>
                    </a:stretch>
                  </pic:blipFill>
                  <pic:spPr bwMode="auto">
                    <a:xfrm>
                      <a:off x="0" y="0"/>
                      <a:ext cx="9072245" cy="5746390"/>
                    </a:xfrm>
                    <a:prstGeom prst="rect">
                      <a:avLst/>
                    </a:prstGeom>
                    <a:noFill/>
                    <a:ln w="9525">
                      <a:noFill/>
                      <a:miter lim="800000"/>
                      <a:headEnd/>
                      <a:tailEnd/>
                    </a:ln>
                  </pic:spPr>
                </pic:pic>
              </a:graphicData>
            </a:graphic>
          </wp:inline>
        </w:drawing>
      </w:r>
    </w:p>
    <w:p w:rsidR="003C6F5E" w:rsidRDefault="00C21CA3" w:rsidP="003C6F5E">
      <w:pPr>
        <w:rPr>
          <w:lang w:val="it-IT"/>
        </w:rPr>
      </w:pPr>
      <w:r w:rsidRPr="00C21CA3">
        <w:lastRenderedPageBreak/>
        <w:drawing>
          <wp:inline distT="0" distB="0" distL="0" distR="0">
            <wp:extent cx="9067800" cy="5886450"/>
            <wp:effectExtent l="19050" t="0" r="0" b="0"/>
            <wp:docPr id="109"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4" cstate="print"/>
                    <a:srcRect/>
                    <a:stretch>
                      <a:fillRect/>
                    </a:stretch>
                  </pic:blipFill>
                  <pic:spPr bwMode="auto">
                    <a:xfrm>
                      <a:off x="0" y="0"/>
                      <a:ext cx="9072245" cy="5889336"/>
                    </a:xfrm>
                    <a:prstGeom prst="rect">
                      <a:avLst/>
                    </a:prstGeom>
                    <a:noFill/>
                    <a:ln w="9525">
                      <a:noFill/>
                      <a:miter lim="800000"/>
                      <a:headEnd/>
                      <a:tailEnd/>
                    </a:ln>
                  </pic:spPr>
                </pic:pic>
              </a:graphicData>
            </a:graphic>
          </wp:inline>
        </w:drawing>
      </w:r>
    </w:p>
    <w:p w:rsidR="009A0643" w:rsidRDefault="00C21CA3" w:rsidP="009A0643">
      <w:pPr>
        <w:rPr>
          <w:lang w:val="it-IT"/>
        </w:rPr>
      </w:pPr>
      <w:r w:rsidRPr="00C21CA3">
        <w:lastRenderedPageBreak/>
        <w:drawing>
          <wp:inline distT="0" distB="0" distL="0" distR="0">
            <wp:extent cx="9067800" cy="5934075"/>
            <wp:effectExtent l="19050" t="0" r="0" b="0"/>
            <wp:docPr id="112"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5" cstate="print"/>
                    <a:srcRect/>
                    <a:stretch>
                      <a:fillRect/>
                    </a:stretch>
                  </pic:blipFill>
                  <pic:spPr bwMode="auto">
                    <a:xfrm>
                      <a:off x="0" y="0"/>
                      <a:ext cx="9072245" cy="5936984"/>
                    </a:xfrm>
                    <a:prstGeom prst="rect">
                      <a:avLst/>
                    </a:prstGeom>
                    <a:noFill/>
                    <a:ln w="9525">
                      <a:noFill/>
                      <a:miter lim="800000"/>
                      <a:headEnd/>
                      <a:tailEnd/>
                    </a:ln>
                  </pic:spPr>
                </pic:pic>
              </a:graphicData>
            </a:graphic>
          </wp:inline>
        </w:drawing>
      </w:r>
    </w:p>
    <w:p w:rsidR="0086030F" w:rsidRPr="00627274" w:rsidRDefault="0086030F" w:rsidP="00627274">
      <w:pPr>
        <w:shd w:val="clear" w:color="auto" w:fill="FFFFFF" w:themeFill="background1"/>
        <w:spacing w:before="0" w:after="0"/>
        <w:rPr>
          <w:rFonts w:ascii="Arial" w:hAnsi="Arial" w:cs="Arial"/>
          <w:b/>
          <w:smallCaps/>
          <w:color w:val="1F497D" w:themeColor="text2"/>
          <w:sz w:val="24"/>
          <w:szCs w:val="24"/>
          <w:shd w:val="clear" w:color="auto" w:fill="FFFFFF" w:themeFill="background1"/>
        </w:rPr>
      </w:pPr>
      <w:r w:rsidRPr="00627274">
        <w:rPr>
          <w:rFonts w:ascii="Arial" w:hAnsi="Arial" w:cs="Arial"/>
          <w:b/>
          <w:smallCaps/>
          <w:color w:val="1F497D" w:themeColor="text2"/>
          <w:sz w:val="24"/>
          <w:szCs w:val="24"/>
          <w:shd w:val="clear" w:color="auto" w:fill="FFFFFF" w:themeFill="background1"/>
        </w:rPr>
        <w:lastRenderedPageBreak/>
        <w:t xml:space="preserve">EC Contracts in Palestine – </w:t>
      </w:r>
      <w:r w:rsidR="00FD23B5" w:rsidRPr="00627274">
        <w:rPr>
          <w:rFonts w:ascii="Arial" w:hAnsi="Arial" w:cs="Arial"/>
          <w:b/>
          <w:smallCaps/>
          <w:color w:val="1F497D" w:themeColor="text2"/>
          <w:sz w:val="24"/>
          <w:szCs w:val="24"/>
          <w:shd w:val="clear" w:color="auto" w:fill="FFFFFF" w:themeFill="background1"/>
        </w:rPr>
        <w:t>Culture and Communication</w:t>
      </w:r>
      <w:r w:rsidR="00627274">
        <w:rPr>
          <w:rFonts w:ascii="Arial" w:hAnsi="Arial" w:cs="Arial"/>
          <w:b/>
          <w:smallCaps/>
          <w:color w:val="1F497D" w:themeColor="text2"/>
          <w:sz w:val="24"/>
          <w:szCs w:val="24"/>
          <w:shd w:val="clear" w:color="auto" w:fill="FFFFFF" w:themeFill="background1"/>
        </w:rPr>
        <w:t xml:space="preserve"> Sector</w:t>
      </w:r>
    </w:p>
    <w:p w:rsidR="009A0643" w:rsidRDefault="00A87A06" w:rsidP="00917E36">
      <w:pPr>
        <w:spacing w:before="0" w:after="0"/>
        <w:rPr>
          <w:rFonts w:ascii="Times New Roman" w:hAnsi="Times New Roman"/>
          <w:b/>
          <w:color w:val="1F497D" w:themeColor="text2"/>
          <w:sz w:val="24"/>
          <w:szCs w:val="24"/>
        </w:rPr>
      </w:pPr>
      <w:r w:rsidRPr="00A87A06">
        <w:rPr>
          <w:szCs w:val="24"/>
        </w:rPr>
        <w:drawing>
          <wp:inline distT="0" distB="0" distL="0" distR="0">
            <wp:extent cx="9067800" cy="5657850"/>
            <wp:effectExtent l="19050" t="0" r="0" b="0"/>
            <wp:docPr id="116"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6" cstate="print"/>
                    <a:srcRect/>
                    <a:stretch>
                      <a:fillRect/>
                    </a:stretch>
                  </pic:blipFill>
                  <pic:spPr bwMode="auto">
                    <a:xfrm>
                      <a:off x="0" y="0"/>
                      <a:ext cx="9072245" cy="5660623"/>
                    </a:xfrm>
                    <a:prstGeom prst="rect">
                      <a:avLst/>
                    </a:prstGeom>
                    <a:noFill/>
                    <a:ln w="9525">
                      <a:noFill/>
                      <a:miter lim="800000"/>
                      <a:headEnd/>
                      <a:tailEnd/>
                    </a:ln>
                  </pic:spPr>
                </pic:pic>
              </a:graphicData>
            </a:graphic>
          </wp:inline>
        </w:drawing>
      </w:r>
    </w:p>
    <w:p w:rsidR="00650659" w:rsidRDefault="00A87A06" w:rsidP="00917E36">
      <w:pPr>
        <w:spacing w:before="0" w:after="0"/>
        <w:rPr>
          <w:rFonts w:ascii="Times New Roman" w:hAnsi="Times New Roman"/>
          <w:b/>
          <w:color w:val="1F497D" w:themeColor="text2"/>
          <w:sz w:val="24"/>
          <w:szCs w:val="24"/>
        </w:rPr>
      </w:pPr>
      <w:r w:rsidRPr="00A87A06">
        <w:rPr>
          <w:szCs w:val="24"/>
        </w:rPr>
        <w:lastRenderedPageBreak/>
        <w:drawing>
          <wp:inline distT="0" distB="0" distL="0" distR="0">
            <wp:extent cx="9067800" cy="5886450"/>
            <wp:effectExtent l="19050" t="0" r="0" b="0"/>
            <wp:docPr id="117"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7" cstate="print"/>
                    <a:srcRect/>
                    <a:stretch>
                      <a:fillRect/>
                    </a:stretch>
                  </pic:blipFill>
                  <pic:spPr bwMode="auto">
                    <a:xfrm>
                      <a:off x="0" y="0"/>
                      <a:ext cx="9072245" cy="5889336"/>
                    </a:xfrm>
                    <a:prstGeom prst="rect">
                      <a:avLst/>
                    </a:prstGeom>
                    <a:noFill/>
                    <a:ln w="9525">
                      <a:noFill/>
                      <a:miter lim="800000"/>
                      <a:headEnd/>
                      <a:tailEnd/>
                    </a:ln>
                  </pic:spPr>
                </pic:pic>
              </a:graphicData>
            </a:graphic>
          </wp:inline>
        </w:drawing>
      </w:r>
    </w:p>
    <w:p w:rsidR="00A87A06" w:rsidRDefault="00A87A06" w:rsidP="00627274">
      <w:pPr>
        <w:shd w:val="clear" w:color="auto" w:fill="FFFFFF" w:themeFill="background1"/>
        <w:spacing w:before="0" w:after="0"/>
        <w:rPr>
          <w:rFonts w:ascii="Arial" w:hAnsi="Arial" w:cs="Arial"/>
          <w:b/>
          <w:smallCaps/>
          <w:color w:val="1F497D" w:themeColor="text2"/>
          <w:sz w:val="24"/>
          <w:szCs w:val="24"/>
          <w:shd w:val="clear" w:color="auto" w:fill="FFFFFF" w:themeFill="background1"/>
        </w:rPr>
      </w:pPr>
    </w:p>
    <w:p w:rsidR="00D3159F" w:rsidRDefault="00D3159F" w:rsidP="00627274">
      <w:pPr>
        <w:shd w:val="clear" w:color="auto" w:fill="FFFFFF" w:themeFill="background1"/>
        <w:spacing w:before="0" w:after="0"/>
        <w:rPr>
          <w:rFonts w:ascii="Arial" w:hAnsi="Arial" w:cs="Arial"/>
          <w:b/>
          <w:smallCaps/>
          <w:color w:val="1F497D" w:themeColor="text2"/>
          <w:sz w:val="24"/>
          <w:szCs w:val="24"/>
          <w:shd w:val="clear" w:color="auto" w:fill="FFFFFF" w:themeFill="background1"/>
        </w:rPr>
      </w:pPr>
      <w:r w:rsidRPr="00D3159F">
        <w:rPr>
          <w:szCs w:val="24"/>
          <w:shd w:val="clear" w:color="auto" w:fill="FFFFFF" w:themeFill="background1"/>
        </w:rPr>
        <w:lastRenderedPageBreak/>
        <w:drawing>
          <wp:inline distT="0" distB="0" distL="0" distR="0">
            <wp:extent cx="9067799" cy="6105525"/>
            <wp:effectExtent l="19050" t="0" r="1" b="0"/>
            <wp:docPr id="118"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8" cstate="print"/>
                    <a:srcRect/>
                    <a:stretch>
                      <a:fillRect/>
                    </a:stretch>
                  </pic:blipFill>
                  <pic:spPr bwMode="auto">
                    <a:xfrm>
                      <a:off x="0" y="0"/>
                      <a:ext cx="9072245" cy="6108518"/>
                    </a:xfrm>
                    <a:prstGeom prst="rect">
                      <a:avLst/>
                    </a:prstGeom>
                    <a:noFill/>
                    <a:ln w="9525">
                      <a:noFill/>
                      <a:miter lim="800000"/>
                      <a:headEnd/>
                      <a:tailEnd/>
                    </a:ln>
                  </pic:spPr>
                </pic:pic>
              </a:graphicData>
            </a:graphic>
          </wp:inline>
        </w:drawing>
      </w:r>
    </w:p>
    <w:p w:rsidR="00CD29DA" w:rsidRDefault="00CD29DA" w:rsidP="00627274">
      <w:pPr>
        <w:shd w:val="clear" w:color="auto" w:fill="FFFFFF" w:themeFill="background1"/>
        <w:spacing w:before="0" w:after="0"/>
        <w:rPr>
          <w:rFonts w:ascii="Arial" w:hAnsi="Arial" w:cs="Arial"/>
          <w:b/>
          <w:smallCaps/>
          <w:color w:val="1F497D" w:themeColor="text2"/>
          <w:sz w:val="24"/>
          <w:szCs w:val="24"/>
          <w:shd w:val="clear" w:color="auto" w:fill="FFFFFF" w:themeFill="background1"/>
        </w:rPr>
      </w:pPr>
      <w:r w:rsidRPr="00CD29DA">
        <w:rPr>
          <w:szCs w:val="24"/>
          <w:shd w:val="clear" w:color="auto" w:fill="FFFFFF" w:themeFill="background1"/>
        </w:rPr>
        <w:lastRenderedPageBreak/>
        <w:drawing>
          <wp:inline distT="0" distB="0" distL="0" distR="0">
            <wp:extent cx="9067800" cy="6000750"/>
            <wp:effectExtent l="19050" t="0" r="0" b="0"/>
            <wp:docPr id="130"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9" cstate="print"/>
                    <a:srcRect/>
                    <a:stretch>
                      <a:fillRect/>
                    </a:stretch>
                  </pic:blipFill>
                  <pic:spPr bwMode="auto">
                    <a:xfrm>
                      <a:off x="0" y="0"/>
                      <a:ext cx="9072245" cy="6003692"/>
                    </a:xfrm>
                    <a:prstGeom prst="rect">
                      <a:avLst/>
                    </a:prstGeom>
                    <a:noFill/>
                    <a:ln w="9525">
                      <a:noFill/>
                      <a:miter lim="800000"/>
                      <a:headEnd/>
                      <a:tailEnd/>
                    </a:ln>
                  </pic:spPr>
                </pic:pic>
              </a:graphicData>
            </a:graphic>
          </wp:inline>
        </w:drawing>
      </w:r>
    </w:p>
    <w:p w:rsidR="00D27A37" w:rsidRPr="00627274" w:rsidRDefault="00D27A37" w:rsidP="00627274">
      <w:pPr>
        <w:shd w:val="clear" w:color="auto" w:fill="FFFFFF" w:themeFill="background1"/>
        <w:spacing w:before="0" w:after="0"/>
        <w:rPr>
          <w:rFonts w:ascii="Arial" w:hAnsi="Arial" w:cs="Arial"/>
          <w:b/>
          <w:smallCaps/>
          <w:color w:val="1F497D" w:themeColor="text2"/>
          <w:sz w:val="24"/>
          <w:szCs w:val="24"/>
          <w:shd w:val="clear" w:color="auto" w:fill="FFFFFF" w:themeFill="background1"/>
        </w:rPr>
      </w:pPr>
      <w:r w:rsidRPr="00627274">
        <w:rPr>
          <w:rFonts w:ascii="Arial" w:hAnsi="Arial" w:cs="Arial"/>
          <w:b/>
          <w:smallCaps/>
          <w:color w:val="1F497D" w:themeColor="text2"/>
          <w:sz w:val="24"/>
          <w:szCs w:val="24"/>
          <w:shd w:val="clear" w:color="auto" w:fill="FFFFFF" w:themeFill="background1"/>
        </w:rPr>
        <w:lastRenderedPageBreak/>
        <w:t xml:space="preserve">EC Contracts in Palestine – </w:t>
      </w:r>
      <w:r w:rsidR="00FD23B5" w:rsidRPr="00627274">
        <w:rPr>
          <w:rFonts w:ascii="Arial" w:hAnsi="Arial" w:cs="Arial"/>
          <w:b/>
          <w:smallCaps/>
          <w:color w:val="1F497D" w:themeColor="text2"/>
          <w:sz w:val="24"/>
          <w:szCs w:val="24"/>
          <w:shd w:val="clear" w:color="auto" w:fill="FFFFFF" w:themeFill="background1"/>
        </w:rPr>
        <w:t>Food Security</w:t>
      </w:r>
      <w:r w:rsidR="00627274">
        <w:rPr>
          <w:rFonts w:ascii="Arial" w:hAnsi="Arial" w:cs="Arial"/>
          <w:b/>
          <w:smallCaps/>
          <w:color w:val="1F497D" w:themeColor="text2"/>
          <w:sz w:val="24"/>
          <w:szCs w:val="24"/>
          <w:shd w:val="clear" w:color="auto" w:fill="FFFFFF" w:themeFill="background1"/>
        </w:rPr>
        <w:t xml:space="preserve"> Sector</w:t>
      </w:r>
    </w:p>
    <w:p w:rsidR="00D27A37" w:rsidRDefault="005C5F6C">
      <w:pPr>
        <w:spacing w:before="0" w:after="0"/>
        <w:rPr>
          <w:rFonts w:ascii="Times New Roman" w:hAnsi="Times New Roman"/>
          <w:b/>
          <w:color w:val="1F497D" w:themeColor="text2"/>
          <w:sz w:val="24"/>
          <w:szCs w:val="24"/>
        </w:rPr>
      </w:pPr>
      <w:r w:rsidRPr="005C5F6C">
        <w:rPr>
          <w:rFonts w:ascii="Times New Roman" w:hAnsi="Times New Roman"/>
          <w:b/>
          <w:color w:val="1F497D" w:themeColor="text2"/>
          <w:sz w:val="24"/>
          <w:szCs w:val="24"/>
        </w:rPr>
        <w:drawing>
          <wp:inline distT="0" distB="0" distL="0" distR="0">
            <wp:extent cx="9067800" cy="5924550"/>
            <wp:effectExtent l="19050" t="0" r="0" b="0"/>
            <wp:docPr id="133"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0" cstate="print"/>
                    <a:srcRect/>
                    <a:stretch>
                      <a:fillRect/>
                    </a:stretch>
                  </pic:blipFill>
                  <pic:spPr bwMode="auto">
                    <a:xfrm>
                      <a:off x="0" y="0"/>
                      <a:ext cx="9072245" cy="5927454"/>
                    </a:xfrm>
                    <a:prstGeom prst="rect">
                      <a:avLst/>
                    </a:prstGeom>
                    <a:noFill/>
                    <a:ln w="9525">
                      <a:noFill/>
                      <a:miter lim="800000"/>
                      <a:headEnd/>
                      <a:tailEnd/>
                    </a:ln>
                  </pic:spPr>
                </pic:pic>
              </a:graphicData>
            </a:graphic>
          </wp:inline>
        </w:drawing>
      </w:r>
    </w:p>
    <w:p w:rsidR="00D27A37" w:rsidRPr="00627274" w:rsidRDefault="00D27A37" w:rsidP="00627274">
      <w:pPr>
        <w:shd w:val="clear" w:color="auto" w:fill="FFFFFF" w:themeFill="background1"/>
        <w:spacing w:before="0" w:after="0"/>
        <w:rPr>
          <w:rFonts w:ascii="Arial" w:hAnsi="Arial" w:cs="Arial"/>
          <w:b/>
          <w:smallCaps/>
          <w:color w:val="1F497D" w:themeColor="text2"/>
          <w:sz w:val="24"/>
          <w:szCs w:val="24"/>
          <w:shd w:val="clear" w:color="auto" w:fill="FFFFFF" w:themeFill="background1"/>
        </w:rPr>
      </w:pPr>
      <w:r w:rsidRPr="00627274">
        <w:rPr>
          <w:rFonts w:ascii="Arial" w:hAnsi="Arial" w:cs="Arial"/>
          <w:b/>
          <w:smallCaps/>
          <w:color w:val="1F497D" w:themeColor="text2"/>
          <w:sz w:val="24"/>
          <w:szCs w:val="24"/>
          <w:shd w:val="clear" w:color="auto" w:fill="FFFFFF" w:themeFill="background1"/>
        </w:rPr>
        <w:lastRenderedPageBreak/>
        <w:t xml:space="preserve">EC Contracts in Palestine – </w:t>
      </w:r>
      <w:r w:rsidR="00FD23B5" w:rsidRPr="00627274">
        <w:rPr>
          <w:rFonts w:ascii="Arial" w:hAnsi="Arial" w:cs="Arial"/>
          <w:b/>
          <w:smallCaps/>
          <w:color w:val="1F497D" w:themeColor="text2"/>
          <w:sz w:val="24"/>
          <w:szCs w:val="24"/>
          <w:shd w:val="clear" w:color="auto" w:fill="FFFFFF" w:themeFill="background1"/>
        </w:rPr>
        <w:t>Governance</w:t>
      </w:r>
      <w:r w:rsidR="00627274">
        <w:rPr>
          <w:rFonts w:ascii="Arial" w:hAnsi="Arial" w:cs="Arial"/>
          <w:b/>
          <w:smallCaps/>
          <w:color w:val="1F497D" w:themeColor="text2"/>
          <w:sz w:val="24"/>
          <w:szCs w:val="24"/>
          <w:shd w:val="clear" w:color="auto" w:fill="FFFFFF" w:themeFill="background1"/>
        </w:rPr>
        <w:t xml:space="preserve"> Sector</w:t>
      </w:r>
    </w:p>
    <w:p w:rsidR="00D27A37" w:rsidRDefault="005C5F6C" w:rsidP="00917E36">
      <w:pPr>
        <w:spacing w:before="0" w:after="0"/>
        <w:rPr>
          <w:rFonts w:ascii="Times New Roman" w:hAnsi="Times New Roman"/>
          <w:b/>
          <w:color w:val="1F497D" w:themeColor="text2"/>
          <w:sz w:val="24"/>
          <w:szCs w:val="24"/>
        </w:rPr>
      </w:pPr>
      <w:r w:rsidRPr="005C5F6C">
        <w:rPr>
          <w:szCs w:val="24"/>
        </w:rPr>
        <w:drawing>
          <wp:inline distT="0" distB="0" distL="0" distR="0">
            <wp:extent cx="9067799" cy="5838825"/>
            <wp:effectExtent l="19050" t="0" r="1" b="0"/>
            <wp:docPr id="134"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1" cstate="print"/>
                    <a:srcRect/>
                    <a:stretch>
                      <a:fillRect/>
                    </a:stretch>
                  </pic:blipFill>
                  <pic:spPr bwMode="auto">
                    <a:xfrm>
                      <a:off x="0" y="0"/>
                      <a:ext cx="9072245" cy="5841688"/>
                    </a:xfrm>
                    <a:prstGeom prst="rect">
                      <a:avLst/>
                    </a:prstGeom>
                    <a:noFill/>
                    <a:ln w="9525">
                      <a:noFill/>
                      <a:miter lim="800000"/>
                      <a:headEnd/>
                      <a:tailEnd/>
                    </a:ln>
                  </pic:spPr>
                </pic:pic>
              </a:graphicData>
            </a:graphic>
          </wp:inline>
        </w:drawing>
      </w:r>
    </w:p>
    <w:p w:rsidR="00D27A37" w:rsidRDefault="00706DC7" w:rsidP="00917E36">
      <w:pPr>
        <w:spacing w:before="0" w:after="0"/>
        <w:rPr>
          <w:rFonts w:ascii="Times New Roman" w:hAnsi="Times New Roman"/>
          <w:b/>
          <w:color w:val="1F497D" w:themeColor="text2"/>
          <w:sz w:val="24"/>
          <w:szCs w:val="24"/>
        </w:rPr>
      </w:pPr>
      <w:r w:rsidRPr="00706DC7">
        <w:rPr>
          <w:szCs w:val="24"/>
        </w:rPr>
        <w:lastRenderedPageBreak/>
        <w:drawing>
          <wp:inline distT="0" distB="0" distL="0" distR="0">
            <wp:extent cx="9067800" cy="6065788"/>
            <wp:effectExtent l="19050" t="0" r="0" b="0"/>
            <wp:docPr id="13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2" cstate="print"/>
                    <a:srcRect/>
                    <a:stretch>
                      <a:fillRect/>
                    </a:stretch>
                  </pic:blipFill>
                  <pic:spPr bwMode="auto">
                    <a:xfrm>
                      <a:off x="0" y="0"/>
                      <a:ext cx="9072245" cy="6068761"/>
                    </a:xfrm>
                    <a:prstGeom prst="rect">
                      <a:avLst/>
                    </a:prstGeom>
                    <a:noFill/>
                    <a:ln w="9525">
                      <a:noFill/>
                      <a:miter lim="800000"/>
                      <a:headEnd/>
                      <a:tailEnd/>
                    </a:ln>
                  </pic:spPr>
                </pic:pic>
              </a:graphicData>
            </a:graphic>
          </wp:inline>
        </w:drawing>
      </w:r>
    </w:p>
    <w:p w:rsidR="00D27A37" w:rsidRDefault="00706DC7" w:rsidP="00917E36">
      <w:pPr>
        <w:spacing w:before="0" w:after="0"/>
        <w:rPr>
          <w:rFonts w:ascii="Times New Roman" w:hAnsi="Times New Roman"/>
          <w:b/>
          <w:color w:val="1F497D" w:themeColor="text2"/>
          <w:sz w:val="24"/>
          <w:szCs w:val="24"/>
        </w:rPr>
      </w:pPr>
      <w:r w:rsidRPr="00706DC7">
        <w:rPr>
          <w:szCs w:val="24"/>
        </w:rPr>
        <w:lastRenderedPageBreak/>
        <w:drawing>
          <wp:inline distT="0" distB="0" distL="0" distR="0">
            <wp:extent cx="9067800" cy="6082122"/>
            <wp:effectExtent l="19050" t="0" r="0" b="0"/>
            <wp:docPr id="13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73" cstate="print"/>
                    <a:srcRect/>
                    <a:stretch>
                      <a:fillRect/>
                    </a:stretch>
                  </pic:blipFill>
                  <pic:spPr bwMode="auto">
                    <a:xfrm>
                      <a:off x="0" y="0"/>
                      <a:ext cx="9072245" cy="6085103"/>
                    </a:xfrm>
                    <a:prstGeom prst="rect">
                      <a:avLst/>
                    </a:prstGeom>
                    <a:noFill/>
                    <a:ln w="9525">
                      <a:noFill/>
                      <a:miter lim="800000"/>
                      <a:headEnd/>
                      <a:tailEnd/>
                    </a:ln>
                  </pic:spPr>
                </pic:pic>
              </a:graphicData>
            </a:graphic>
          </wp:inline>
        </w:drawing>
      </w:r>
    </w:p>
    <w:p w:rsidR="00D27A37" w:rsidRDefault="00706DC7" w:rsidP="00917E36">
      <w:pPr>
        <w:spacing w:before="0" w:after="0"/>
        <w:rPr>
          <w:rFonts w:ascii="Times New Roman" w:hAnsi="Times New Roman"/>
          <w:b/>
          <w:color w:val="1F497D" w:themeColor="text2"/>
          <w:sz w:val="24"/>
          <w:szCs w:val="24"/>
        </w:rPr>
      </w:pPr>
      <w:r w:rsidRPr="00706DC7">
        <w:rPr>
          <w:szCs w:val="24"/>
        </w:rPr>
        <w:lastRenderedPageBreak/>
        <w:drawing>
          <wp:inline distT="0" distB="0" distL="0" distR="0">
            <wp:extent cx="9067800" cy="5905500"/>
            <wp:effectExtent l="19050" t="0" r="0" b="0"/>
            <wp:docPr id="137"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4" cstate="print"/>
                    <a:srcRect/>
                    <a:stretch>
                      <a:fillRect/>
                    </a:stretch>
                  </pic:blipFill>
                  <pic:spPr bwMode="auto">
                    <a:xfrm>
                      <a:off x="0" y="0"/>
                      <a:ext cx="9072245" cy="5908395"/>
                    </a:xfrm>
                    <a:prstGeom prst="rect">
                      <a:avLst/>
                    </a:prstGeom>
                    <a:noFill/>
                    <a:ln w="9525">
                      <a:noFill/>
                      <a:miter lim="800000"/>
                      <a:headEnd/>
                      <a:tailEnd/>
                    </a:ln>
                  </pic:spPr>
                </pic:pic>
              </a:graphicData>
            </a:graphic>
          </wp:inline>
        </w:drawing>
      </w:r>
    </w:p>
    <w:p w:rsidR="00D27A37" w:rsidRDefault="00D27A37" w:rsidP="00917E36">
      <w:pPr>
        <w:spacing w:before="0" w:after="0"/>
        <w:rPr>
          <w:rFonts w:ascii="Times New Roman" w:hAnsi="Times New Roman"/>
          <w:b/>
          <w:color w:val="1F497D" w:themeColor="text2"/>
          <w:sz w:val="24"/>
          <w:szCs w:val="24"/>
        </w:rPr>
      </w:pPr>
    </w:p>
    <w:p w:rsidR="00C23C68" w:rsidRDefault="00706DC7">
      <w:pPr>
        <w:spacing w:before="0" w:after="0"/>
        <w:rPr>
          <w:rFonts w:ascii="Times New Roman" w:hAnsi="Times New Roman"/>
          <w:b/>
          <w:color w:val="1F497D" w:themeColor="text2"/>
          <w:sz w:val="24"/>
          <w:szCs w:val="24"/>
        </w:rPr>
      </w:pPr>
      <w:r w:rsidRPr="00706DC7">
        <w:rPr>
          <w:szCs w:val="24"/>
        </w:rPr>
        <w:lastRenderedPageBreak/>
        <w:drawing>
          <wp:inline distT="0" distB="0" distL="0" distR="0">
            <wp:extent cx="9067800" cy="6072597"/>
            <wp:effectExtent l="19050" t="0" r="0" b="0"/>
            <wp:docPr id="139"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5" cstate="print"/>
                    <a:srcRect/>
                    <a:stretch>
                      <a:fillRect/>
                    </a:stretch>
                  </pic:blipFill>
                  <pic:spPr bwMode="auto">
                    <a:xfrm>
                      <a:off x="0" y="0"/>
                      <a:ext cx="9072245" cy="6075574"/>
                    </a:xfrm>
                    <a:prstGeom prst="rect">
                      <a:avLst/>
                    </a:prstGeom>
                    <a:noFill/>
                    <a:ln w="9525">
                      <a:noFill/>
                      <a:miter lim="800000"/>
                      <a:headEnd/>
                      <a:tailEnd/>
                    </a:ln>
                  </pic:spPr>
                </pic:pic>
              </a:graphicData>
            </a:graphic>
          </wp:inline>
        </w:drawing>
      </w:r>
      <w:r w:rsidR="0024626A" w:rsidRPr="0024626A">
        <w:rPr>
          <w:rFonts w:ascii="Times New Roman" w:hAnsi="Times New Roman"/>
          <w:b/>
          <w:color w:val="1F497D" w:themeColor="text2"/>
          <w:sz w:val="24"/>
          <w:szCs w:val="24"/>
        </w:rPr>
        <w:lastRenderedPageBreak/>
        <w:t xml:space="preserve"> </w:t>
      </w:r>
      <w:r w:rsidRPr="00706DC7">
        <w:rPr>
          <w:szCs w:val="24"/>
        </w:rPr>
        <w:drawing>
          <wp:inline distT="0" distB="0" distL="0" distR="0">
            <wp:extent cx="9067800" cy="5676900"/>
            <wp:effectExtent l="19050" t="0" r="0" b="0"/>
            <wp:docPr id="140" name="Im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6" cstate="print"/>
                    <a:srcRect/>
                    <a:stretch>
                      <a:fillRect/>
                    </a:stretch>
                  </pic:blipFill>
                  <pic:spPr bwMode="auto">
                    <a:xfrm>
                      <a:off x="0" y="0"/>
                      <a:ext cx="9072245" cy="5679683"/>
                    </a:xfrm>
                    <a:prstGeom prst="rect">
                      <a:avLst/>
                    </a:prstGeom>
                    <a:noFill/>
                    <a:ln w="9525">
                      <a:noFill/>
                      <a:miter lim="800000"/>
                      <a:headEnd/>
                      <a:tailEnd/>
                    </a:ln>
                  </pic:spPr>
                </pic:pic>
              </a:graphicData>
            </a:graphic>
          </wp:inline>
        </w:drawing>
      </w:r>
      <w:r w:rsidRPr="00706DC7">
        <w:rPr>
          <w:rFonts w:ascii="Times New Roman" w:hAnsi="Times New Roman"/>
          <w:b/>
          <w:color w:val="1F497D" w:themeColor="text2"/>
          <w:sz w:val="24"/>
          <w:szCs w:val="24"/>
        </w:rPr>
        <w:t xml:space="preserve"> </w:t>
      </w:r>
      <w:r w:rsidRPr="00706DC7">
        <w:rPr>
          <w:szCs w:val="24"/>
        </w:rPr>
        <w:lastRenderedPageBreak/>
        <w:drawing>
          <wp:inline distT="0" distB="0" distL="0" distR="0">
            <wp:extent cx="9067800" cy="5972175"/>
            <wp:effectExtent l="19050" t="0" r="0" b="0"/>
            <wp:docPr id="141" name="Im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77" cstate="print"/>
                    <a:srcRect/>
                    <a:stretch>
                      <a:fillRect/>
                    </a:stretch>
                  </pic:blipFill>
                  <pic:spPr bwMode="auto">
                    <a:xfrm>
                      <a:off x="0" y="0"/>
                      <a:ext cx="9072245" cy="5975103"/>
                    </a:xfrm>
                    <a:prstGeom prst="rect">
                      <a:avLst/>
                    </a:prstGeom>
                    <a:noFill/>
                    <a:ln w="9525">
                      <a:noFill/>
                      <a:miter lim="800000"/>
                      <a:headEnd/>
                      <a:tailEnd/>
                    </a:ln>
                  </pic:spPr>
                </pic:pic>
              </a:graphicData>
            </a:graphic>
          </wp:inline>
        </w:drawing>
      </w:r>
      <w:r w:rsidRPr="00706DC7">
        <w:rPr>
          <w:rFonts w:ascii="Times New Roman" w:hAnsi="Times New Roman"/>
          <w:b/>
          <w:color w:val="1F497D" w:themeColor="text2"/>
          <w:sz w:val="24"/>
          <w:szCs w:val="24"/>
        </w:rPr>
        <w:lastRenderedPageBreak/>
        <w:t xml:space="preserve"> </w:t>
      </w:r>
      <w:r w:rsidRPr="00706DC7">
        <w:rPr>
          <w:szCs w:val="24"/>
        </w:rPr>
        <w:drawing>
          <wp:inline distT="0" distB="0" distL="0" distR="0">
            <wp:extent cx="9067800" cy="5729697"/>
            <wp:effectExtent l="19050" t="0" r="0" b="0"/>
            <wp:docPr id="142" name="Im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78" cstate="print"/>
                    <a:srcRect/>
                    <a:stretch>
                      <a:fillRect/>
                    </a:stretch>
                  </pic:blipFill>
                  <pic:spPr bwMode="auto">
                    <a:xfrm>
                      <a:off x="0" y="0"/>
                      <a:ext cx="9072245" cy="5732506"/>
                    </a:xfrm>
                    <a:prstGeom prst="rect">
                      <a:avLst/>
                    </a:prstGeom>
                    <a:noFill/>
                    <a:ln w="9525">
                      <a:noFill/>
                      <a:miter lim="800000"/>
                      <a:headEnd/>
                      <a:tailEnd/>
                    </a:ln>
                  </pic:spPr>
                </pic:pic>
              </a:graphicData>
            </a:graphic>
          </wp:inline>
        </w:drawing>
      </w:r>
      <w:r w:rsidRPr="00706DC7">
        <w:rPr>
          <w:rFonts w:ascii="Times New Roman" w:hAnsi="Times New Roman"/>
          <w:b/>
          <w:color w:val="1F497D" w:themeColor="text2"/>
          <w:sz w:val="24"/>
          <w:szCs w:val="24"/>
        </w:rPr>
        <w:t xml:space="preserve"> </w:t>
      </w:r>
      <w:r w:rsidRPr="00706DC7">
        <w:rPr>
          <w:szCs w:val="24"/>
        </w:rPr>
        <w:lastRenderedPageBreak/>
        <w:drawing>
          <wp:inline distT="0" distB="0" distL="0" distR="0">
            <wp:extent cx="9067800" cy="6024972"/>
            <wp:effectExtent l="19050" t="0" r="0" b="0"/>
            <wp:docPr id="143" name="Immagin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79" cstate="print"/>
                    <a:srcRect/>
                    <a:stretch>
                      <a:fillRect/>
                    </a:stretch>
                  </pic:blipFill>
                  <pic:spPr bwMode="auto">
                    <a:xfrm>
                      <a:off x="0" y="0"/>
                      <a:ext cx="9072245" cy="6027925"/>
                    </a:xfrm>
                    <a:prstGeom prst="rect">
                      <a:avLst/>
                    </a:prstGeom>
                    <a:noFill/>
                    <a:ln w="9525">
                      <a:noFill/>
                      <a:miter lim="800000"/>
                      <a:headEnd/>
                      <a:tailEnd/>
                    </a:ln>
                  </pic:spPr>
                </pic:pic>
              </a:graphicData>
            </a:graphic>
          </wp:inline>
        </w:drawing>
      </w:r>
      <w:r w:rsidRPr="00706DC7">
        <w:rPr>
          <w:rFonts w:ascii="Times New Roman" w:hAnsi="Times New Roman"/>
          <w:b/>
          <w:color w:val="1F497D" w:themeColor="text2"/>
          <w:sz w:val="24"/>
          <w:szCs w:val="24"/>
        </w:rPr>
        <w:lastRenderedPageBreak/>
        <w:t xml:space="preserve"> </w:t>
      </w:r>
      <w:r w:rsidRPr="00706DC7">
        <w:rPr>
          <w:szCs w:val="24"/>
        </w:rPr>
        <w:drawing>
          <wp:inline distT="0" distB="0" distL="0" distR="0">
            <wp:extent cx="9067800" cy="5715000"/>
            <wp:effectExtent l="19050" t="0" r="0" b="0"/>
            <wp:docPr id="144" name="Im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80" cstate="print"/>
                    <a:srcRect/>
                    <a:stretch>
                      <a:fillRect/>
                    </a:stretch>
                  </pic:blipFill>
                  <pic:spPr bwMode="auto">
                    <a:xfrm>
                      <a:off x="0" y="0"/>
                      <a:ext cx="9072245" cy="5717801"/>
                    </a:xfrm>
                    <a:prstGeom prst="rect">
                      <a:avLst/>
                    </a:prstGeom>
                    <a:noFill/>
                    <a:ln w="9525">
                      <a:noFill/>
                      <a:miter lim="800000"/>
                      <a:headEnd/>
                      <a:tailEnd/>
                    </a:ln>
                  </pic:spPr>
                </pic:pic>
              </a:graphicData>
            </a:graphic>
          </wp:inline>
        </w:drawing>
      </w:r>
      <w:r w:rsidRPr="00706DC7">
        <w:rPr>
          <w:rFonts w:ascii="Times New Roman" w:hAnsi="Times New Roman"/>
          <w:b/>
          <w:color w:val="1F497D" w:themeColor="text2"/>
          <w:sz w:val="24"/>
          <w:szCs w:val="24"/>
        </w:rPr>
        <w:t xml:space="preserve"> </w:t>
      </w:r>
      <w:r w:rsidRPr="00706DC7">
        <w:rPr>
          <w:szCs w:val="24"/>
        </w:rPr>
        <w:lastRenderedPageBreak/>
        <w:drawing>
          <wp:inline distT="0" distB="0" distL="0" distR="0">
            <wp:extent cx="9072245" cy="4684209"/>
            <wp:effectExtent l="19050" t="0" r="0" b="0"/>
            <wp:docPr id="146" name="Im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81" cstate="print"/>
                    <a:srcRect/>
                    <a:stretch>
                      <a:fillRect/>
                    </a:stretch>
                  </pic:blipFill>
                  <pic:spPr bwMode="auto">
                    <a:xfrm>
                      <a:off x="0" y="0"/>
                      <a:ext cx="9072245" cy="4684209"/>
                    </a:xfrm>
                    <a:prstGeom prst="rect">
                      <a:avLst/>
                    </a:prstGeom>
                    <a:noFill/>
                    <a:ln w="9525">
                      <a:noFill/>
                      <a:miter lim="800000"/>
                      <a:headEnd/>
                      <a:tailEnd/>
                    </a:ln>
                  </pic:spPr>
                </pic:pic>
              </a:graphicData>
            </a:graphic>
          </wp:inline>
        </w:drawing>
      </w:r>
      <w:r w:rsidR="0024626A" w:rsidRPr="0024626A">
        <w:rPr>
          <w:rFonts w:ascii="Times New Roman" w:hAnsi="Times New Roman"/>
          <w:b/>
          <w:color w:val="1F497D" w:themeColor="text2"/>
          <w:sz w:val="24"/>
          <w:szCs w:val="24"/>
        </w:rPr>
        <w:t xml:space="preserve">  </w:t>
      </w:r>
      <w:r w:rsidR="00C23C68">
        <w:rPr>
          <w:rFonts w:ascii="Times New Roman" w:hAnsi="Times New Roman"/>
          <w:b/>
          <w:color w:val="1F497D" w:themeColor="text2"/>
          <w:sz w:val="24"/>
          <w:szCs w:val="24"/>
        </w:rPr>
        <w:br w:type="page"/>
      </w:r>
    </w:p>
    <w:p w:rsidR="00C23C68" w:rsidRPr="00627274" w:rsidRDefault="00C23C68" w:rsidP="00627274">
      <w:pPr>
        <w:shd w:val="clear" w:color="auto" w:fill="FFFFFF" w:themeFill="background1"/>
        <w:spacing w:before="0" w:after="0"/>
        <w:rPr>
          <w:rFonts w:ascii="Arial" w:hAnsi="Arial" w:cs="Arial"/>
          <w:b/>
          <w:smallCaps/>
          <w:color w:val="1F497D" w:themeColor="text2"/>
          <w:sz w:val="24"/>
          <w:szCs w:val="24"/>
          <w:shd w:val="clear" w:color="auto" w:fill="FFFFFF" w:themeFill="background1"/>
        </w:rPr>
      </w:pPr>
      <w:r w:rsidRPr="00627274">
        <w:rPr>
          <w:rFonts w:ascii="Arial" w:hAnsi="Arial" w:cs="Arial"/>
          <w:b/>
          <w:smallCaps/>
          <w:color w:val="1F497D" w:themeColor="text2"/>
          <w:sz w:val="24"/>
          <w:szCs w:val="24"/>
          <w:shd w:val="clear" w:color="auto" w:fill="FFFFFF" w:themeFill="background1"/>
        </w:rPr>
        <w:lastRenderedPageBreak/>
        <w:t xml:space="preserve">EC Contracts in Palestine – </w:t>
      </w:r>
      <w:r w:rsidR="00004446" w:rsidRPr="00627274">
        <w:rPr>
          <w:rFonts w:ascii="Arial" w:hAnsi="Arial" w:cs="Arial"/>
          <w:b/>
          <w:smallCaps/>
          <w:color w:val="1F497D" w:themeColor="text2"/>
          <w:sz w:val="24"/>
          <w:szCs w:val="24"/>
          <w:shd w:val="clear" w:color="auto" w:fill="FFFFFF" w:themeFill="background1"/>
        </w:rPr>
        <w:t>Infrastructure</w:t>
      </w:r>
      <w:r w:rsidR="00627274">
        <w:rPr>
          <w:rFonts w:ascii="Arial" w:hAnsi="Arial" w:cs="Arial"/>
          <w:b/>
          <w:smallCaps/>
          <w:color w:val="1F497D" w:themeColor="text2"/>
          <w:sz w:val="24"/>
          <w:szCs w:val="24"/>
          <w:shd w:val="clear" w:color="auto" w:fill="FFFFFF" w:themeFill="background1"/>
        </w:rPr>
        <w:t xml:space="preserve"> Sector</w:t>
      </w:r>
    </w:p>
    <w:p w:rsidR="00D27A37" w:rsidRDefault="00706DC7" w:rsidP="00917E36">
      <w:pPr>
        <w:spacing w:before="0" w:after="0"/>
        <w:rPr>
          <w:rFonts w:ascii="Times New Roman" w:hAnsi="Times New Roman"/>
          <w:b/>
          <w:color w:val="1F497D" w:themeColor="text2"/>
          <w:sz w:val="24"/>
          <w:szCs w:val="24"/>
        </w:rPr>
      </w:pPr>
      <w:r w:rsidRPr="00706DC7">
        <w:rPr>
          <w:szCs w:val="24"/>
        </w:rPr>
        <w:drawing>
          <wp:inline distT="0" distB="0" distL="0" distR="0">
            <wp:extent cx="9067800" cy="5739222"/>
            <wp:effectExtent l="19050" t="0" r="0" b="0"/>
            <wp:docPr id="147" name="Immagin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82" cstate="print"/>
                    <a:srcRect/>
                    <a:stretch>
                      <a:fillRect/>
                    </a:stretch>
                  </pic:blipFill>
                  <pic:spPr bwMode="auto">
                    <a:xfrm>
                      <a:off x="0" y="0"/>
                      <a:ext cx="9072245" cy="5742035"/>
                    </a:xfrm>
                    <a:prstGeom prst="rect">
                      <a:avLst/>
                    </a:prstGeom>
                    <a:noFill/>
                    <a:ln w="9525">
                      <a:noFill/>
                      <a:miter lim="800000"/>
                      <a:headEnd/>
                      <a:tailEnd/>
                    </a:ln>
                  </pic:spPr>
                </pic:pic>
              </a:graphicData>
            </a:graphic>
          </wp:inline>
        </w:drawing>
      </w:r>
    </w:p>
    <w:p w:rsidR="00D27A37" w:rsidRDefault="00706DC7" w:rsidP="00917E36">
      <w:pPr>
        <w:spacing w:before="0" w:after="0"/>
        <w:rPr>
          <w:rFonts w:ascii="Times New Roman" w:hAnsi="Times New Roman"/>
          <w:b/>
          <w:color w:val="1F497D" w:themeColor="text2"/>
          <w:sz w:val="24"/>
          <w:szCs w:val="24"/>
        </w:rPr>
      </w:pPr>
      <w:r w:rsidRPr="00706DC7">
        <w:rPr>
          <w:szCs w:val="24"/>
        </w:rPr>
        <w:lastRenderedPageBreak/>
        <w:drawing>
          <wp:inline distT="0" distB="0" distL="0" distR="0">
            <wp:extent cx="9067800" cy="6124575"/>
            <wp:effectExtent l="19050" t="0" r="0" b="0"/>
            <wp:docPr id="149" name="Im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83" cstate="print"/>
                    <a:srcRect/>
                    <a:stretch>
                      <a:fillRect/>
                    </a:stretch>
                  </pic:blipFill>
                  <pic:spPr bwMode="auto">
                    <a:xfrm>
                      <a:off x="0" y="0"/>
                      <a:ext cx="9072245" cy="6127577"/>
                    </a:xfrm>
                    <a:prstGeom prst="rect">
                      <a:avLst/>
                    </a:prstGeom>
                    <a:noFill/>
                    <a:ln w="9525">
                      <a:noFill/>
                      <a:miter lim="800000"/>
                      <a:headEnd/>
                      <a:tailEnd/>
                    </a:ln>
                  </pic:spPr>
                </pic:pic>
              </a:graphicData>
            </a:graphic>
          </wp:inline>
        </w:drawing>
      </w:r>
    </w:p>
    <w:p w:rsidR="00C23C68" w:rsidRPr="00627274" w:rsidRDefault="00C23C68" w:rsidP="00627274">
      <w:pPr>
        <w:shd w:val="clear" w:color="auto" w:fill="FFFFFF" w:themeFill="background1"/>
        <w:spacing w:before="0" w:after="0"/>
        <w:rPr>
          <w:rFonts w:ascii="Arial" w:hAnsi="Arial" w:cs="Arial"/>
          <w:b/>
          <w:smallCaps/>
          <w:color w:val="1F497D" w:themeColor="text2"/>
          <w:sz w:val="24"/>
          <w:szCs w:val="24"/>
          <w:shd w:val="clear" w:color="auto" w:fill="FFFFFF" w:themeFill="background1"/>
        </w:rPr>
      </w:pPr>
      <w:r w:rsidRPr="00627274">
        <w:rPr>
          <w:rFonts w:ascii="Arial" w:hAnsi="Arial" w:cs="Arial"/>
          <w:b/>
          <w:smallCaps/>
          <w:color w:val="1F497D" w:themeColor="text2"/>
          <w:sz w:val="24"/>
          <w:szCs w:val="24"/>
          <w:shd w:val="clear" w:color="auto" w:fill="FFFFFF" w:themeFill="background1"/>
        </w:rPr>
        <w:lastRenderedPageBreak/>
        <w:t xml:space="preserve">EC Contracts in Palestine – </w:t>
      </w:r>
      <w:r w:rsidR="003C3712" w:rsidRPr="00627274">
        <w:rPr>
          <w:rFonts w:ascii="Arial" w:hAnsi="Arial" w:cs="Arial"/>
          <w:b/>
          <w:smallCaps/>
          <w:color w:val="1F497D" w:themeColor="text2"/>
          <w:sz w:val="24"/>
          <w:szCs w:val="24"/>
          <w:shd w:val="clear" w:color="auto" w:fill="FFFFFF" w:themeFill="background1"/>
        </w:rPr>
        <w:t xml:space="preserve">Private sector Development </w:t>
      </w:r>
    </w:p>
    <w:p w:rsidR="00C23C68" w:rsidRPr="00444DFA" w:rsidRDefault="006B039B" w:rsidP="00C23C68">
      <w:pPr>
        <w:spacing w:before="0" w:after="0"/>
        <w:rPr>
          <w:rFonts w:ascii="Times New Roman" w:hAnsi="Times New Roman"/>
          <w:b/>
          <w:color w:val="1F497D" w:themeColor="text2"/>
          <w:sz w:val="24"/>
          <w:szCs w:val="24"/>
        </w:rPr>
      </w:pPr>
      <w:r w:rsidRPr="006B039B">
        <w:rPr>
          <w:szCs w:val="24"/>
        </w:rPr>
        <w:drawing>
          <wp:inline distT="0" distB="0" distL="0" distR="0">
            <wp:extent cx="9072245" cy="4684209"/>
            <wp:effectExtent l="19050" t="0" r="0" b="0"/>
            <wp:docPr id="150" name="Immagin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84" cstate="print"/>
                    <a:srcRect/>
                    <a:stretch>
                      <a:fillRect/>
                    </a:stretch>
                  </pic:blipFill>
                  <pic:spPr bwMode="auto">
                    <a:xfrm>
                      <a:off x="0" y="0"/>
                      <a:ext cx="9072245" cy="4684209"/>
                    </a:xfrm>
                    <a:prstGeom prst="rect">
                      <a:avLst/>
                    </a:prstGeom>
                    <a:noFill/>
                    <a:ln w="9525">
                      <a:noFill/>
                      <a:miter lim="800000"/>
                      <a:headEnd/>
                      <a:tailEnd/>
                    </a:ln>
                  </pic:spPr>
                </pic:pic>
              </a:graphicData>
            </a:graphic>
          </wp:inline>
        </w:drawing>
      </w:r>
    </w:p>
    <w:p w:rsidR="00C23C68" w:rsidRDefault="00C23C68" w:rsidP="00C23C68">
      <w:pPr>
        <w:spacing w:before="0" w:after="0"/>
        <w:rPr>
          <w:rFonts w:ascii="Times New Roman" w:hAnsi="Times New Roman"/>
          <w:b/>
          <w:color w:val="1F497D" w:themeColor="text2"/>
          <w:sz w:val="24"/>
          <w:szCs w:val="24"/>
        </w:rPr>
      </w:pPr>
    </w:p>
    <w:p w:rsidR="00627274" w:rsidRDefault="006B039B" w:rsidP="00627274">
      <w:pPr>
        <w:shd w:val="clear" w:color="auto" w:fill="FFFFFF" w:themeFill="background1"/>
        <w:spacing w:before="0" w:after="0"/>
        <w:rPr>
          <w:rFonts w:ascii="Arial" w:hAnsi="Arial" w:cs="Arial"/>
          <w:b/>
          <w:smallCaps/>
          <w:color w:val="1F497D" w:themeColor="text2"/>
          <w:sz w:val="24"/>
          <w:szCs w:val="24"/>
          <w:shd w:val="clear" w:color="auto" w:fill="FFFFFF" w:themeFill="background1"/>
        </w:rPr>
      </w:pPr>
      <w:r w:rsidRPr="006B039B">
        <w:rPr>
          <w:szCs w:val="24"/>
          <w:shd w:val="clear" w:color="auto" w:fill="FFFFFF" w:themeFill="background1"/>
        </w:rPr>
        <w:lastRenderedPageBreak/>
        <w:drawing>
          <wp:inline distT="0" distB="0" distL="0" distR="0">
            <wp:extent cx="9072245" cy="4372448"/>
            <wp:effectExtent l="19050" t="0" r="0" b="0"/>
            <wp:docPr id="151" name="Im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85" cstate="print"/>
                    <a:srcRect/>
                    <a:stretch>
                      <a:fillRect/>
                    </a:stretch>
                  </pic:blipFill>
                  <pic:spPr bwMode="auto">
                    <a:xfrm>
                      <a:off x="0" y="0"/>
                      <a:ext cx="9072245" cy="4372448"/>
                    </a:xfrm>
                    <a:prstGeom prst="rect">
                      <a:avLst/>
                    </a:prstGeom>
                    <a:noFill/>
                    <a:ln w="9525">
                      <a:noFill/>
                      <a:miter lim="800000"/>
                      <a:headEnd/>
                      <a:tailEnd/>
                    </a:ln>
                  </pic:spPr>
                </pic:pic>
              </a:graphicData>
            </a:graphic>
          </wp:inline>
        </w:drawing>
      </w:r>
    </w:p>
    <w:p w:rsidR="005800A6" w:rsidRDefault="005800A6">
      <w:pPr>
        <w:spacing w:before="0" w:after="0"/>
        <w:rPr>
          <w:rFonts w:ascii="Arial" w:hAnsi="Arial" w:cs="Arial"/>
          <w:b/>
          <w:smallCaps/>
          <w:color w:val="1F497D" w:themeColor="text2"/>
          <w:sz w:val="24"/>
          <w:szCs w:val="24"/>
          <w:shd w:val="clear" w:color="auto" w:fill="FFFFFF" w:themeFill="background1"/>
        </w:rPr>
      </w:pPr>
      <w:r>
        <w:rPr>
          <w:rFonts w:ascii="Arial" w:hAnsi="Arial" w:cs="Arial"/>
          <w:b/>
          <w:smallCaps/>
          <w:color w:val="1F497D" w:themeColor="text2"/>
          <w:sz w:val="24"/>
          <w:szCs w:val="24"/>
          <w:shd w:val="clear" w:color="auto" w:fill="FFFFFF" w:themeFill="background1"/>
        </w:rPr>
        <w:br w:type="page"/>
      </w:r>
    </w:p>
    <w:p w:rsidR="006D1442" w:rsidRPr="00627274" w:rsidRDefault="006D1442" w:rsidP="00627274">
      <w:pPr>
        <w:shd w:val="clear" w:color="auto" w:fill="FFFFFF" w:themeFill="background1"/>
        <w:spacing w:before="0" w:after="0"/>
        <w:rPr>
          <w:rFonts w:ascii="Arial" w:hAnsi="Arial" w:cs="Arial"/>
          <w:b/>
          <w:smallCaps/>
          <w:color w:val="1F497D" w:themeColor="text2"/>
          <w:sz w:val="24"/>
          <w:szCs w:val="24"/>
          <w:shd w:val="clear" w:color="auto" w:fill="FFFFFF" w:themeFill="background1"/>
        </w:rPr>
      </w:pPr>
      <w:r w:rsidRPr="00627274">
        <w:rPr>
          <w:rFonts w:ascii="Arial" w:hAnsi="Arial" w:cs="Arial"/>
          <w:b/>
          <w:smallCaps/>
          <w:color w:val="1F497D" w:themeColor="text2"/>
          <w:sz w:val="24"/>
          <w:szCs w:val="24"/>
          <w:shd w:val="clear" w:color="auto" w:fill="FFFFFF" w:themeFill="background1"/>
        </w:rPr>
        <w:lastRenderedPageBreak/>
        <w:t xml:space="preserve">EC Contracts in Palestine – Social sector </w:t>
      </w:r>
    </w:p>
    <w:p w:rsidR="00C23C68" w:rsidRDefault="000C211F" w:rsidP="00C23C68">
      <w:pPr>
        <w:spacing w:before="0" w:after="0"/>
        <w:rPr>
          <w:rFonts w:ascii="Times New Roman" w:hAnsi="Times New Roman"/>
          <w:b/>
          <w:color w:val="1F497D" w:themeColor="text2"/>
          <w:sz w:val="24"/>
          <w:szCs w:val="24"/>
        </w:rPr>
      </w:pPr>
      <w:r w:rsidRPr="000C211F">
        <w:rPr>
          <w:szCs w:val="24"/>
        </w:rPr>
        <w:drawing>
          <wp:inline distT="0" distB="0" distL="0" distR="0">
            <wp:extent cx="9067799" cy="5800725"/>
            <wp:effectExtent l="19050" t="0" r="1" b="0"/>
            <wp:docPr id="152" name="Im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86" cstate="print"/>
                    <a:srcRect/>
                    <a:stretch>
                      <a:fillRect/>
                    </a:stretch>
                  </pic:blipFill>
                  <pic:spPr bwMode="auto">
                    <a:xfrm>
                      <a:off x="0" y="0"/>
                      <a:ext cx="9072245" cy="5803569"/>
                    </a:xfrm>
                    <a:prstGeom prst="rect">
                      <a:avLst/>
                    </a:prstGeom>
                    <a:noFill/>
                    <a:ln w="9525">
                      <a:noFill/>
                      <a:miter lim="800000"/>
                      <a:headEnd/>
                      <a:tailEnd/>
                    </a:ln>
                  </pic:spPr>
                </pic:pic>
              </a:graphicData>
            </a:graphic>
          </wp:inline>
        </w:drawing>
      </w:r>
    </w:p>
    <w:p w:rsidR="00C23C68" w:rsidRDefault="000C211F" w:rsidP="00C23C68">
      <w:pPr>
        <w:spacing w:before="0" w:after="0"/>
        <w:rPr>
          <w:rFonts w:ascii="Times New Roman" w:hAnsi="Times New Roman"/>
          <w:b/>
          <w:color w:val="1F497D" w:themeColor="text2"/>
          <w:sz w:val="24"/>
          <w:szCs w:val="24"/>
        </w:rPr>
      </w:pPr>
      <w:r w:rsidRPr="000C211F">
        <w:rPr>
          <w:szCs w:val="24"/>
        </w:rPr>
        <w:lastRenderedPageBreak/>
        <w:drawing>
          <wp:inline distT="0" distB="0" distL="0" distR="0">
            <wp:extent cx="9067800" cy="6105525"/>
            <wp:effectExtent l="19050" t="0" r="0" b="0"/>
            <wp:docPr id="153" name="Im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87" cstate="print"/>
                    <a:srcRect/>
                    <a:stretch>
                      <a:fillRect/>
                    </a:stretch>
                  </pic:blipFill>
                  <pic:spPr bwMode="auto">
                    <a:xfrm>
                      <a:off x="0" y="0"/>
                      <a:ext cx="9072245" cy="6108518"/>
                    </a:xfrm>
                    <a:prstGeom prst="rect">
                      <a:avLst/>
                    </a:prstGeom>
                    <a:noFill/>
                    <a:ln w="9525">
                      <a:noFill/>
                      <a:miter lim="800000"/>
                      <a:headEnd/>
                      <a:tailEnd/>
                    </a:ln>
                  </pic:spPr>
                </pic:pic>
              </a:graphicData>
            </a:graphic>
          </wp:inline>
        </w:drawing>
      </w:r>
    </w:p>
    <w:p w:rsidR="00C23C68" w:rsidRDefault="000C211F" w:rsidP="00C23C68">
      <w:pPr>
        <w:spacing w:before="0" w:after="0"/>
        <w:rPr>
          <w:rFonts w:ascii="Times New Roman" w:hAnsi="Times New Roman"/>
          <w:b/>
          <w:color w:val="1F497D" w:themeColor="text2"/>
          <w:sz w:val="24"/>
          <w:szCs w:val="24"/>
        </w:rPr>
      </w:pPr>
      <w:r w:rsidRPr="000C211F">
        <w:rPr>
          <w:szCs w:val="24"/>
        </w:rPr>
        <w:lastRenderedPageBreak/>
        <w:drawing>
          <wp:inline distT="0" distB="0" distL="0" distR="0">
            <wp:extent cx="9067800" cy="5815422"/>
            <wp:effectExtent l="19050" t="0" r="0" b="0"/>
            <wp:docPr id="154" name="Im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88" cstate="print"/>
                    <a:srcRect/>
                    <a:stretch>
                      <a:fillRect/>
                    </a:stretch>
                  </pic:blipFill>
                  <pic:spPr bwMode="auto">
                    <a:xfrm>
                      <a:off x="0" y="0"/>
                      <a:ext cx="9072245" cy="5818273"/>
                    </a:xfrm>
                    <a:prstGeom prst="rect">
                      <a:avLst/>
                    </a:prstGeom>
                    <a:noFill/>
                    <a:ln w="9525">
                      <a:noFill/>
                      <a:miter lim="800000"/>
                      <a:headEnd/>
                      <a:tailEnd/>
                    </a:ln>
                  </pic:spPr>
                </pic:pic>
              </a:graphicData>
            </a:graphic>
          </wp:inline>
        </w:drawing>
      </w:r>
    </w:p>
    <w:p w:rsidR="00C23C68" w:rsidRDefault="00C23C68" w:rsidP="00C23C68">
      <w:pPr>
        <w:spacing w:before="0" w:after="0"/>
        <w:rPr>
          <w:rFonts w:ascii="Times New Roman" w:hAnsi="Times New Roman"/>
          <w:b/>
          <w:color w:val="1F497D" w:themeColor="text2"/>
          <w:sz w:val="24"/>
          <w:szCs w:val="24"/>
        </w:rPr>
      </w:pPr>
    </w:p>
    <w:p w:rsidR="00C23C68" w:rsidRDefault="000C211F" w:rsidP="00C23C68">
      <w:pPr>
        <w:spacing w:before="0" w:after="0"/>
        <w:rPr>
          <w:rFonts w:ascii="Times New Roman" w:hAnsi="Times New Roman"/>
          <w:b/>
          <w:color w:val="1F497D" w:themeColor="text2"/>
          <w:sz w:val="24"/>
          <w:szCs w:val="24"/>
        </w:rPr>
      </w:pPr>
      <w:r w:rsidRPr="000C211F">
        <w:rPr>
          <w:szCs w:val="24"/>
        </w:rPr>
        <w:lastRenderedPageBreak/>
        <w:drawing>
          <wp:inline distT="0" distB="0" distL="0" distR="0">
            <wp:extent cx="9067800" cy="6120222"/>
            <wp:effectExtent l="19050" t="0" r="0" b="0"/>
            <wp:docPr id="155" name="Im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89" cstate="print"/>
                    <a:srcRect/>
                    <a:stretch>
                      <a:fillRect/>
                    </a:stretch>
                  </pic:blipFill>
                  <pic:spPr bwMode="auto">
                    <a:xfrm>
                      <a:off x="0" y="0"/>
                      <a:ext cx="9072245" cy="6123222"/>
                    </a:xfrm>
                    <a:prstGeom prst="rect">
                      <a:avLst/>
                    </a:prstGeom>
                    <a:noFill/>
                    <a:ln w="9525">
                      <a:noFill/>
                      <a:miter lim="800000"/>
                      <a:headEnd/>
                      <a:tailEnd/>
                    </a:ln>
                  </pic:spPr>
                </pic:pic>
              </a:graphicData>
            </a:graphic>
          </wp:inline>
        </w:drawing>
      </w:r>
    </w:p>
    <w:p w:rsidR="00C23C68" w:rsidRDefault="000C211F" w:rsidP="00C23C68">
      <w:pPr>
        <w:spacing w:before="0" w:after="0"/>
        <w:rPr>
          <w:rFonts w:ascii="Times New Roman" w:hAnsi="Times New Roman"/>
          <w:b/>
          <w:color w:val="1F497D" w:themeColor="text2"/>
          <w:sz w:val="24"/>
          <w:szCs w:val="24"/>
        </w:rPr>
      </w:pPr>
      <w:r w:rsidRPr="000C211F">
        <w:rPr>
          <w:szCs w:val="24"/>
        </w:rPr>
        <w:lastRenderedPageBreak/>
        <w:drawing>
          <wp:inline distT="0" distB="0" distL="0" distR="0">
            <wp:extent cx="9067800" cy="6091647"/>
            <wp:effectExtent l="19050" t="0" r="0" b="0"/>
            <wp:docPr id="156" name="Immagin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90" cstate="print"/>
                    <a:srcRect/>
                    <a:stretch>
                      <a:fillRect/>
                    </a:stretch>
                  </pic:blipFill>
                  <pic:spPr bwMode="auto">
                    <a:xfrm>
                      <a:off x="0" y="0"/>
                      <a:ext cx="9072245" cy="6094633"/>
                    </a:xfrm>
                    <a:prstGeom prst="rect">
                      <a:avLst/>
                    </a:prstGeom>
                    <a:noFill/>
                    <a:ln w="9525">
                      <a:noFill/>
                      <a:miter lim="800000"/>
                      <a:headEnd/>
                      <a:tailEnd/>
                    </a:ln>
                  </pic:spPr>
                </pic:pic>
              </a:graphicData>
            </a:graphic>
          </wp:inline>
        </w:drawing>
      </w:r>
    </w:p>
    <w:p w:rsidR="00C23C68" w:rsidRDefault="000C211F" w:rsidP="00C23C68">
      <w:pPr>
        <w:spacing w:before="0" w:after="0"/>
        <w:rPr>
          <w:rFonts w:ascii="Times New Roman" w:hAnsi="Times New Roman"/>
          <w:b/>
          <w:color w:val="1F497D" w:themeColor="text2"/>
          <w:sz w:val="24"/>
          <w:szCs w:val="24"/>
        </w:rPr>
      </w:pPr>
      <w:r w:rsidRPr="000C211F">
        <w:rPr>
          <w:szCs w:val="24"/>
        </w:rPr>
        <w:lastRenderedPageBreak/>
        <w:drawing>
          <wp:inline distT="0" distB="0" distL="0" distR="0">
            <wp:extent cx="9067800" cy="6158322"/>
            <wp:effectExtent l="19050" t="0" r="0" b="0"/>
            <wp:docPr id="157" name="Immagin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91" cstate="print"/>
                    <a:srcRect/>
                    <a:stretch>
                      <a:fillRect/>
                    </a:stretch>
                  </pic:blipFill>
                  <pic:spPr bwMode="auto">
                    <a:xfrm>
                      <a:off x="0" y="0"/>
                      <a:ext cx="9072245" cy="6161341"/>
                    </a:xfrm>
                    <a:prstGeom prst="rect">
                      <a:avLst/>
                    </a:prstGeom>
                    <a:noFill/>
                    <a:ln w="9525">
                      <a:noFill/>
                      <a:miter lim="800000"/>
                      <a:headEnd/>
                      <a:tailEnd/>
                    </a:ln>
                  </pic:spPr>
                </pic:pic>
              </a:graphicData>
            </a:graphic>
          </wp:inline>
        </w:drawing>
      </w:r>
    </w:p>
    <w:p w:rsidR="00C23C68" w:rsidRDefault="000C211F" w:rsidP="00C23C68">
      <w:pPr>
        <w:spacing w:before="0" w:after="0"/>
        <w:rPr>
          <w:rFonts w:ascii="Times New Roman" w:hAnsi="Times New Roman"/>
          <w:b/>
          <w:color w:val="1F497D" w:themeColor="text2"/>
          <w:sz w:val="24"/>
          <w:szCs w:val="24"/>
        </w:rPr>
      </w:pPr>
      <w:r w:rsidRPr="000C211F">
        <w:rPr>
          <w:szCs w:val="24"/>
        </w:rPr>
        <w:lastRenderedPageBreak/>
        <w:drawing>
          <wp:inline distT="0" distB="0" distL="0" distR="0">
            <wp:extent cx="9067800" cy="6010275"/>
            <wp:effectExtent l="19050" t="0" r="0" b="0"/>
            <wp:docPr id="158" name="Im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92" cstate="print"/>
                    <a:srcRect/>
                    <a:stretch>
                      <a:fillRect/>
                    </a:stretch>
                  </pic:blipFill>
                  <pic:spPr bwMode="auto">
                    <a:xfrm>
                      <a:off x="0" y="0"/>
                      <a:ext cx="9072245" cy="6013221"/>
                    </a:xfrm>
                    <a:prstGeom prst="rect">
                      <a:avLst/>
                    </a:prstGeom>
                    <a:noFill/>
                    <a:ln w="9525">
                      <a:noFill/>
                      <a:miter lim="800000"/>
                      <a:headEnd/>
                      <a:tailEnd/>
                    </a:ln>
                  </pic:spPr>
                </pic:pic>
              </a:graphicData>
            </a:graphic>
          </wp:inline>
        </w:drawing>
      </w:r>
    </w:p>
    <w:p w:rsidR="00627274" w:rsidRDefault="000C211F">
      <w:pPr>
        <w:spacing w:before="0" w:after="0"/>
        <w:rPr>
          <w:rFonts w:ascii="Times New Roman" w:hAnsi="Times New Roman"/>
          <w:b/>
          <w:color w:val="1F497D" w:themeColor="text2"/>
          <w:sz w:val="24"/>
          <w:szCs w:val="24"/>
        </w:rPr>
      </w:pPr>
      <w:r w:rsidRPr="000C211F">
        <w:rPr>
          <w:szCs w:val="24"/>
        </w:rPr>
        <w:lastRenderedPageBreak/>
        <w:drawing>
          <wp:inline distT="0" distB="0" distL="0" distR="0">
            <wp:extent cx="9067800" cy="5967822"/>
            <wp:effectExtent l="19050" t="0" r="0" b="0"/>
            <wp:docPr id="159" name="Im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93" cstate="print"/>
                    <a:srcRect/>
                    <a:stretch>
                      <a:fillRect/>
                    </a:stretch>
                  </pic:blipFill>
                  <pic:spPr bwMode="auto">
                    <a:xfrm>
                      <a:off x="0" y="0"/>
                      <a:ext cx="9072245" cy="5970747"/>
                    </a:xfrm>
                    <a:prstGeom prst="rect">
                      <a:avLst/>
                    </a:prstGeom>
                    <a:noFill/>
                    <a:ln w="9525">
                      <a:noFill/>
                      <a:miter lim="800000"/>
                      <a:headEnd/>
                      <a:tailEnd/>
                    </a:ln>
                  </pic:spPr>
                </pic:pic>
              </a:graphicData>
            </a:graphic>
          </wp:inline>
        </w:drawing>
      </w:r>
    </w:p>
    <w:p w:rsidR="00627274" w:rsidRPr="00627274" w:rsidRDefault="00627274" w:rsidP="00627274">
      <w:pPr>
        <w:shd w:val="clear" w:color="auto" w:fill="FFFFFF" w:themeFill="background1"/>
        <w:spacing w:before="0" w:after="0"/>
        <w:rPr>
          <w:rFonts w:ascii="Arial" w:hAnsi="Arial" w:cs="Arial"/>
          <w:b/>
          <w:smallCaps/>
          <w:color w:val="1F497D" w:themeColor="text2"/>
          <w:sz w:val="24"/>
          <w:szCs w:val="24"/>
          <w:shd w:val="clear" w:color="auto" w:fill="FFFFFF" w:themeFill="background1"/>
        </w:rPr>
      </w:pPr>
      <w:r w:rsidRPr="00627274">
        <w:rPr>
          <w:rFonts w:ascii="Arial" w:hAnsi="Arial" w:cs="Arial"/>
          <w:b/>
          <w:smallCaps/>
          <w:color w:val="1F497D" w:themeColor="text2"/>
          <w:sz w:val="24"/>
          <w:szCs w:val="24"/>
          <w:shd w:val="clear" w:color="auto" w:fill="FFFFFF" w:themeFill="background1"/>
        </w:rPr>
        <w:lastRenderedPageBreak/>
        <w:t xml:space="preserve">EC Contracts in Palestine – </w:t>
      </w:r>
      <w:r>
        <w:rPr>
          <w:rFonts w:ascii="Arial" w:hAnsi="Arial" w:cs="Arial"/>
          <w:b/>
          <w:smallCaps/>
          <w:color w:val="1F497D" w:themeColor="text2"/>
          <w:sz w:val="24"/>
          <w:szCs w:val="24"/>
          <w:shd w:val="clear" w:color="auto" w:fill="FFFFFF" w:themeFill="background1"/>
        </w:rPr>
        <w:t>Waste water and sanitation</w:t>
      </w:r>
      <w:r w:rsidRPr="00627274">
        <w:rPr>
          <w:rFonts w:ascii="Arial" w:hAnsi="Arial" w:cs="Arial"/>
          <w:b/>
          <w:smallCaps/>
          <w:color w:val="1F497D" w:themeColor="text2"/>
          <w:sz w:val="24"/>
          <w:szCs w:val="24"/>
          <w:shd w:val="clear" w:color="auto" w:fill="FFFFFF" w:themeFill="background1"/>
        </w:rPr>
        <w:t xml:space="preserve"> </w:t>
      </w:r>
    </w:p>
    <w:p w:rsidR="00F1602F" w:rsidRDefault="000C211F" w:rsidP="00917E36">
      <w:pPr>
        <w:spacing w:before="0" w:after="0"/>
        <w:rPr>
          <w:rFonts w:ascii="Times New Roman" w:hAnsi="Times New Roman"/>
          <w:b/>
          <w:color w:val="1F497D" w:themeColor="text2"/>
          <w:sz w:val="24"/>
          <w:szCs w:val="24"/>
        </w:rPr>
      </w:pPr>
      <w:r w:rsidRPr="000C211F">
        <w:rPr>
          <w:szCs w:val="24"/>
        </w:rPr>
        <w:drawing>
          <wp:inline distT="0" distB="0" distL="0" distR="0">
            <wp:extent cx="9072245" cy="5931253"/>
            <wp:effectExtent l="19050" t="0" r="0" b="0"/>
            <wp:docPr id="192" name="Immagin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94" cstate="print"/>
                    <a:srcRect/>
                    <a:stretch>
                      <a:fillRect/>
                    </a:stretch>
                  </pic:blipFill>
                  <pic:spPr bwMode="auto">
                    <a:xfrm>
                      <a:off x="0" y="0"/>
                      <a:ext cx="9072245" cy="5931253"/>
                    </a:xfrm>
                    <a:prstGeom prst="rect">
                      <a:avLst/>
                    </a:prstGeom>
                    <a:noFill/>
                    <a:ln w="9525">
                      <a:noFill/>
                      <a:miter lim="800000"/>
                      <a:headEnd/>
                      <a:tailEnd/>
                    </a:ln>
                  </pic:spPr>
                </pic:pic>
              </a:graphicData>
            </a:graphic>
          </wp:inline>
        </w:drawing>
      </w:r>
    </w:p>
    <w:p w:rsidR="00F1602F" w:rsidRDefault="000C211F" w:rsidP="00917E36">
      <w:pPr>
        <w:spacing w:before="0" w:after="0"/>
        <w:rPr>
          <w:rFonts w:ascii="Times New Roman" w:hAnsi="Times New Roman"/>
          <w:b/>
          <w:color w:val="1F497D" w:themeColor="text2"/>
          <w:sz w:val="24"/>
          <w:szCs w:val="24"/>
        </w:rPr>
      </w:pPr>
      <w:r w:rsidRPr="000C211F">
        <w:rPr>
          <w:szCs w:val="24"/>
        </w:rPr>
        <w:lastRenderedPageBreak/>
        <w:drawing>
          <wp:inline distT="0" distB="0" distL="0" distR="0">
            <wp:extent cx="9072245" cy="3437165"/>
            <wp:effectExtent l="19050" t="0" r="0" b="0"/>
            <wp:docPr id="193" name="Im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95" cstate="print"/>
                    <a:srcRect/>
                    <a:stretch>
                      <a:fillRect/>
                    </a:stretch>
                  </pic:blipFill>
                  <pic:spPr bwMode="auto">
                    <a:xfrm>
                      <a:off x="0" y="0"/>
                      <a:ext cx="9072245" cy="3437165"/>
                    </a:xfrm>
                    <a:prstGeom prst="rect">
                      <a:avLst/>
                    </a:prstGeom>
                    <a:noFill/>
                    <a:ln w="9525">
                      <a:noFill/>
                      <a:miter lim="800000"/>
                      <a:headEnd/>
                      <a:tailEnd/>
                    </a:ln>
                  </pic:spPr>
                </pic:pic>
              </a:graphicData>
            </a:graphic>
          </wp:inline>
        </w:drawing>
      </w:r>
    </w:p>
    <w:p w:rsidR="00F1602F" w:rsidRDefault="00F1602F" w:rsidP="00917E36">
      <w:pPr>
        <w:spacing w:before="0" w:after="0"/>
        <w:rPr>
          <w:rFonts w:ascii="Times New Roman" w:hAnsi="Times New Roman"/>
          <w:b/>
          <w:color w:val="1F497D" w:themeColor="text2"/>
          <w:sz w:val="24"/>
          <w:szCs w:val="24"/>
        </w:rPr>
      </w:pPr>
    </w:p>
    <w:p w:rsidR="00F1602F" w:rsidRDefault="00F1602F" w:rsidP="00917E36">
      <w:pPr>
        <w:spacing w:before="0" w:after="0"/>
        <w:rPr>
          <w:rFonts w:ascii="Times New Roman" w:hAnsi="Times New Roman"/>
          <w:b/>
          <w:color w:val="1F497D" w:themeColor="text2"/>
          <w:sz w:val="24"/>
          <w:szCs w:val="24"/>
        </w:rPr>
      </w:pPr>
    </w:p>
    <w:p w:rsidR="00623080" w:rsidRDefault="00623080" w:rsidP="00917E36">
      <w:pPr>
        <w:spacing w:before="0" w:after="0"/>
        <w:rPr>
          <w:rFonts w:ascii="Times New Roman" w:hAnsi="Times New Roman"/>
          <w:b/>
          <w:color w:val="1F497D" w:themeColor="text2"/>
          <w:sz w:val="24"/>
          <w:szCs w:val="24"/>
        </w:rPr>
        <w:sectPr w:rsidR="00623080" w:rsidSect="00E15817">
          <w:footerReference w:type="default" r:id="rId196"/>
          <w:pgSz w:w="16838" w:h="11906" w:orient="landscape"/>
          <w:pgMar w:top="1134" w:right="1417" w:bottom="1134" w:left="1134" w:header="708" w:footer="708" w:gutter="0"/>
          <w:cols w:space="708"/>
          <w:docGrid w:linePitch="360"/>
        </w:sectPr>
      </w:pPr>
    </w:p>
    <w:p w:rsidR="0034151E" w:rsidRDefault="0034151E" w:rsidP="005E7468">
      <w:pPr>
        <w:pStyle w:val="Titolo1"/>
      </w:pPr>
      <w:bookmarkStart w:id="111" w:name="_Toc382998029"/>
      <w:r w:rsidRPr="0098181B">
        <w:lastRenderedPageBreak/>
        <w:t xml:space="preserve">ANNEX </w:t>
      </w:r>
      <w:r w:rsidR="00043271">
        <w:t>10</w:t>
      </w:r>
      <w:r w:rsidRPr="0098181B">
        <w:t>: LIST OF ECHO INTERVENTIONS IN PALESTINE</w:t>
      </w:r>
      <w:bookmarkEnd w:id="111"/>
    </w:p>
    <w:p w:rsidR="00765219" w:rsidRPr="00765219" w:rsidRDefault="00765219" w:rsidP="00765219">
      <w:pPr>
        <w:rPr>
          <w:lang w:val="en-GB" w:eastAsia="pl-PL"/>
        </w:rPr>
      </w:pPr>
    </w:p>
    <w:p w:rsidR="00E37F81" w:rsidRDefault="00765219" w:rsidP="00917E36">
      <w:pPr>
        <w:spacing w:before="0" w:after="0"/>
      </w:pPr>
      <w:r w:rsidRPr="00765219">
        <w:drawing>
          <wp:inline distT="0" distB="0" distL="0" distR="0">
            <wp:extent cx="9067800" cy="5381625"/>
            <wp:effectExtent l="19050" t="0" r="0" b="0"/>
            <wp:docPr id="194" name="Im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97" cstate="print"/>
                    <a:srcRect/>
                    <a:stretch>
                      <a:fillRect/>
                    </a:stretch>
                  </pic:blipFill>
                  <pic:spPr bwMode="auto">
                    <a:xfrm>
                      <a:off x="0" y="0"/>
                      <a:ext cx="9072245" cy="5384263"/>
                    </a:xfrm>
                    <a:prstGeom prst="rect">
                      <a:avLst/>
                    </a:prstGeom>
                    <a:noFill/>
                    <a:ln w="9525">
                      <a:noFill/>
                      <a:miter lim="800000"/>
                      <a:headEnd/>
                      <a:tailEnd/>
                    </a:ln>
                  </pic:spPr>
                </pic:pic>
              </a:graphicData>
            </a:graphic>
          </wp:inline>
        </w:drawing>
      </w:r>
    </w:p>
    <w:p w:rsidR="00917E36" w:rsidRDefault="00765219" w:rsidP="000550D3">
      <w:r w:rsidRPr="00765219">
        <w:lastRenderedPageBreak/>
        <w:drawing>
          <wp:inline distT="0" distB="0" distL="0" distR="0">
            <wp:extent cx="9067800" cy="6010275"/>
            <wp:effectExtent l="19050" t="0" r="0" b="0"/>
            <wp:docPr id="195" name="Immagin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98" cstate="print"/>
                    <a:srcRect/>
                    <a:stretch>
                      <a:fillRect/>
                    </a:stretch>
                  </pic:blipFill>
                  <pic:spPr bwMode="auto">
                    <a:xfrm>
                      <a:off x="0" y="0"/>
                      <a:ext cx="9072245" cy="6013221"/>
                    </a:xfrm>
                    <a:prstGeom prst="rect">
                      <a:avLst/>
                    </a:prstGeom>
                    <a:noFill/>
                    <a:ln w="9525">
                      <a:noFill/>
                      <a:miter lim="800000"/>
                      <a:headEnd/>
                      <a:tailEnd/>
                    </a:ln>
                  </pic:spPr>
                </pic:pic>
              </a:graphicData>
            </a:graphic>
          </wp:inline>
        </w:drawing>
      </w:r>
    </w:p>
    <w:p w:rsidR="00917E36" w:rsidRDefault="00765219" w:rsidP="000550D3">
      <w:r w:rsidRPr="00765219">
        <w:lastRenderedPageBreak/>
        <w:drawing>
          <wp:inline distT="0" distB="0" distL="0" distR="0">
            <wp:extent cx="9067800" cy="6000750"/>
            <wp:effectExtent l="19050" t="0" r="0" b="0"/>
            <wp:docPr id="196" name="Immagin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99" cstate="print"/>
                    <a:srcRect/>
                    <a:stretch>
                      <a:fillRect/>
                    </a:stretch>
                  </pic:blipFill>
                  <pic:spPr bwMode="auto">
                    <a:xfrm>
                      <a:off x="0" y="0"/>
                      <a:ext cx="9072245" cy="6003692"/>
                    </a:xfrm>
                    <a:prstGeom prst="rect">
                      <a:avLst/>
                    </a:prstGeom>
                    <a:noFill/>
                    <a:ln w="9525">
                      <a:noFill/>
                      <a:miter lim="800000"/>
                      <a:headEnd/>
                      <a:tailEnd/>
                    </a:ln>
                  </pic:spPr>
                </pic:pic>
              </a:graphicData>
            </a:graphic>
          </wp:inline>
        </w:drawing>
      </w:r>
    </w:p>
    <w:p w:rsidR="00917E36" w:rsidRDefault="00765219" w:rsidP="000550D3">
      <w:r w:rsidRPr="00765219">
        <w:lastRenderedPageBreak/>
        <w:drawing>
          <wp:inline distT="0" distB="0" distL="0" distR="0">
            <wp:extent cx="9067800" cy="5962650"/>
            <wp:effectExtent l="19050" t="0" r="0" b="0"/>
            <wp:docPr id="197" name="Immagin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00" cstate="print"/>
                    <a:srcRect/>
                    <a:stretch>
                      <a:fillRect/>
                    </a:stretch>
                  </pic:blipFill>
                  <pic:spPr bwMode="auto">
                    <a:xfrm>
                      <a:off x="0" y="0"/>
                      <a:ext cx="9072245" cy="5965573"/>
                    </a:xfrm>
                    <a:prstGeom prst="rect">
                      <a:avLst/>
                    </a:prstGeom>
                    <a:noFill/>
                    <a:ln w="9525">
                      <a:noFill/>
                      <a:miter lim="800000"/>
                      <a:headEnd/>
                      <a:tailEnd/>
                    </a:ln>
                  </pic:spPr>
                </pic:pic>
              </a:graphicData>
            </a:graphic>
          </wp:inline>
        </w:drawing>
      </w:r>
    </w:p>
    <w:p w:rsidR="00BB5EF6" w:rsidRDefault="00765219" w:rsidP="000550D3">
      <w:r w:rsidRPr="00765219">
        <w:lastRenderedPageBreak/>
        <w:drawing>
          <wp:inline distT="0" distB="0" distL="0" distR="0">
            <wp:extent cx="9067800" cy="5917740"/>
            <wp:effectExtent l="19050" t="0" r="0" b="0"/>
            <wp:docPr id="198" name="Immagin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01" cstate="print"/>
                    <a:srcRect/>
                    <a:stretch>
                      <a:fillRect/>
                    </a:stretch>
                  </pic:blipFill>
                  <pic:spPr bwMode="auto">
                    <a:xfrm>
                      <a:off x="0" y="0"/>
                      <a:ext cx="9072245" cy="5920641"/>
                    </a:xfrm>
                    <a:prstGeom prst="rect">
                      <a:avLst/>
                    </a:prstGeom>
                    <a:noFill/>
                    <a:ln w="9525">
                      <a:noFill/>
                      <a:miter lim="800000"/>
                      <a:headEnd/>
                      <a:tailEnd/>
                    </a:ln>
                  </pic:spPr>
                </pic:pic>
              </a:graphicData>
            </a:graphic>
          </wp:inline>
        </w:drawing>
      </w:r>
    </w:p>
    <w:p w:rsidR="00C509D5" w:rsidRDefault="00765219" w:rsidP="000550D3">
      <w:r w:rsidRPr="00765219">
        <w:lastRenderedPageBreak/>
        <w:drawing>
          <wp:inline distT="0" distB="0" distL="0" distR="0">
            <wp:extent cx="9067800" cy="5924550"/>
            <wp:effectExtent l="19050" t="0" r="0" b="0"/>
            <wp:docPr id="199" name="Immagin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02" cstate="print"/>
                    <a:srcRect/>
                    <a:stretch>
                      <a:fillRect/>
                    </a:stretch>
                  </pic:blipFill>
                  <pic:spPr bwMode="auto">
                    <a:xfrm>
                      <a:off x="0" y="0"/>
                      <a:ext cx="9072245" cy="5927454"/>
                    </a:xfrm>
                    <a:prstGeom prst="rect">
                      <a:avLst/>
                    </a:prstGeom>
                    <a:noFill/>
                    <a:ln w="9525">
                      <a:noFill/>
                      <a:miter lim="800000"/>
                      <a:headEnd/>
                      <a:tailEnd/>
                    </a:ln>
                  </pic:spPr>
                </pic:pic>
              </a:graphicData>
            </a:graphic>
          </wp:inline>
        </w:drawing>
      </w:r>
    </w:p>
    <w:p w:rsidR="00C509D5" w:rsidRDefault="00765219" w:rsidP="000550D3">
      <w:r w:rsidRPr="00765219">
        <w:lastRenderedPageBreak/>
        <w:drawing>
          <wp:inline distT="0" distB="0" distL="0" distR="0">
            <wp:extent cx="9067800" cy="5917740"/>
            <wp:effectExtent l="19050" t="0" r="0" b="0"/>
            <wp:docPr id="200" name="Immagin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03" cstate="print"/>
                    <a:srcRect/>
                    <a:stretch>
                      <a:fillRect/>
                    </a:stretch>
                  </pic:blipFill>
                  <pic:spPr bwMode="auto">
                    <a:xfrm>
                      <a:off x="0" y="0"/>
                      <a:ext cx="9072245" cy="5920641"/>
                    </a:xfrm>
                    <a:prstGeom prst="rect">
                      <a:avLst/>
                    </a:prstGeom>
                    <a:noFill/>
                    <a:ln w="9525">
                      <a:noFill/>
                      <a:miter lim="800000"/>
                      <a:headEnd/>
                      <a:tailEnd/>
                    </a:ln>
                  </pic:spPr>
                </pic:pic>
              </a:graphicData>
            </a:graphic>
          </wp:inline>
        </w:drawing>
      </w:r>
    </w:p>
    <w:p w:rsidR="00C509D5" w:rsidRDefault="00765219" w:rsidP="000550D3">
      <w:r w:rsidRPr="00765219">
        <w:lastRenderedPageBreak/>
        <w:drawing>
          <wp:inline distT="0" distB="0" distL="0" distR="0">
            <wp:extent cx="9067800" cy="5991225"/>
            <wp:effectExtent l="19050" t="0" r="0" b="0"/>
            <wp:docPr id="201" name="Immagin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04" cstate="print"/>
                    <a:srcRect/>
                    <a:stretch>
                      <a:fillRect/>
                    </a:stretch>
                  </pic:blipFill>
                  <pic:spPr bwMode="auto">
                    <a:xfrm>
                      <a:off x="0" y="0"/>
                      <a:ext cx="9072245" cy="5994162"/>
                    </a:xfrm>
                    <a:prstGeom prst="rect">
                      <a:avLst/>
                    </a:prstGeom>
                    <a:noFill/>
                    <a:ln w="9525">
                      <a:noFill/>
                      <a:miter lim="800000"/>
                      <a:headEnd/>
                      <a:tailEnd/>
                    </a:ln>
                  </pic:spPr>
                </pic:pic>
              </a:graphicData>
            </a:graphic>
          </wp:inline>
        </w:drawing>
      </w:r>
    </w:p>
    <w:p w:rsidR="00C509D5" w:rsidRDefault="00765219" w:rsidP="000550D3">
      <w:r w:rsidRPr="00765219">
        <w:lastRenderedPageBreak/>
        <w:drawing>
          <wp:inline distT="0" distB="0" distL="0" distR="0">
            <wp:extent cx="9067800" cy="5953125"/>
            <wp:effectExtent l="19050" t="0" r="0" b="0"/>
            <wp:docPr id="202" name="Immagin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05" cstate="print"/>
                    <a:srcRect/>
                    <a:stretch>
                      <a:fillRect/>
                    </a:stretch>
                  </pic:blipFill>
                  <pic:spPr bwMode="auto">
                    <a:xfrm>
                      <a:off x="0" y="0"/>
                      <a:ext cx="9072245" cy="5956043"/>
                    </a:xfrm>
                    <a:prstGeom prst="rect">
                      <a:avLst/>
                    </a:prstGeom>
                    <a:noFill/>
                    <a:ln w="9525">
                      <a:noFill/>
                      <a:miter lim="800000"/>
                      <a:headEnd/>
                      <a:tailEnd/>
                    </a:ln>
                  </pic:spPr>
                </pic:pic>
              </a:graphicData>
            </a:graphic>
          </wp:inline>
        </w:drawing>
      </w:r>
    </w:p>
    <w:p w:rsidR="00C509D5" w:rsidRDefault="00765219" w:rsidP="000550D3">
      <w:r w:rsidRPr="00765219">
        <w:lastRenderedPageBreak/>
        <w:drawing>
          <wp:inline distT="0" distB="0" distL="0" distR="0">
            <wp:extent cx="9067800" cy="5962650"/>
            <wp:effectExtent l="19050" t="0" r="0" b="0"/>
            <wp:docPr id="203" name="Immagin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06" cstate="print"/>
                    <a:srcRect/>
                    <a:stretch>
                      <a:fillRect/>
                    </a:stretch>
                  </pic:blipFill>
                  <pic:spPr bwMode="auto">
                    <a:xfrm>
                      <a:off x="0" y="0"/>
                      <a:ext cx="9072245" cy="5965573"/>
                    </a:xfrm>
                    <a:prstGeom prst="rect">
                      <a:avLst/>
                    </a:prstGeom>
                    <a:noFill/>
                    <a:ln w="9525">
                      <a:noFill/>
                      <a:miter lim="800000"/>
                      <a:headEnd/>
                      <a:tailEnd/>
                    </a:ln>
                  </pic:spPr>
                </pic:pic>
              </a:graphicData>
            </a:graphic>
          </wp:inline>
        </w:drawing>
      </w:r>
    </w:p>
    <w:p w:rsidR="00C509D5" w:rsidRDefault="00C509D5" w:rsidP="000550D3"/>
    <w:p w:rsidR="00C509D5" w:rsidRDefault="00765219" w:rsidP="000550D3">
      <w:pPr>
        <w:sectPr w:rsidR="00C509D5" w:rsidSect="00E15817">
          <w:footerReference w:type="default" r:id="rId207"/>
          <w:pgSz w:w="16838" w:h="11906" w:orient="landscape"/>
          <w:pgMar w:top="1134" w:right="1417" w:bottom="1134" w:left="1134" w:header="708" w:footer="708" w:gutter="0"/>
          <w:cols w:space="708"/>
          <w:docGrid w:linePitch="360"/>
        </w:sectPr>
      </w:pPr>
      <w:r w:rsidRPr="00765219">
        <w:drawing>
          <wp:inline distT="0" distB="0" distL="0" distR="0">
            <wp:extent cx="9072245" cy="1990752"/>
            <wp:effectExtent l="19050" t="0" r="0" b="0"/>
            <wp:docPr id="204" name="Immagin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08" cstate="print"/>
                    <a:srcRect/>
                    <a:stretch>
                      <a:fillRect/>
                    </a:stretch>
                  </pic:blipFill>
                  <pic:spPr bwMode="auto">
                    <a:xfrm>
                      <a:off x="0" y="0"/>
                      <a:ext cx="9072245" cy="1990752"/>
                    </a:xfrm>
                    <a:prstGeom prst="rect">
                      <a:avLst/>
                    </a:prstGeom>
                    <a:noFill/>
                    <a:ln w="9525">
                      <a:noFill/>
                      <a:miter lim="800000"/>
                      <a:headEnd/>
                      <a:tailEnd/>
                    </a:ln>
                  </pic:spPr>
                </pic:pic>
              </a:graphicData>
            </a:graphic>
          </wp:inline>
        </w:drawing>
      </w:r>
    </w:p>
    <w:p w:rsidR="00BB5EF6" w:rsidRPr="00BB5EF6" w:rsidRDefault="00BB5EF6" w:rsidP="005E7468">
      <w:pPr>
        <w:pStyle w:val="Titolo1"/>
      </w:pPr>
      <w:bookmarkStart w:id="112" w:name="_Toc367447871"/>
      <w:bookmarkStart w:id="113" w:name="_Toc368935172"/>
      <w:bookmarkStart w:id="114" w:name="_Toc382998030"/>
      <w:r>
        <w:lastRenderedPageBreak/>
        <w:t xml:space="preserve">Annex </w:t>
      </w:r>
      <w:r w:rsidR="00BA588A">
        <w:t>1</w:t>
      </w:r>
      <w:r w:rsidR="00043271">
        <w:t>1</w:t>
      </w:r>
      <w:r>
        <w:t xml:space="preserve">: </w:t>
      </w:r>
      <w:r w:rsidRPr="00BB5EF6">
        <w:t>Comparative analysis of projects “Result-Oriented Monitoring”</w:t>
      </w:r>
      <w:bookmarkEnd w:id="112"/>
      <w:bookmarkEnd w:id="113"/>
      <w:bookmarkEnd w:id="114"/>
    </w:p>
    <w:p w:rsidR="005E7468" w:rsidRDefault="005E7468" w:rsidP="00BB5EF6">
      <w:pPr>
        <w:spacing w:before="0" w:after="0"/>
        <w:rPr>
          <w:rFonts w:ascii="Arial" w:hAnsi="Arial" w:cs="Arial"/>
          <w:b/>
          <w:color w:val="1F497D" w:themeColor="text2"/>
          <w:sz w:val="22"/>
          <w:szCs w:val="22"/>
        </w:rPr>
      </w:pPr>
    </w:p>
    <w:p w:rsidR="00BB5EF6" w:rsidRPr="005E7468" w:rsidRDefault="00BB5EF6" w:rsidP="00BB5EF6">
      <w:pPr>
        <w:spacing w:before="0" w:after="0"/>
        <w:rPr>
          <w:rFonts w:ascii="Arial" w:hAnsi="Arial" w:cs="Arial"/>
          <w:b/>
          <w:caps/>
          <w:color w:val="1F497D" w:themeColor="text2"/>
          <w:sz w:val="24"/>
          <w:szCs w:val="24"/>
        </w:rPr>
      </w:pPr>
      <w:r w:rsidRPr="005E7468">
        <w:rPr>
          <w:rFonts w:ascii="Arial" w:hAnsi="Arial" w:cs="Arial"/>
          <w:b/>
          <w:caps/>
          <w:color w:val="1F497D" w:themeColor="text2"/>
          <w:sz w:val="24"/>
          <w:szCs w:val="24"/>
        </w:rPr>
        <w:t>Introduction</w:t>
      </w:r>
    </w:p>
    <w:p w:rsidR="00BB5EF6" w:rsidRPr="005E7468" w:rsidRDefault="00BB5EF6" w:rsidP="00BB5EF6">
      <w:pPr>
        <w:spacing w:before="0" w:after="0"/>
        <w:rPr>
          <w:rFonts w:ascii="Arial" w:hAnsi="Arial" w:cs="Arial"/>
          <w:sz w:val="22"/>
          <w:szCs w:val="22"/>
        </w:rPr>
      </w:pPr>
      <w:r w:rsidRPr="005E7468">
        <w:rPr>
          <w:rFonts w:ascii="Arial" w:hAnsi="Arial" w:cs="Arial"/>
          <w:sz w:val="22"/>
          <w:szCs w:val="22"/>
        </w:rPr>
        <w:t xml:space="preserve">The focus of the evaluation being on the political goals and strategies of cooperation efforts, the evaluation team debated the relevance of using Results-Oriented Monitoring reports, a tool for project-level assessment. </w:t>
      </w:r>
    </w:p>
    <w:p w:rsidR="00BB5EF6" w:rsidRPr="005E7468" w:rsidRDefault="00BB5EF6" w:rsidP="00BB5EF6">
      <w:pPr>
        <w:spacing w:before="0" w:after="0"/>
        <w:rPr>
          <w:rFonts w:ascii="Arial" w:hAnsi="Arial" w:cs="Arial"/>
          <w:sz w:val="22"/>
          <w:szCs w:val="22"/>
        </w:rPr>
      </w:pPr>
    </w:p>
    <w:p w:rsidR="00BB5EF6" w:rsidRPr="005E7468" w:rsidRDefault="00BB5EF6" w:rsidP="00BB5EF6">
      <w:pPr>
        <w:spacing w:before="0" w:after="0"/>
        <w:rPr>
          <w:rFonts w:ascii="Arial" w:hAnsi="Arial" w:cs="Arial"/>
          <w:sz w:val="22"/>
          <w:szCs w:val="22"/>
        </w:rPr>
      </w:pPr>
      <w:r w:rsidRPr="005E7468">
        <w:rPr>
          <w:rFonts w:ascii="Arial" w:hAnsi="Arial" w:cs="Arial"/>
          <w:sz w:val="22"/>
          <w:szCs w:val="22"/>
        </w:rPr>
        <w:t>A detailed analysis of ROM documents showed that valuable information could be extracted, since:</w:t>
      </w:r>
    </w:p>
    <w:p w:rsidR="00BB5EF6" w:rsidRPr="005E7468" w:rsidRDefault="00BB5EF6" w:rsidP="00B54C8F">
      <w:pPr>
        <w:pStyle w:val="Paragrafoelenco"/>
        <w:numPr>
          <w:ilvl w:val="0"/>
          <w:numId w:val="60"/>
        </w:numPr>
        <w:spacing w:before="0" w:after="0"/>
        <w:rPr>
          <w:rFonts w:ascii="Arial" w:hAnsi="Arial" w:cs="Arial"/>
          <w:sz w:val="22"/>
          <w:szCs w:val="22"/>
        </w:rPr>
      </w:pPr>
      <w:r w:rsidRPr="005E7468">
        <w:rPr>
          <w:rFonts w:ascii="Arial" w:hAnsi="Arial" w:cs="Arial"/>
          <w:sz w:val="22"/>
          <w:szCs w:val="22"/>
        </w:rPr>
        <w:t>ROM is implemented over a representative sample of EC projects;</w:t>
      </w:r>
    </w:p>
    <w:p w:rsidR="00BB5EF6" w:rsidRPr="005E7468" w:rsidRDefault="00BB5EF6" w:rsidP="00B54C8F">
      <w:pPr>
        <w:pStyle w:val="Paragrafoelenco"/>
        <w:numPr>
          <w:ilvl w:val="0"/>
          <w:numId w:val="60"/>
        </w:numPr>
        <w:spacing w:before="0" w:after="0"/>
        <w:rPr>
          <w:rFonts w:ascii="Arial" w:hAnsi="Arial" w:cs="Arial"/>
          <w:sz w:val="22"/>
          <w:szCs w:val="22"/>
        </w:rPr>
      </w:pPr>
      <w:r w:rsidRPr="005E7468">
        <w:rPr>
          <w:rFonts w:ascii="Arial" w:hAnsi="Arial" w:cs="Arial"/>
          <w:sz w:val="22"/>
          <w:szCs w:val="22"/>
        </w:rPr>
        <w:t>the application of a harmonized methodology and scoring system allows comparability of data across projects;</w:t>
      </w:r>
    </w:p>
    <w:p w:rsidR="00BB5EF6" w:rsidRPr="005E7468" w:rsidRDefault="00BB5EF6" w:rsidP="00B54C8F">
      <w:pPr>
        <w:pStyle w:val="Paragrafoelenco"/>
        <w:numPr>
          <w:ilvl w:val="0"/>
          <w:numId w:val="60"/>
        </w:numPr>
        <w:spacing w:before="0" w:after="0"/>
        <w:rPr>
          <w:rFonts w:ascii="Arial" w:hAnsi="Arial" w:cs="Arial"/>
          <w:sz w:val="22"/>
          <w:szCs w:val="22"/>
        </w:rPr>
      </w:pPr>
      <w:r w:rsidRPr="005E7468">
        <w:rPr>
          <w:rFonts w:ascii="Arial" w:hAnsi="Arial" w:cs="Arial"/>
          <w:sz w:val="22"/>
          <w:szCs w:val="22"/>
        </w:rPr>
        <w:t>several assessment criteria used by ROM address specific issues raised by the Evaluation Questions and Judgment Criteria.</w:t>
      </w:r>
    </w:p>
    <w:p w:rsidR="00BB5EF6" w:rsidRPr="005E7468" w:rsidRDefault="00BB5EF6" w:rsidP="00BB5EF6">
      <w:pPr>
        <w:spacing w:before="0" w:after="0"/>
        <w:rPr>
          <w:rFonts w:ascii="Arial" w:hAnsi="Arial" w:cs="Arial"/>
          <w:sz w:val="22"/>
          <w:szCs w:val="22"/>
        </w:rPr>
      </w:pPr>
    </w:p>
    <w:p w:rsidR="00BB5EF6" w:rsidRPr="005E7468" w:rsidRDefault="00BB5EF6" w:rsidP="00BB5EF6">
      <w:pPr>
        <w:spacing w:before="0" w:after="0"/>
        <w:rPr>
          <w:rFonts w:ascii="Arial" w:hAnsi="Arial" w:cs="Arial"/>
          <w:sz w:val="22"/>
          <w:szCs w:val="22"/>
        </w:rPr>
      </w:pPr>
      <w:r w:rsidRPr="005E7468">
        <w:rPr>
          <w:rFonts w:ascii="Arial" w:hAnsi="Arial" w:cs="Arial"/>
          <w:sz w:val="22"/>
          <w:szCs w:val="22"/>
        </w:rPr>
        <w:t xml:space="preserve">Therefore a detailed analysis of available ROM documents </w:t>
      </w:r>
      <w:r w:rsidR="000349CD" w:rsidRPr="005E7468">
        <w:rPr>
          <w:rFonts w:ascii="Arial" w:hAnsi="Arial" w:cs="Arial"/>
          <w:sz w:val="22"/>
          <w:szCs w:val="22"/>
        </w:rPr>
        <w:t>has</w:t>
      </w:r>
      <w:r w:rsidRPr="005E7468">
        <w:rPr>
          <w:rFonts w:ascii="Arial" w:hAnsi="Arial" w:cs="Arial"/>
          <w:sz w:val="22"/>
          <w:szCs w:val="22"/>
        </w:rPr>
        <w:t xml:space="preserve"> contribute</w:t>
      </w:r>
      <w:r w:rsidR="000349CD" w:rsidRPr="005E7468">
        <w:rPr>
          <w:rFonts w:ascii="Arial" w:hAnsi="Arial" w:cs="Arial"/>
          <w:sz w:val="22"/>
          <w:szCs w:val="22"/>
        </w:rPr>
        <w:t>d</w:t>
      </w:r>
      <w:r w:rsidRPr="005E7468">
        <w:rPr>
          <w:rFonts w:ascii="Arial" w:hAnsi="Arial" w:cs="Arial"/>
          <w:sz w:val="22"/>
          <w:szCs w:val="22"/>
        </w:rPr>
        <w:t xml:space="preserve"> to the evaluation findings, building additional evidence through external assessment of projects.</w:t>
      </w:r>
    </w:p>
    <w:p w:rsidR="00BB5EF6" w:rsidRPr="005E7468" w:rsidRDefault="00BB5EF6" w:rsidP="00BB5EF6">
      <w:pPr>
        <w:spacing w:before="0" w:after="0"/>
        <w:rPr>
          <w:rFonts w:ascii="Arial" w:hAnsi="Arial" w:cs="Arial"/>
          <w:sz w:val="22"/>
          <w:szCs w:val="22"/>
        </w:rPr>
      </w:pPr>
    </w:p>
    <w:p w:rsidR="00BB5EF6" w:rsidRPr="005E7468" w:rsidRDefault="00BB5EF6" w:rsidP="00BB5EF6">
      <w:pPr>
        <w:spacing w:before="0" w:after="0"/>
        <w:rPr>
          <w:rFonts w:ascii="Arial" w:hAnsi="Arial" w:cs="Arial"/>
          <w:b/>
          <w:caps/>
          <w:color w:val="1F497D" w:themeColor="text2"/>
          <w:sz w:val="24"/>
          <w:szCs w:val="24"/>
        </w:rPr>
      </w:pPr>
      <w:r w:rsidRPr="005E7468">
        <w:rPr>
          <w:rFonts w:ascii="Arial" w:hAnsi="Arial" w:cs="Arial"/>
          <w:b/>
          <w:caps/>
          <w:color w:val="1F497D" w:themeColor="text2"/>
          <w:sz w:val="24"/>
          <w:szCs w:val="24"/>
        </w:rPr>
        <w:t>Overview of available result-oriented monitoring reports</w:t>
      </w:r>
    </w:p>
    <w:p w:rsidR="00BB5EF6" w:rsidRPr="005E7468" w:rsidRDefault="00BB5EF6" w:rsidP="00BB5EF6">
      <w:pPr>
        <w:spacing w:before="0" w:after="0"/>
        <w:rPr>
          <w:rFonts w:ascii="Arial" w:hAnsi="Arial" w:cs="Arial"/>
          <w:sz w:val="22"/>
          <w:szCs w:val="22"/>
        </w:rPr>
      </w:pPr>
      <w:r w:rsidRPr="005E7468">
        <w:rPr>
          <w:rFonts w:ascii="Arial" w:hAnsi="Arial" w:cs="Arial"/>
          <w:sz w:val="22"/>
          <w:szCs w:val="22"/>
        </w:rPr>
        <w:t xml:space="preserve">Table 1 </w:t>
      </w:r>
      <w:r w:rsidRPr="005E7468">
        <w:rPr>
          <w:rFonts w:ascii="Arial" w:hAnsi="Arial" w:cs="Arial"/>
          <w:sz w:val="22"/>
          <w:szCs w:val="22"/>
          <w:lang w:val="en-GB"/>
        </w:rPr>
        <w:t>provides an overview of the available ROM data in relation to the interventions funded in the period covered by the evaluation. Out of the 480 funded contracts in Palestine 36 (7,5%) have at least one ROM, a full list being provided below.</w:t>
      </w:r>
    </w:p>
    <w:p w:rsidR="00BB5EF6" w:rsidRPr="00BB5EF6" w:rsidRDefault="00BB5EF6" w:rsidP="00BB5EF6">
      <w:pPr>
        <w:spacing w:before="0" w:after="0"/>
        <w:rPr>
          <w:rFonts w:ascii="Times New Roman" w:hAnsi="Times New Roman"/>
        </w:rPr>
      </w:pPr>
    </w:p>
    <w:p w:rsidR="00BB5EF6" w:rsidRPr="00BB5EF6" w:rsidRDefault="00BB5EF6" w:rsidP="00D714DB">
      <w:pPr>
        <w:pStyle w:val="Didascalia"/>
        <w:framePr w:wrap="around"/>
        <w:rPr>
          <w:lang w:val="en-GB"/>
        </w:rPr>
      </w:pPr>
      <w:bookmarkStart w:id="115" w:name="_Toc368935198"/>
      <w:r w:rsidRPr="00BB5EF6">
        <w:t>Ta</w:t>
      </w:r>
      <w:r>
        <w:t>ble 1</w:t>
      </w:r>
      <w:r w:rsidRPr="00BB5EF6">
        <w:t xml:space="preserve">: </w:t>
      </w:r>
      <w:r w:rsidRPr="00BB5EF6">
        <w:rPr>
          <w:lang w:val="en-GB"/>
        </w:rPr>
        <w:t>Summary of ROMs for 2008 – 2012 Cooperation with Palestine</w:t>
      </w:r>
      <w:bookmarkEnd w:id="115"/>
    </w:p>
    <w:tbl>
      <w:tblPr>
        <w:tblW w:w="6948"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70" w:type="dxa"/>
          <w:right w:w="70" w:type="dxa"/>
        </w:tblCellMar>
        <w:tblLook w:val="04A0"/>
      </w:tblPr>
      <w:tblGrid>
        <w:gridCol w:w="1389"/>
        <w:gridCol w:w="1390"/>
        <w:gridCol w:w="1389"/>
        <w:gridCol w:w="1390"/>
        <w:gridCol w:w="1390"/>
      </w:tblGrid>
      <w:tr w:rsidR="00BB5EF6" w:rsidRPr="005E7468" w:rsidTr="0098181B">
        <w:trPr>
          <w:trHeight w:val="300"/>
          <w:jc w:val="center"/>
        </w:trPr>
        <w:tc>
          <w:tcPr>
            <w:tcW w:w="1389" w:type="dxa"/>
            <w:tcBorders>
              <w:bottom w:val="single" w:sz="4" w:space="0" w:color="auto"/>
            </w:tcBorders>
            <w:shd w:val="clear" w:color="auto" w:fill="4F81BD" w:themeFill="accent1"/>
            <w:noWrap/>
            <w:vAlign w:val="center"/>
            <w:hideMark/>
          </w:tcPr>
          <w:p w:rsidR="00BB5EF6" w:rsidRPr="005E7468" w:rsidRDefault="00BB5EF6" w:rsidP="00BB5EF6">
            <w:pPr>
              <w:spacing w:before="0" w:after="0"/>
              <w:jc w:val="center"/>
              <w:rPr>
                <w:rFonts w:ascii="Arial" w:hAnsi="Arial" w:cs="Arial"/>
                <w:b/>
                <w:color w:val="FFFFFF" w:themeColor="background1"/>
                <w:sz w:val="18"/>
                <w:szCs w:val="18"/>
                <w:lang w:val="en-GB"/>
              </w:rPr>
            </w:pPr>
            <w:r w:rsidRPr="005E7468">
              <w:rPr>
                <w:rFonts w:ascii="Arial" w:hAnsi="Arial" w:cs="Arial"/>
                <w:b/>
                <w:color w:val="FFFFFF" w:themeColor="background1"/>
                <w:sz w:val="18"/>
                <w:szCs w:val="18"/>
                <w:lang w:val="en-GB"/>
              </w:rPr>
              <w:t>Contract Year</w:t>
            </w:r>
          </w:p>
        </w:tc>
        <w:tc>
          <w:tcPr>
            <w:tcW w:w="1390" w:type="dxa"/>
            <w:shd w:val="clear" w:color="auto" w:fill="4F81BD" w:themeFill="accent1"/>
            <w:noWrap/>
            <w:vAlign w:val="center"/>
            <w:hideMark/>
          </w:tcPr>
          <w:p w:rsidR="00BB5EF6" w:rsidRPr="005E7468" w:rsidRDefault="00BB5EF6" w:rsidP="00BB5EF6">
            <w:pPr>
              <w:spacing w:before="0" w:after="0"/>
              <w:jc w:val="center"/>
              <w:rPr>
                <w:rFonts w:ascii="Arial" w:hAnsi="Arial" w:cs="Arial"/>
                <w:b/>
                <w:color w:val="FFFFFF" w:themeColor="background1"/>
                <w:sz w:val="18"/>
                <w:szCs w:val="18"/>
                <w:lang w:val="en-GB"/>
              </w:rPr>
            </w:pPr>
            <w:r w:rsidRPr="005E7468">
              <w:rPr>
                <w:rFonts w:ascii="Arial" w:hAnsi="Arial" w:cs="Arial"/>
                <w:b/>
                <w:color w:val="FFFFFF" w:themeColor="background1"/>
                <w:sz w:val="18"/>
                <w:szCs w:val="18"/>
                <w:lang w:val="en-GB"/>
              </w:rPr>
              <w:t>MR</w:t>
            </w:r>
          </w:p>
        </w:tc>
        <w:tc>
          <w:tcPr>
            <w:tcW w:w="1389" w:type="dxa"/>
            <w:shd w:val="clear" w:color="auto" w:fill="4F81BD" w:themeFill="accent1"/>
            <w:vAlign w:val="center"/>
          </w:tcPr>
          <w:p w:rsidR="00BB5EF6" w:rsidRPr="005E7468" w:rsidRDefault="009D7E2C" w:rsidP="00BB5EF6">
            <w:pPr>
              <w:spacing w:before="0" w:after="0"/>
              <w:jc w:val="center"/>
              <w:rPr>
                <w:rFonts w:ascii="Arial" w:hAnsi="Arial" w:cs="Arial"/>
                <w:b/>
                <w:caps/>
                <w:color w:val="FFFFFF" w:themeColor="background1"/>
                <w:sz w:val="18"/>
                <w:szCs w:val="18"/>
                <w:lang w:val="en-GB"/>
              </w:rPr>
            </w:pPr>
            <w:r>
              <w:rPr>
                <w:rFonts w:ascii="Arial" w:hAnsi="Arial" w:cs="Arial"/>
                <w:b/>
                <w:color w:val="FFFFFF" w:themeColor="background1"/>
                <w:sz w:val="18"/>
                <w:szCs w:val="18"/>
                <w:lang w:val="en-GB"/>
              </w:rPr>
              <w:t>Committed</w:t>
            </w:r>
            <w:r w:rsidR="00BB5EF6" w:rsidRPr="005E7468">
              <w:rPr>
                <w:rFonts w:ascii="Arial" w:hAnsi="Arial" w:cs="Arial"/>
                <w:b/>
                <w:color w:val="FFFFFF" w:themeColor="background1"/>
                <w:sz w:val="18"/>
                <w:szCs w:val="18"/>
                <w:lang w:val="en-GB"/>
              </w:rPr>
              <w:t xml:space="preserve"> Amount </w:t>
            </w:r>
            <w:r w:rsidR="00BB5EF6" w:rsidRPr="005E7468">
              <w:rPr>
                <w:rFonts w:ascii="Arial" w:hAnsi="Arial" w:cs="Arial"/>
                <w:b/>
                <w:caps/>
                <w:color w:val="FFFFFF" w:themeColor="background1"/>
                <w:sz w:val="18"/>
                <w:szCs w:val="18"/>
                <w:lang w:val="en-GB"/>
              </w:rPr>
              <w:t>€</w:t>
            </w:r>
          </w:p>
        </w:tc>
        <w:tc>
          <w:tcPr>
            <w:tcW w:w="1390" w:type="dxa"/>
            <w:shd w:val="clear" w:color="auto" w:fill="4F81BD" w:themeFill="accent1"/>
            <w:vAlign w:val="center"/>
          </w:tcPr>
          <w:p w:rsidR="00BB5EF6" w:rsidRPr="005E7468" w:rsidRDefault="00BB5EF6" w:rsidP="00BB5EF6">
            <w:pPr>
              <w:spacing w:before="0" w:after="0"/>
              <w:jc w:val="center"/>
              <w:rPr>
                <w:rFonts w:ascii="Arial" w:hAnsi="Arial" w:cs="Arial"/>
                <w:b/>
                <w:color w:val="FFFFFF" w:themeColor="background1"/>
                <w:sz w:val="18"/>
                <w:szCs w:val="18"/>
                <w:lang w:val="en-GB"/>
              </w:rPr>
            </w:pPr>
            <w:r w:rsidRPr="005E7468">
              <w:rPr>
                <w:rFonts w:ascii="Arial" w:hAnsi="Arial" w:cs="Arial"/>
                <w:b/>
                <w:color w:val="FFFFFF" w:themeColor="background1"/>
                <w:sz w:val="18"/>
                <w:szCs w:val="18"/>
                <w:lang w:val="en-GB"/>
              </w:rPr>
              <w:t>N. of contracts in the inventory</w:t>
            </w:r>
          </w:p>
        </w:tc>
        <w:tc>
          <w:tcPr>
            <w:tcW w:w="1390" w:type="dxa"/>
            <w:shd w:val="clear" w:color="auto" w:fill="4F81BD" w:themeFill="accent1"/>
            <w:vAlign w:val="center"/>
          </w:tcPr>
          <w:p w:rsidR="00BB5EF6" w:rsidRPr="005E7468" w:rsidRDefault="00BB5EF6" w:rsidP="00BB5EF6">
            <w:pPr>
              <w:spacing w:before="0" w:after="0"/>
              <w:jc w:val="center"/>
              <w:rPr>
                <w:rFonts w:ascii="Arial" w:hAnsi="Arial" w:cs="Arial"/>
                <w:b/>
                <w:color w:val="FFFFFF" w:themeColor="background1"/>
                <w:sz w:val="18"/>
                <w:szCs w:val="18"/>
                <w:lang w:val="en-GB"/>
              </w:rPr>
            </w:pPr>
            <w:r w:rsidRPr="005E7468">
              <w:rPr>
                <w:rFonts w:ascii="Arial" w:hAnsi="Arial" w:cs="Arial"/>
                <w:b/>
                <w:color w:val="FFFFFF" w:themeColor="background1"/>
                <w:sz w:val="18"/>
                <w:szCs w:val="18"/>
                <w:lang w:val="en-GB"/>
              </w:rPr>
              <w:t>% of contracts of the inventory having MR</w:t>
            </w:r>
          </w:p>
        </w:tc>
      </w:tr>
      <w:tr w:rsidR="00BB5EF6" w:rsidRPr="005E7468" w:rsidTr="0098181B">
        <w:trPr>
          <w:trHeight w:val="217"/>
          <w:jc w:val="center"/>
        </w:trPr>
        <w:tc>
          <w:tcPr>
            <w:tcW w:w="1389" w:type="dxa"/>
            <w:shd w:val="clear" w:color="auto" w:fill="DBE5F1" w:themeFill="accent1" w:themeFillTint="33"/>
            <w:noWrap/>
            <w:vAlign w:val="bottom"/>
          </w:tcPr>
          <w:p w:rsidR="00BB5EF6" w:rsidRPr="005E7468" w:rsidRDefault="00BB5EF6" w:rsidP="00BB5EF6">
            <w:pPr>
              <w:spacing w:before="0" w:after="0"/>
              <w:jc w:val="center"/>
              <w:rPr>
                <w:rFonts w:ascii="Arial" w:hAnsi="Arial" w:cs="Arial"/>
                <w:b/>
                <w:sz w:val="18"/>
                <w:szCs w:val="18"/>
              </w:rPr>
            </w:pPr>
            <w:r w:rsidRPr="005E7468">
              <w:rPr>
                <w:rFonts w:ascii="Arial" w:hAnsi="Arial" w:cs="Arial"/>
                <w:b/>
                <w:sz w:val="18"/>
                <w:szCs w:val="18"/>
              </w:rPr>
              <w:t>2008</w:t>
            </w:r>
          </w:p>
        </w:tc>
        <w:tc>
          <w:tcPr>
            <w:tcW w:w="1390" w:type="dxa"/>
            <w:shd w:val="clear" w:color="auto" w:fill="auto"/>
            <w:noWrap/>
            <w:vAlign w:val="bottom"/>
          </w:tcPr>
          <w:p w:rsidR="00BB5EF6" w:rsidRPr="005E7468" w:rsidRDefault="00BB5EF6" w:rsidP="00BB5EF6">
            <w:pPr>
              <w:spacing w:before="0" w:after="0"/>
              <w:jc w:val="center"/>
              <w:rPr>
                <w:rFonts w:ascii="Arial" w:hAnsi="Arial" w:cs="Arial"/>
                <w:sz w:val="18"/>
                <w:szCs w:val="18"/>
              </w:rPr>
            </w:pPr>
            <w:r w:rsidRPr="005E7468">
              <w:rPr>
                <w:rFonts w:ascii="Arial" w:hAnsi="Arial" w:cs="Arial"/>
                <w:sz w:val="18"/>
                <w:szCs w:val="18"/>
              </w:rPr>
              <w:t>1</w:t>
            </w:r>
          </w:p>
        </w:tc>
        <w:tc>
          <w:tcPr>
            <w:tcW w:w="1389" w:type="dxa"/>
            <w:vAlign w:val="bottom"/>
          </w:tcPr>
          <w:p w:rsidR="00BB5EF6" w:rsidRPr="005E7468" w:rsidRDefault="00BB5EF6" w:rsidP="00BB5EF6">
            <w:pPr>
              <w:spacing w:before="0" w:after="0"/>
              <w:jc w:val="center"/>
              <w:rPr>
                <w:rFonts w:ascii="Arial" w:hAnsi="Arial" w:cs="Arial"/>
                <w:sz w:val="18"/>
                <w:szCs w:val="18"/>
              </w:rPr>
            </w:pPr>
            <w:r w:rsidRPr="005E7468">
              <w:rPr>
                <w:rFonts w:ascii="Arial" w:hAnsi="Arial" w:cs="Arial"/>
                <w:sz w:val="18"/>
                <w:szCs w:val="18"/>
              </w:rPr>
              <w:t>545.000</w:t>
            </w:r>
          </w:p>
        </w:tc>
        <w:tc>
          <w:tcPr>
            <w:tcW w:w="1390" w:type="dxa"/>
            <w:vAlign w:val="bottom"/>
          </w:tcPr>
          <w:p w:rsidR="00BB5EF6" w:rsidRPr="005E7468" w:rsidRDefault="00BB5EF6" w:rsidP="00BB5EF6">
            <w:pPr>
              <w:spacing w:before="0" w:after="0"/>
              <w:jc w:val="center"/>
              <w:rPr>
                <w:rFonts w:ascii="Arial" w:hAnsi="Arial" w:cs="Arial"/>
                <w:sz w:val="18"/>
                <w:szCs w:val="18"/>
              </w:rPr>
            </w:pPr>
            <w:r w:rsidRPr="005E7468">
              <w:rPr>
                <w:rFonts w:ascii="Arial" w:hAnsi="Arial" w:cs="Arial"/>
                <w:sz w:val="18"/>
                <w:szCs w:val="18"/>
              </w:rPr>
              <w:t>90</w:t>
            </w:r>
          </w:p>
        </w:tc>
        <w:tc>
          <w:tcPr>
            <w:tcW w:w="1390" w:type="dxa"/>
            <w:vAlign w:val="bottom"/>
          </w:tcPr>
          <w:p w:rsidR="00BB5EF6" w:rsidRPr="005E7468" w:rsidRDefault="00BB5EF6" w:rsidP="00BB5EF6">
            <w:pPr>
              <w:spacing w:before="0" w:after="0"/>
              <w:jc w:val="center"/>
              <w:rPr>
                <w:rFonts w:ascii="Arial" w:hAnsi="Arial" w:cs="Arial"/>
                <w:sz w:val="18"/>
                <w:szCs w:val="18"/>
              </w:rPr>
            </w:pPr>
            <w:r w:rsidRPr="005E7468">
              <w:rPr>
                <w:rFonts w:ascii="Arial" w:hAnsi="Arial" w:cs="Arial"/>
                <w:sz w:val="18"/>
                <w:szCs w:val="18"/>
              </w:rPr>
              <w:t>1,1</w:t>
            </w:r>
          </w:p>
        </w:tc>
      </w:tr>
      <w:tr w:rsidR="00BB5EF6" w:rsidRPr="005E7468" w:rsidTr="0098181B">
        <w:trPr>
          <w:trHeight w:val="217"/>
          <w:jc w:val="center"/>
        </w:trPr>
        <w:tc>
          <w:tcPr>
            <w:tcW w:w="1389" w:type="dxa"/>
            <w:shd w:val="clear" w:color="auto" w:fill="DBE5F1" w:themeFill="accent1" w:themeFillTint="33"/>
            <w:noWrap/>
            <w:vAlign w:val="bottom"/>
          </w:tcPr>
          <w:p w:rsidR="00BB5EF6" w:rsidRPr="005E7468" w:rsidRDefault="00BB5EF6" w:rsidP="00BB5EF6">
            <w:pPr>
              <w:spacing w:before="0" w:after="0"/>
              <w:jc w:val="center"/>
              <w:rPr>
                <w:rFonts w:ascii="Arial" w:hAnsi="Arial" w:cs="Arial"/>
                <w:b/>
                <w:sz w:val="18"/>
                <w:szCs w:val="18"/>
              </w:rPr>
            </w:pPr>
            <w:r w:rsidRPr="005E7468">
              <w:rPr>
                <w:rFonts w:ascii="Arial" w:hAnsi="Arial" w:cs="Arial"/>
                <w:b/>
                <w:sz w:val="18"/>
                <w:szCs w:val="18"/>
              </w:rPr>
              <w:t>2009</w:t>
            </w:r>
          </w:p>
        </w:tc>
        <w:tc>
          <w:tcPr>
            <w:tcW w:w="1390" w:type="dxa"/>
            <w:shd w:val="clear" w:color="auto" w:fill="auto"/>
            <w:noWrap/>
            <w:vAlign w:val="bottom"/>
          </w:tcPr>
          <w:p w:rsidR="00BB5EF6" w:rsidRPr="005E7468" w:rsidRDefault="00BB5EF6" w:rsidP="00BB5EF6">
            <w:pPr>
              <w:spacing w:before="0" w:after="0"/>
              <w:jc w:val="center"/>
              <w:rPr>
                <w:rFonts w:ascii="Arial" w:hAnsi="Arial" w:cs="Arial"/>
                <w:sz w:val="18"/>
                <w:szCs w:val="18"/>
              </w:rPr>
            </w:pPr>
            <w:r w:rsidRPr="005E7468">
              <w:rPr>
                <w:rFonts w:ascii="Arial" w:hAnsi="Arial" w:cs="Arial"/>
                <w:sz w:val="18"/>
                <w:szCs w:val="18"/>
              </w:rPr>
              <w:t>5</w:t>
            </w:r>
          </w:p>
        </w:tc>
        <w:tc>
          <w:tcPr>
            <w:tcW w:w="1389" w:type="dxa"/>
            <w:vAlign w:val="bottom"/>
          </w:tcPr>
          <w:p w:rsidR="00BB5EF6" w:rsidRPr="005E7468" w:rsidRDefault="00BB5EF6" w:rsidP="00BB5EF6">
            <w:pPr>
              <w:spacing w:before="0" w:after="0"/>
              <w:jc w:val="center"/>
              <w:rPr>
                <w:rFonts w:ascii="Arial" w:hAnsi="Arial" w:cs="Arial"/>
                <w:sz w:val="18"/>
                <w:szCs w:val="18"/>
              </w:rPr>
            </w:pPr>
            <w:r w:rsidRPr="005E7468">
              <w:rPr>
                <w:rFonts w:ascii="Arial" w:hAnsi="Arial" w:cs="Arial"/>
                <w:sz w:val="18"/>
                <w:szCs w:val="18"/>
              </w:rPr>
              <w:t>27.956.193</w:t>
            </w:r>
          </w:p>
        </w:tc>
        <w:tc>
          <w:tcPr>
            <w:tcW w:w="1390" w:type="dxa"/>
            <w:vAlign w:val="bottom"/>
          </w:tcPr>
          <w:p w:rsidR="00BB5EF6" w:rsidRPr="005E7468" w:rsidRDefault="00BB5EF6" w:rsidP="00BB5EF6">
            <w:pPr>
              <w:spacing w:before="0" w:after="0"/>
              <w:jc w:val="center"/>
              <w:rPr>
                <w:rFonts w:ascii="Arial" w:hAnsi="Arial" w:cs="Arial"/>
                <w:sz w:val="18"/>
                <w:szCs w:val="18"/>
              </w:rPr>
            </w:pPr>
            <w:r w:rsidRPr="005E7468">
              <w:rPr>
                <w:rFonts w:ascii="Arial" w:hAnsi="Arial" w:cs="Arial"/>
                <w:sz w:val="18"/>
                <w:szCs w:val="18"/>
              </w:rPr>
              <w:t>87</w:t>
            </w:r>
          </w:p>
        </w:tc>
        <w:tc>
          <w:tcPr>
            <w:tcW w:w="1390" w:type="dxa"/>
            <w:vAlign w:val="bottom"/>
          </w:tcPr>
          <w:p w:rsidR="00BB5EF6" w:rsidRPr="005E7468" w:rsidRDefault="00BB5EF6" w:rsidP="00BB5EF6">
            <w:pPr>
              <w:spacing w:before="0" w:after="0"/>
              <w:jc w:val="center"/>
              <w:rPr>
                <w:rFonts w:ascii="Arial" w:hAnsi="Arial" w:cs="Arial"/>
                <w:sz w:val="18"/>
                <w:szCs w:val="18"/>
              </w:rPr>
            </w:pPr>
            <w:r w:rsidRPr="005E7468">
              <w:rPr>
                <w:rFonts w:ascii="Arial" w:hAnsi="Arial" w:cs="Arial"/>
                <w:sz w:val="18"/>
                <w:szCs w:val="18"/>
              </w:rPr>
              <w:t>5,7</w:t>
            </w:r>
          </w:p>
        </w:tc>
      </w:tr>
      <w:tr w:rsidR="00BB5EF6" w:rsidRPr="005E7468" w:rsidTr="0098181B">
        <w:trPr>
          <w:trHeight w:val="217"/>
          <w:jc w:val="center"/>
        </w:trPr>
        <w:tc>
          <w:tcPr>
            <w:tcW w:w="1389" w:type="dxa"/>
            <w:shd w:val="clear" w:color="auto" w:fill="DBE5F1" w:themeFill="accent1" w:themeFillTint="33"/>
            <w:noWrap/>
            <w:vAlign w:val="bottom"/>
          </w:tcPr>
          <w:p w:rsidR="00BB5EF6" w:rsidRPr="005E7468" w:rsidRDefault="00BB5EF6" w:rsidP="00BB5EF6">
            <w:pPr>
              <w:spacing w:before="0" w:after="0"/>
              <w:jc w:val="center"/>
              <w:rPr>
                <w:rFonts w:ascii="Arial" w:hAnsi="Arial" w:cs="Arial"/>
                <w:b/>
                <w:sz w:val="18"/>
                <w:szCs w:val="18"/>
              </w:rPr>
            </w:pPr>
            <w:r w:rsidRPr="005E7468">
              <w:rPr>
                <w:rFonts w:ascii="Arial" w:hAnsi="Arial" w:cs="Arial"/>
                <w:b/>
                <w:sz w:val="18"/>
                <w:szCs w:val="18"/>
              </w:rPr>
              <w:t>2010</w:t>
            </w:r>
          </w:p>
        </w:tc>
        <w:tc>
          <w:tcPr>
            <w:tcW w:w="1390" w:type="dxa"/>
            <w:shd w:val="clear" w:color="auto" w:fill="auto"/>
            <w:noWrap/>
            <w:vAlign w:val="bottom"/>
          </w:tcPr>
          <w:p w:rsidR="00BB5EF6" w:rsidRPr="005E7468" w:rsidRDefault="00BB5EF6" w:rsidP="00BB5EF6">
            <w:pPr>
              <w:spacing w:before="0" w:after="0"/>
              <w:jc w:val="center"/>
              <w:rPr>
                <w:rFonts w:ascii="Arial" w:hAnsi="Arial" w:cs="Arial"/>
                <w:sz w:val="18"/>
                <w:szCs w:val="18"/>
              </w:rPr>
            </w:pPr>
            <w:r w:rsidRPr="005E7468">
              <w:rPr>
                <w:rFonts w:ascii="Arial" w:hAnsi="Arial" w:cs="Arial"/>
                <w:sz w:val="18"/>
                <w:szCs w:val="18"/>
              </w:rPr>
              <w:t>10</w:t>
            </w:r>
          </w:p>
        </w:tc>
        <w:tc>
          <w:tcPr>
            <w:tcW w:w="1389" w:type="dxa"/>
            <w:vAlign w:val="bottom"/>
          </w:tcPr>
          <w:p w:rsidR="00BB5EF6" w:rsidRPr="005E7468" w:rsidRDefault="00BB5EF6" w:rsidP="00BB5EF6">
            <w:pPr>
              <w:spacing w:before="0" w:after="0"/>
              <w:jc w:val="center"/>
              <w:rPr>
                <w:rFonts w:ascii="Arial" w:hAnsi="Arial" w:cs="Arial"/>
                <w:sz w:val="18"/>
                <w:szCs w:val="18"/>
              </w:rPr>
            </w:pPr>
            <w:r w:rsidRPr="005E7468">
              <w:rPr>
                <w:rFonts w:ascii="Arial" w:hAnsi="Arial" w:cs="Arial"/>
                <w:sz w:val="18"/>
                <w:szCs w:val="18"/>
              </w:rPr>
              <w:t>18.703.638</w:t>
            </w:r>
          </w:p>
        </w:tc>
        <w:tc>
          <w:tcPr>
            <w:tcW w:w="1390" w:type="dxa"/>
            <w:vAlign w:val="bottom"/>
          </w:tcPr>
          <w:p w:rsidR="00BB5EF6" w:rsidRPr="005E7468" w:rsidRDefault="00BB5EF6" w:rsidP="00BB5EF6">
            <w:pPr>
              <w:spacing w:before="0" w:after="0"/>
              <w:jc w:val="center"/>
              <w:rPr>
                <w:rFonts w:ascii="Arial" w:hAnsi="Arial" w:cs="Arial"/>
                <w:sz w:val="18"/>
                <w:szCs w:val="18"/>
              </w:rPr>
            </w:pPr>
            <w:r w:rsidRPr="005E7468">
              <w:rPr>
                <w:rFonts w:ascii="Arial" w:hAnsi="Arial" w:cs="Arial"/>
                <w:sz w:val="18"/>
                <w:szCs w:val="18"/>
              </w:rPr>
              <w:t>96</w:t>
            </w:r>
          </w:p>
        </w:tc>
        <w:tc>
          <w:tcPr>
            <w:tcW w:w="1390" w:type="dxa"/>
            <w:vAlign w:val="bottom"/>
          </w:tcPr>
          <w:p w:rsidR="00BB5EF6" w:rsidRPr="005E7468" w:rsidRDefault="00BB5EF6" w:rsidP="00BB5EF6">
            <w:pPr>
              <w:spacing w:before="0" w:after="0"/>
              <w:jc w:val="center"/>
              <w:rPr>
                <w:rFonts w:ascii="Arial" w:hAnsi="Arial" w:cs="Arial"/>
                <w:sz w:val="18"/>
                <w:szCs w:val="18"/>
              </w:rPr>
            </w:pPr>
            <w:r w:rsidRPr="005E7468">
              <w:rPr>
                <w:rFonts w:ascii="Arial" w:hAnsi="Arial" w:cs="Arial"/>
                <w:sz w:val="18"/>
                <w:szCs w:val="18"/>
              </w:rPr>
              <w:t>10,4</w:t>
            </w:r>
          </w:p>
        </w:tc>
      </w:tr>
      <w:tr w:rsidR="00BB5EF6" w:rsidRPr="005E7468" w:rsidTr="0098181B">
        <w:trPr>
          <w:trHeight w:val="204"/>
          <w:jc w:val="center"/>
        </w:trPr>
        <w:tc>
          <w:tcPr>
            <w:tcW w:w="1389" w:type="dxa"/>
            <w:shd w:val="clear" w:color="auto" w:fill="DBE5F1" w:themeFill="accent1" w:themeFillTint="33"/>
            <w:noWrap/>
            <w:vAlign w:val="bottom"/>
          </w:tcPr>
          <w:p w:rsidR="00BB5EF6" w:rsidRPr="005E7468" w:rsidRDefault="00BB5EF6" w:rsidP="00BB5EF6">
            <w:pPr>
              <w:spacing w:before="0" w:after="0"/>
              <w:jc w:val="center"/>
              <w:rPr>
                <w:rFonts w:ascii="Arial" w:hAnsi="Arial" w:cs="Arial"/>
                <w:b/>
                <w:sz w:val="18"/>
                <w:szCs w:val="18"/>
              </w:rPr>
            </w:pPr>
            <w:r w:rsidRPr="005E7468">
              <w:rPr>
                <w:rFonts w:ascii="Arial" w:hAnsi="Arial" w:cs="Arial"/>
                <w:b/>
                <w:sz w:val="18"/>
                <w:szCs w:val="18"/>
              </w:rPr>
              <w:t>2011</w:t>
            </w:r>
          </w:p>
        </w:tc>
        <w:tc>
          <w:tcPr>
            <w:tcW w:w="1390" w:type="dxa"/>
            <w:shd w:val="clear" w:color="auto" w:fill="auto"/>
            <w:noWrap/>
            <w:vAlign w:val="bottom"/>
          </w:tcPr>
          <w:p w:rsidR="00BB5EF6" w:rsidRPr="005E7468" w:rsidRDefault="00BB5EF6" w:rsidP="00BB5EF6">
            <w:pPr>
              <w:spacing w:before="0" w:after="0"/>
              <w:jc w:val="center"/>
              <w:rPr>
                <w:rFonts w:ascii="Arial" w:hAnsi="Arial" w:cs="Arial"/>
                <w:sz w:val="18"/>
                <w:szCs w:val="18"/>
              </w:rPr>
            </w:pPr>
            <w:r w:rsidRPr="005E7468">
              <w:rPr>
                <w:rFonts w:ascii="Arial" w:hAnsi="Arial" w:cs="Arial"/>
                <w:sz w:val="18"/>
                <w:szCs w:val="18"/>
              </w:rPr>
              <w:t>18</w:t>
            </w:r>
          </w:p>
        </w:tc>
        <w:tc>
          <w:tcPr>
            <w:tcW w:w="1389" w:type="dxa"/>
            <w:vAlign w:val="bottom"/>
          </w:tcPr>
          <w:p w:rsidR="00BB5EF6" w:rsidRPr="005E7468" w:rsidRDefault="00BB5EF6" w:rsidP="00BB5EF6">
            <w:pPr>
              <w:spacing w:before="0" w:after="0"/>
              <w:jc w:val="center"/>
              <w:rPr>
                <w:rFonts w:ascii="Arial" w:hAnsi="Arial" w:cs="Arial"/>
                <w:sz w:val="18"/>
                <w:szCs w:val="18"/>
              </w:rPr>
            </w:pPr>
            <w:r w:rsidRPr="005E7468">
              <w:rPr>
                <w:rFonts w:ascii="Arial" w:hAnsi="Arial" w:cs="Arial"/>
                <w:sz w:val="18"/>
                <w:szCs w:val="18"/>
              </w:rPr>
              <w:t>24.510.981</w:t>
            </w:r>
          </w:p>
        </w:tc>
        <w:tc>
          <w:tcPr>
            <w:tcW w:w="1390" w:type="dxa"/>
            <w:vAlign w:val="bottom"/>
          </w:tcPr>
          <w:p w:rsidR="00BB5EF6" w:rsidRPr="005E7468" w:rsidRDefault="00BB5EF6" w:rsidP="00BB5EF6">
            <w:pPr>
              <w:spacing w:before="0" w:after="0"/>
              <w:jc w:val="center"/>
              <w:rPr>
                <w:rFonts w:ascii="Arial" w:hAnsi="Arial" w:cs="Arial"/>
                <w:sz w:val="18"/>
                <w:szCs w:val="18"/>
              </w:rPr>
            </w:pPr>
            <w:r w:rsidRPr="005E7468">
              <w:rPr>
                <w:rFonts w:ascii="Arial" w:hAnsi="Arial" w:cs="Arial"/>
                <w:sz w:val="18"/>
                <w:szCs w:val="18"/>
              </w:rPr>
              <w:t>111</w:t>
            </w:r>
          </w:p>
        </w:tc>
        <w:tc>
          <w:tcPr>
            <w:tcW w:w="1390" w:type="dxa"/>
            <w:vAlign w:val="bottom"/>
          </w:tcPr>
          <w:p w:rsidR="00BB5EF6" w:rsidRPr="005E7468" w:rsidRDefault="00BB5EF6" w:rsidP="00BB5EF6">
            <w:pPr>
              <w:spacing w:before="0" w:after="0"/>
              <w:jc w:val="center"/>
              <w:rPr>
                <w:rFonts w:ascii="Arial" w:hAnsi="Arial" w:cs="Arial"/>
                <w:sz w:val="18"/>
                <w:szCs w:val="18"/>
              </w:rPr>
            </w:pPr>
            <w:r w:rsidRPr="005E7468">
              <w:rPr>
                <w:rFonts w:ascii="Arial" w:hAnsi="Arial" w:cs="Arial"/>
                <w:sz w:val="18"/>
                <w:szCs w:val="18"/>
              </w:rPr>
              <w:t>16,2</w:t>
            </w:r>
          </w:p>
        </w:tc>
      </w:tr>
      <w:tr w:rsidR="00BB5EF6" w:rsidRPr="005E7468" w:rsidTr="0098181B">
        <w:trPr>
          <w:trHeight w:val="204"/>
          <w:jc w:val="center"/>
        </w:trPr>
        <w:tc>
          <w:tcPr>
            <w:tcW w:w="1389" w:type="dxa"/>
            <w:tcBorders>
              <w:bottom w:val="single" w:sz="4" w:space="0" w:color="auto"/>
            </w:tcBorders>
            <w:shd w:val="clear" w:color="auto" w:fill="DBE5F1" w:themeFill="accent1" w:themeFillTint="33"/>
            <w:noWrap/>
            <w:vAlign w:val="bottom"/>
          </w:tcPr>
          <w:p w:rsidR="00BB5EF6" w:rsidRPr="005E7468" w:rsidRDefault="00BB5EF6" w:rsidP="00BB5EF6">
            <w:pPr>
              <w:spacing w:before="0" w:after="0"/>
              <w:jc w:val="center"/>
              <w:rPr>
                <w:rFonts w:ascii="Arial" w:hAnsi="Arial" w:cs="Arial"/>
                <w:b/>
                <w:sz w:val="18"/>
                <w:szCs w:val="18"/>
              </w:rPr>
            </w:pPr>
            <w:r w:rsidRPr="005E7468">
              <w:rPr>
                <w:rFonts w:ascii="Arial" w:hAnsi="Arial" w:cs="Arial"/>
                <w:b/>
                <w:sz w:val="18"/>
                <w:szCs w:val="18"/>
              </w:rPr>
              <w:t>2012</w:t>
            </w:r>
          </w:p>
        </w:tc>
        <w:tc>
          <w:tcPr>
            <w:tcW w:w="1390" w:type="dxa"/>
            <w:tcBorders>
              <w:bottom w:val="single" w:sz="4" w:space="0" w:color="auto"/>
            </w:tcBorders>
            <w:shd w:val="clear" w:color="auto" w:fill="auto"/>
            <w:noWrap/>
            <w:vAlign w:val="bottom"/>
          </w:tcPr>
          <w:p w:rsidR="00BB5EF6" w:rsidRPr="005E7468" w:rsidRDefault="00BB5EF6" w:rsidP="00BB5EF6">
            <w:pPr>
              <w:spacing w:before="0" w:after="0"/>
              <w:jc w:val="center"/>
              <w:rPr>
                <w:rFonts w:ascii="Arial" w:hAnsi="Arial" w:cs="Arial"/>
                <w:sz w:val="18"/>
                <w:szCs w:val="18"/>
              </w:rPr>
            </w:pPr>
            <w:r w:rsidRPr="005E7468">
              <w:rPr>
                <w:rFonts w:ascii="Arial" w:hAnsi="Arial" w:cs="Arial"/>
                <w:sz w:val="18"/>
                <w:szCs w:val="18"/>
              </w:rPr>
              <w:t>2</w:t>
            </w:r>
          </w:p>
        </w:tc>
        <w:tc>
          <w:tcPr>
            <w:tcW w:w="1389" w:type="dxa"/>
            <w:tcBorders>
              <w:bottom w:val="single" w:sz="4" w:space="0" w:color="auto"/>
            </w:tcBorders>
            <w:vAlign w:val="bottom"/>
          </w:tcPr>
          <w:p w:rsidR="00BB5EF6" w:rsidRPr="005E7468" w:rsidRDefault="00BB5EF6" w:rsidP="00BB5EF6">
            <w:pPr>
              <w:spacing w:before="0" w:after="0"/>
              <w:jc w:val="center"/>
              <w:rPr>
                <w:rFonts w:ascii="Arial" w:hAnsi="Arial" w:cs="Arial"/>
                <w:sz w:val="18"/>
                <w:szCs w:val="18"/>
              </w:rPr>
            </w:pPr>
            <w:r w:rsidRPr="005E7468">
              <w:rPr>
                <w:rFonts w:ascii="Arial" w:hAnsi="Arial" w:cs="Arial"/>
                <w:sz w:val="18"/>
                <w:szCs w:val="18"/>
              </w:rPr>
              <w:t>3.769.533</w:t>
            </w:r>
          </w:p>
        </w:tc>
        <w:tc>
          <w:tcPr>
            <w:tcW w:w="1390" w:type="dxa"/>
            <w:tcBorders>
              <w:bottom w:val="single" w:sz="4" w:space="0" w:color="auto"/>
            </w:tcBorders>
            <w:vAlign w:val="bottom"/>
          </w:tcPr>
          <w:p w:rsidR="00BB5EF6" w:rsidRPr="005E7468" w:rsidRDefault="00BB5EF6" w:rsidP="00BB5EF6">
            <w:pPr>
              <w:spacing w:before="0" w:after="0"/>
              <w:jc w:val="center"/>
              <w:rPr>
                <w:rFonts w:ascii="Arial" w:hAnsi="Arial" w:cs="Arial"/>
                <w:sz w:val="18"/>
                <w:szCs w:val="18"/>
              </w:rPr>
            </w:pPr>
            <w:r w:rsidRPr="005E7468">
              <w:rPr>
                <w:rFonts w:ascii="Arial" w:hAnsi="Arial" w:cs="Arial"/>
                <w:sz w:val="18"/>
                <w:szCs w:val="18"/>
              </w:rPr>
              <w:t>96</w:t>
            </w:r>
          </w:p>
        </w:tc>
        <w:tc>
          <w:tcPr>
            <w:tcW w:w="1390" w:type="dxa"/>
            <w:tcBorders>
              <w:bottom w:val="single" w:sz="4" w:space="0" w:color="auto"/>
            </w:tcBorders>
            <w:vAlign w:val="bottom"/>
          </w:tcPr>
          <w:p w:rsidR="00BB5EF6" w:rsidRPr="005E7468" w:rsidRDefault="00BB5EF6" w:rsidP="00BB5EF6">
            <w:pPr>
              <w:spacing w:before="0" w:after="0"/>
              <w:jc w:val="center"/>
              <w:rPr>
                <w:rFonts w:ascii="Arial" w:hAnsi="Arial" w:cs="Arial"/>
                <w:sz w:val="18"/>
                <w:szCs w:val="18"/>
              </w:rPr>
            </w:pPr>
            <w:r w:rsidRPr="005E7468">
              <w:rPr>
                <w:rFonts w:ascii="Arial" w:hAnsi="Arial" w:cs="Arial"/>
                <w:sz w:val="18"/>
                <w:szCs w:val="18"/>
              </w:rPr>
              <w:t>2,1</w:t>
            </w:r>
          </w:p>
        </w:tc>
      </w:tr>
      <w:tr w:rsidR="00BB5EF6" w:rsidRPr="005E7468" w:rsidTr="0098181B">
        <w:trPr>
          <w:trHeight w:val="231"/>
          <w:jc w:val="center"/>
        </w:trPr>
        <w:tc>
          <w:tcPr>
            <w:tcW w:w="1389" w:type="dxa"/>
            <w:shd w:val="clear" w:color="auto" w:fill="E6E6E6"/>
            <w:noWrap/>
            <w:vAlign w:val="bottom"/>
            <w:hideMark/>
          </w:tcPr>
          <w:p w:rsidR="00BB5EF6" w:rsidRPr="005E7468" w:rsidRDefault="00BB5EF6" w:rsidP="00BB5EF6">
            <w:pPr>
              <w:spacing w:before="0" w:after="0"/>
              <w:jc w:val="center"/>
              <w:rPr>
                <w:rFonts w:ascii="Arial" w:hAnsi="Arial" w:cs="Arial"/>
                <w:b/>
                <w:bCs/>
                <w:sz w:val="18"/>
                <w:szCs w:val="18"/>
              </w:rPr>
            </w:pPr>
            <w:r w:rsidRPr="005E7468">
              <w:rPr>
                <w:rFonts w:ascii="Arial" w:hAnsi="Arial" w:cs="Arial"/>
                <w:b/>
                <w:bCs/>
                <w:sz w:val="18"/>
                <w:szCs w:val="18"/>
              </w:rPr>
              <w:t>Total</w:t>
            </w:r>
          </w:p>
        </w:tc>
        <w:tc>
          <w:tcPr>
            <w:tcW w:w="1390" w:type="dxa"/>
            <w:shd w:val="clear" w:color="auto" w:fill="E6E6E6"/>
            <w:noWrap/>
            <w:vAlign w:val="bottom"/>
            <w:hideMark/>
          </w:tcPr>
          <w:p w:rsidR="00BB5EF6" w:rsidRPr="005E7468" w:rsidRDefault="00BB5EF6" w:rsidP="00BB5EF6">
            <w:pPr>
              <w:spacing w:before="0" w:after="0"/>
              <w:jc w:val="center"/>
              <w:rPr>
                <w:rFonts w:ascii="Arial" w:hAnsi="Arial" w:cs="Arial"/>
                <w:b/>
                <w:bCs/>
                <w:sz w:val="18"/>
                <w:szCs w:val="18"/>
              </w:rPr>
            </w:pPr>
            <w:r w:rsidRPr="005E7468">
              <w:rPr>
                <w:rFonts w:ascii="Arial" w:hAnsi="Arial" w:cs="Arial"/>
                <w:b/>
                <w:bCs/>
                <w:sz w:val="18"/>
                <w:szCs w:val="18"/>
              </w:rPr>
              <w:t>36</w:t>
            </w:r>
          </w:p>
        </w:tc>
        <w:tc>
          <w:tcPr>
            <w:tcW w:w="1389" w:type="dxa"/>
            <w:shd w:val="clear" w:color="auto" w:fill="E6E6E6"/>
            <w:vAlign w:val="bottom"/>
          </w:tcPr>
          <w:p w:rsidR="00BB5EF6" w:rsidRPr="005E7468" w:rsidRDefault="00BB5EF6" w:rsidP="00BB5EF6">
            <w:pPr>
              <w:spacing w:before="0" w:after="0"/>
              <w:jc w:val="center"/>
              <w:rPr>
                <w:rFonts w:ascii="Arial" w:hAnsi="Arial" w:cs="Arial"/>
                <w:b/>
                <w:bCs/>
                <w:sz w:val="18"/>
                <w:szCs w:val="18"/>
              </w:rPr>
            </w:pPr>
            <w:r w:rsidRPr="005E7468">
              <w:rPr>
                <w:rFonts w:ascii="Arial" w:hAnsi="Arial" w:cs="Arial"/>
                <w:b/>
                <w:bCs/>
                <w:sz w:val="18"/>
                <w:szCs w:val="18"/>
              </w:rPr>
              <w:t>75.485.345</w:t>
            </w:r>
          </w:p>
        </w:tc>
        <w:tc>
          <w:tcPr>
            <w:tcW w:w="1390" w:type="dxa"/>
            <w:shd w:val="clear" w:color="auto" w:fill="E6E6E6"/>
            <w:vAlign w:val="bottom"/>
          </w:tcPr>
          <w:p w:rsidR="00BB5EF6" w:rsidRPr="005E7468" w:rsidRDefault="00BB5EF6" w:rsidP="00BB5EF6">
            <w:pPr>
              <w:spacing w:before="0" w:after="0"/>
              <w:jc w:val="center"/>
              <w:rPr>
                <w:rFonts w:ascii="Arial" w:hAnsi="Arial" w:cs="Arial"/>
                <w:b/>
                <w:bCs/>
                <w:sz w:val="18"/>
                <w:szCs w:val="18"/>
              </w:rPr>
            </w:pPr>
            <w:r w:rsidRPr="005E7468">
              <w:rPr>
                <w:rFonts w:ascii="Arial" w:hAnsi="Arial" w:cs="Arial"/>
                <w:b/>
                <w:bCs/>
                <w:sz w:val="18"/>
                <w:szCs w:val="18"/>
              </w:rPr>
              <w:t>480</w:t>
            </w:r>
          </w:p>
        </w:tc>
        <w:tc>
          <w:tcPr>
            <w:tcW w:w="1390" w:type="dxa"/>
            <w:shd w:val="clear" w:color="auto" w:fill="E6E6E6"/>
            <w:vAlign w:val="bottom"/>
          </w:tcPr>
          <w:p w:rsidR="00BB5EF6" w:rsidRPr="005E7468" w:rsidRDefault="00BB5EF6" w:rsidP="00BB5EF6">
            <w:pPr>
              <w:spacing w:before="0" w:after="0"/>
              <w:jc w:val="center"/>
              <w:rPr>
                <w:rFonts w:ascii="Arial" w:hAnsi="Arial" w:cs="Arial"/>
                <w:b/>
                <w:bCs/>
                <w:sz w:val="18"/>
                <w:szCs w:val="18"/>
              </w:rPr>
            </w:pPr>
            <w:r w:rsidRPr="005E7468">
              <w:rPr>
                <w:rFonts w:ascii="Arial" w:hAnsi="Arial" w:cs="Arial"/>
                <w:b/>
                <w:bCs/>
                <w:sz w:val="18"/>
                <w:szCs w:val="18"/>
              </w:rPr>
              <w:t>7,5</w:t>
            </w:r>
          </w:p>
        </w:tc>
      </w:tr>
    </w:tbl>
    <w:p w:rsidR="00BB5EF6" w:rsidRPr="00BB5EF6" w:rsidRDefault="00BB5EF6" w:rsidP="00BB5EF6">
      <w:pPr>
        <w:spacing w:before="0" w:after="0"/>
        <w:jc w:val="center"/>
        <w:rPr>
          <w:rFonts w:ascii="Times New Roman" w:hAnsi="Times New Roman"/>
          <w:sz w:val="20"/>
          <w:lang w:val="en-GB"/>
        </w:rPr>
      </w:pPr>
      <w:r w:rsidRPr="00BB5EF6">
        <w:rPr>
          <w:rFonts w:ascii="Times New Roman" w:hAnsi="Times New Roman"/>
          <w:i/>
          <w:sz w:val="18"/>
          <w:szCs w:val="18"/>
          <w:lang w:val="en-GB"/>
        </w:rPr>
        <w:t>Source: DRN elaboration based on CRIS data</w:t>
      </w:r>
      <w:r w:rsidRPr="00BB5EF6">
        <w:rPr>
          <w:rFonts w:ascii="Times New Roman" w:hAnsi="Times New Roman"/>
          <w:sz w:val="20"/>
          <w:lang w:val="en-GB"/>
        </w:rPr>
        <w:t>.</w:t>
      </w:r>
    </w:p>
    <w:p w:rsidR="00BB5EF6" w:rsidRPr="00BB5EF6" w:rsidRDefault="00BB5EF6" w:rsidP="00BB5EF6">
      <w:pPr>
        <w:spacing w:before="0" w:after="0"/>
        <w:rPr>
          <w:rFonts w:ascii="Times New Roman" w:hAnsi="Times New Roman"/>
        </w:rPr>
      </w:pPr>
    </w:p>
    <w:tbl>
      <w:tblPr>
        <w:tblStyle w:val="Grigliatabella"/>
        <w:tblW w:w="0" w:type="auto"/>
        <w:tblBorders>
          <w:top w:val="single" w:sz="4" w:space="0" w:color="1F497D" w:themeColor="text2"/>
          <w:left w:val="single" w:sz="4" w:space="0" w:color="1F497D" w:themeColor="text2"/>
          <w:bottom w:val="single" w:sz="4" w:space="0" w:color="1F497D" w:themeColor="text2"/>
          <w:right w:val="single" w:sz="4" w:space="0" w:color="1F497D" w:themeColor="text2"/>
          <w:insideH w:val="none" w:sz="0" w:space="0" w:color="auto"/>
          <w:insideV w:val="single" w:sz="4" w:space="0" w:color="1F497D" w:themeColor="text2"/>
        </w:tblBorders>
        <w:tblLook w:val="04A0"/>
      </w:tblPr>
      <w:tblGrid>
        <w:gridCol w:w="9848"/>
      </w:tblGrid>
      <w:tr w:rsidR="00BB5EF6" w:rsidRPr="00BB5EF6" w:rsidTr="0098181B">
        <w:tc>
          <w:tcPr>
            <w:tcW w:w="9848" w:type="dxa"/>
            <w:tcBorders>
              <w:bottom w:val="nil"/>
            </w:tcBorders>
          </w:tcPr>
          <w:p w:rsidR="00BB5EF6" w:rsidRPr="00BB5EF6" w:rsidRDefault="00BB5EF6" w:rsidP="00D714DB">
            <w:pPr>
              <w:pStyle w:val="Didascalia"/>
              <w:framePr w:wrap="around"/>
              <w:rPr>
                <w:lang w:eastAsia="en-US"/>
              </w:rPr>
            </w:pPr>
            <w:bookmarkStart w:id="116" w:name="_Toc368388655"/>
            <w:r w:rsidRPr="00BB5EF6">
              <w:t xml:space="preserve">Figure </w:t>
            </w:r>
            <w:r w:rsidR="005E7468">
              <w:t>1</w:t>
            </w:r>
            <w:r w:rsidRPr="00BB5EF6">
              <w:t xml:space="preserve"> </w:t>
            </w:r>
            <w:r w:rsidRPr="00BB5EF6">
              <w:rPr>
                <w:lang w:val="en-GB"/>
              </w:rPr>
              <w:t>:</w:t>
            </w:r>
            <w:r w:rsidRPr="00BB5EF6">
              <w:t xml:space="preserve"> </w:t>
            </w:r>
            <w:r w:rsidRPr="00BB5EF6">
              <w:rPr>
                <w:lang w:val="en-GB"/>
              </w:rPr>
              <w:t>ROMs average performances for 5 DAC criteria and by sector</w:t>
            </w:r>
            <w:bookmarkEnd w:id="116"/>
            <w:r w:rsidRPr="00BB5EF6">
              <w:rPr>
                <w:lang w:val="en-GB"/>
              </w:rPr>
              <w:t xml:space="preserve"> </w:t>
            </w:r>
          </w:p>
        </w:tc>
      </w:tr>
    </w:tbl>
    <w:tbl>
      <w:tblPr>
        <w:tblStyle w:val="Grigliatabella"/>
        <w:tblW w:w="0" w:type="auto"/>
        <w:tblBorders>
          <w:top w:val="single" w:sz="4" w:space="0" w:color="1F497D" w:themeColor="text2"/>
          <w:left w:val="single" w:sz="4" w:space="0" w:color="1F497D" w:themeColor="text2"/>
          <w:bottom w:val="single" w:sz="4" w:space="0" w:color="1F497D" w:themeColor="text2"/>
          <w:right w:val="single" w:sz="4" w:space="0" w:color="1F497D" w:themeColor="text2"/>
          <w:insideH w:val="none" w:sz="0" w:space="0" w:color="auto"/>
          <w:insideV w:val="single" w:sz="4" w:space="0" w:color="1F497D" w:themeColor="text2"/>
        </w:tblBorders>
        <w:tblLook w:val="04A0"/>
      </w:tblPr>
      <w:tblGrid>
        <w:gridCol w:w="4914"/>
        <w:gridCol w:w="4940"/>
      </w:tblGrid>
      <w:tr w:rsidR="00BB5EF6" w:rsidRPr="00BB5EF6" w:rsidTr="0098181B">
        <w:trPr>
          <w:trHeight w:val="2763"/>
        </w:trPr>
        <w:tc>
          <w:tcPr>
            <w:tcW w:w="4911" w:type="dxa"/>
            <w:tcBorders>
              <w:top w:val="nil"/>
              <w:bottom w:val="single" w:sz="4" w:space="0" w:color="1F497D" w:themeColor="text2"/>
              <w:right w:val="nil"/>
            </w:tcBorders>
          </w:tcPr>
          <w:p w:rsidR="00BB5EF6" w:rsidRPr="00BB5EF6" w:rsidRDefault="00BB5EF6" w:rsidP="00BB5EF6">
            <w:pPr>
              <w:spacing w:before="0" w:after="0"/>
              <w:rPr>
                <w:rFonts w:ascii="Times New Roman" w:hAnsi="Times New Roman"/>
              </w:rPr>
            </w:pPr>
            <w:r w:rsidRPr="00BB5EF6">
              <w:rPr>
                <w:rFonts w:ascii="Times New Roman" w:hAnsi="Times New Roman"/>
                <w:noProof/>
                <w:lang w:val="it-IT" w:eastAsia="it-IT"/>
              </w:rPr>
              <w:drawing>
                <wp:inline distT="0" distB="0" distL="0" distR="0">
                  <wp:extent cx="3015349" cy="1871331"/>
                  <wp:effectExtent l="19050" t="0" r="0" b="0"/>
                  <wp:docPr id="60" name="Grafico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09"/>
                    </a:graphicData>
                  </a:graphic>
                </wp:inline>
              </w:drawing>
            </w:r>
          </w:p>
        </w:tc>
        <w:tc>
          <w:tcPr>
            <w:tcW w:w="4937" w:type="dxa"/>
            <w:tcBorders>
              <w:top w:val="nil"/>
              <w:left w:val="nil"/>
              <w:bottom w:val="single" w:sz="4" w:space="0" w:color="1F497D" w:themeColor="text2"/>
            </w:tcBorders>
          </w:tcPr>
          <w:p w:rsidR="00BB5EF6" w:rsidRPr="00BB5EF6" w:rsidRDefault="00BB5EF6" w:rsidP="00BB5EF6">
            <w:pPr>
              <w:keepNext/>
              <w:spacing w:before="0" w:after="0"/>
              <w:rPr>
                <w:rFonts w:ascii="Times New Roman" w:hAnsi="Times New Roman"/>
              </w:rPr>
            </w:pPr>
            <w:r w:rsidRPr="00BB5EF6">
              <w:rPr>
                <w:rFonts w:ascii="Times New Roman" w:hAnsi="Times New Roman"/>
                <w:noProof/>
                <w:lang w:val="it-IT" w:eastAsia="it-IT"/>
              </w:rPr>
              <w:drawing>
                <wp:inline distT="0" distB="0" distL="0" distR="0">
                  <wp:extent cx="3051544" cy="1658679"/>
                  <wp:effectExtent l="0" t="0" r="0" b="0"/>
                  <wp:docPr id="61" name="Gra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0"/>
                    </a:graphicData>
                  </a:graphic>
                </wp:inline>
              </w:drawing>
            </w:r>
          </w:p>
        </w:tc>
      </w:tr>
    </w:tbl>
    <w:p w:rsidR="00BB5EF6" w:rsidRPr="00BB5EF6" w:rsidRDefault="00BB5EF6" w:rsidP="00BB5EF6">
      <w:pPr>
        <w:spacing w:before="0" w:after="0"/>
        <w:jc w:val="center"/>
        <w:rPr>
          <w:rFonts w:ascii="Times New Roman" w:hAnsi="Times New Roman"/>
          <w:sz w:val="20"/>
          <w:lang w:val="en-GB"/>
        </w:rPr>
      </w:pPr>
      <w:r w:rsidRPr="00BB5EF6">
        <w:rPr>
          <w:rFonts w:ascii="Times New Roman" w:hAnsi="Times New Roman"/>
          <w:i/>
          <w:sz w:val="18"/>
          <w:szCs w:val="18"/>
          <w:lang w:val="en-GB"/>
        </w:rPr>
        <w:t>Source: DRN elaboration based on retrieval on July 2012</w:t>
      </w:r>
      <w:r w:rsidRPr="00BB5EF6">
        <w:rPr>
          <w:rFonts w:ascii="Times New Roman" w:hAnsi="Times New Roman"/>
          <w:sz w:val="20"/>
          <w:lang w:val="en-GB"/>
        </w:rPr>
        <w:t>.</w:t>
      </w:r>
    </w:p>
    <w:p w:rsidR="00BB5EF6" w:rsidRPr="00BB5EF6" w:rsidRDefault="00BB5EF6" w:rsidP="00BB5EF6">
      <w:pPr>
        <w:spacing w:before="0" w:after="0"/>
        <w:rPr>
          <w:rFonts w:ascii="Times New Roman" w:hAnsi="Times New Roman"/>
          <w:lang w:val="en-GB"/>
        </w:rPr>
      </w:pPr>
    </w:p>
    <w:p w:rsidR="00BB5EF6" w:rsidRPr="005E7468" w:rsidRDefault="00BB5EF6" w:rsidP="00BB5EF6">
      <w:pPr>
        <w:spacing w:before="0" w:after="0"/>
        <w:rPr>
          <w:rFonts w:ascii="Arial" w:hAnsi="Arial" w:cs="Arial"/>
          <w:sz w:val="22"/>
          <w:szCs w:val="22"/>
          <w:lang w:val="en-GB"/>
        </w:rPr>
      </w:pPr>
      <w:r w:rsidRPr="005E7468">
        <w:rPr>
          <w:rFonts w:ascii="Arial" w:hAnsi="Arial" w:cs="Arial"/>
          <w:sz w:val="22"/>
          <w:szCs w:val="22"/>
          <w:lang w:val="en-GB"/>
        </w:rPr>
        <w:t xml:space="preserve">The criterion with the highest average score is Relevance (3.0), meaning that the monitors’ assessments found projects to be well designed and relevant to their objectives. The criterion with the lowest average score is that of sustainability (2.7), which however is not too low and means that the projects seem to have a medium capacity for maintaining a continuation of the stream of benefits once the period of external support has ended. </w:t>
      </w:r>
    </w:p>
    <w:p w:rsidR="00BB5EF6" w:rsidRPr="005E7468" w:rsidRDefault="00BB5EF6" w:rsidP="00BB5EF6">
      <w:pPr>
        <w:autoSpaceDE w:val="0"/>
        <w:autoSpaceDN w:val="0"/>
        <w:adjustRightInd w:val="0"/>
        <w:spacing w:before="0" w:after="0"/>
        <w:rPr>
          <w:rFonts w:ascii="Arial" w:hAnsi="Arial" w:cs="Arial"/>
          <w:b/>
          <w:sz w:val="22"/>
          <w:szCs w:val="22"/>
          <w:lang w:val="en-GB"/>
        </w:rPr>
      </w:pPr>
    </w:p>
    <w:p w:rsidR="00BB5EF6" w:rsidRPr="005E7468" w:rsidRDefault="00BB5EF6" w:rsidP="00BB5EF6">
      <w:pPr>
        <w:spacing w:before="0" w:after="0"/>
        <w:rPr>
          <w:rFonts w:ascii="Arial" w:hAnsi="Arial" w:cs="Arial"/>
          <w:sz w:val="22"/>
          <w:szCs w:val="22"/>
        </w:rPr>
      </w:pPr>
      <w:r w:rsidRPr="005E7468">
        <w:rPr>
          <w:rFonts w:ascii="Arial" w:hAnsi="Arial" w:cs="Arial"/>
          <w:sz w:val="22"/>
          <w:szCs w:val="22"/>
        </w:rPr>
        <w:lastRenderedPageBreak/>
        <w:t>In terms of sectors, the figure shows good overall project level performances, with weaker performances for projects related to the governance sector with an overall score of 2.7.</w:t>
      </w:r>
    </w:p>
    <w:p w:rsidR="00BB5EF6" w:rsidRPr="005E7468" w:rsidRDefault="00BB5EF6" w:rsidP="00BB5EF6">
      <w:pPr>
        <w:autoSpaceDE w:val="0"/>
        <w:autoSpaceDN w:val="0"/>
        <w:adjustRightInd w:val="0"/>
        <w:spacing w:before="0" w:after="0"/>
        <w:rPr>
          <w:rFonts w:ascii="Arial" w:hAnsi="Arial" w:cs="Arial"/>
          <w:b/>
          <w:sz w:val="22"/>
          <w:szCs w:val="22"/>
        </w:rPr>
      </w:pPr>
    </w:p>
    <w:p w:rsidR="00BB5EF6" w:rsidRPr="005E7468" w:rsidRDefault="00BB5EF6" w:rsidP="00BB5EF6">
      <w:pPr>
        <w:spacing w:before="0" w:after="0"/>
        <w:rPr>
          <w:rFonts w:ascii="Arial" w:hAnsi="Arial" w:cs="Arial"/>
          <w:sz w:val="22"/>
          <w:szCs w:val="22"/>
        </w:rPr>
      </w:pPr>
      <w:r w:rsidRPr="005E7468">
        <w:rPr>
          <w:rFonts w:ascii="Arial" w:hAnsi="Arial" w:cs="Arial"/>
          <w:sz w:val="22"/>
          <w:szCs w:val="22"/>
        </w:rPr>
        <w:t>Table 2 describes in more detail performance by sector and sub-sector for each of the five main evaluation criteria (relevance and design, efficiency, effectiveness, impact and sustainability)</w:t>
      </w:r>
    </w:p>
    <w:p w:rsidR="00BB5EF6" w:rsidRPr="00BB5EF6" w:rsidRDefault="00BB5EF6" w:rsidP="00BB5EF6">
      <w:pPr>
        <w:spacing w:before="0" w:after="0"/>
        <w:rPr>
          <w:rFonts w:ascii="Times New Roman" w:hAnsi="Times New Roman"/>
          <w:sz w:val="24"/>
          <w:szCs w:val="24"/>
        </w:rPr>
      </w:pPr>
    </w:p>
    <w:p w:rsidR="00BB5EF6" w:rsidRPr="005E7468" w:rsidRDefault="00BB5EF6" w:rsidP="00D714DB">
      <w:pPr>
        <w:pStyle w:val="Didascalia"/>
        <w:framePr w:wrap="around"/>
      </w:pPr>
      <w:bookmarkStart w:id="117" w:name="_Toc368935199"/>
      <w:r w:rsidRPr="005E7468">
        <w:t>Table 2: Average ROMs score for EU Cooperation projects by sector 2008-2012</w:t>
      </w:r>
      <w:bookmarkEnd w:id="117"/>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tblBorders>
        <w:tblCellMar>
          <w:left w:w="70" w:type="dxa"/>
          <w:right w:w="70" w:type="dxa"/>
        </w:tblCellMar>
        <w:tblLook w:val="04A0"/>
      </w:tblPr>
      <w:tblGrid>
        <w:gridCol w:w="3816"/>
        <w:gridCol w:w="797"/>
        <w:gridCol w:w="862"/>
        <w:gridCol w:w="830"/>
        <w:gridCol w:w="1081"/>
        <w:gridCol w:w="611"/>
        <w:gridCol w:w="1089"/>
        <w:gridCol w:w="692"/>
      </w:tblGrid>
      <w:tr w:rsidR="00BB5EF6" w:rsidRPr="005E7468" w:rsidTr="005E7468">
        <w:trPr>
          <w:trHeight w:val="450"/>
        </w:trPr>
        <w:tc>
          <w:tcPr>
            <w:tcW w:w="1689" w:type="pct"/>
            <w:shd w:val="clear" w:color="auto" w:fill="4F81BD" w:themeFill="accent1"/>
            <w:vAlign w:val="center"/>
            <w:hideMark/>
          </w:tcPr>
          <w:p w:rsidR="00BB5EF6" w:rsidRPr="005E7468" w:rsidRDefault="00BB5EF6" w:rsidP="005E7468">
            <w:pPr>
              <w:spacing w:before="0" w:after="0"/>
              <w:jc w:val="center"/>
              <w:rPr>
                <w:rFonts w:ascii="Arial" w:hAnsi="Arial" w:cs="Arial"/>
                <w:b/>
                <w:bCs/>
                <w:color w:val="FFFFFF"/>
                <w:sz w:val="20"/>
              </w:rPr>
            </w:pPr>
            <w:r w:rsidRPr="005E7468">
              <w:rPr>
                <w:rFonts w:ascii="Arial" w:hAnsi="Arial" w:cs="Arial"/>
                <w:b/>
                <w:bCs/>
                <w:color w:val="FFFFFF"/>
                <w:sz w:val="20"/>
              </w:rPr>
              <w:t>SECTOR/Subsector</w:t>
            </w:r>
          </w:p>
        </w:tc>
        <w:tc>
          <w:tcPr>
            <w:tcW w:w="554" w:type="pct"/>
            <w:shd w:val="clear" w:color="auto" w:fill="4F81BD" w:themeFill="accent1"/>
            <w:vAlign w:val="center"/>
            <w:hideMark/>
          </w:tcPr>
          <w:p w:rsidR="00BB5EF6" w:rsidRPr="005E7468" w:rsidRDefault="00BB5EF6" w:rsidP="005E7468">
            <w:pPr>
              <w:spacing w:before="0" w:after="0"/>
              <w:jc w:val="center"/>
              <w:rPr>
                <w:rFonts w:ascii="Arial" w:hAnsi="Arial" w:cs="Arial"/>
                <w:b/>
                <w:bCs/>
                <w:color w:val="FFFFFF"/>
                <w:sz w:val="20"/>
              </w:rPr>
            </w:pPr>
            <w:r w:rsidRPr="005E7468">
              <w:rPr>
                <w:rFonts w:ascii="Arial" w:hAnsi="Arial" w:cs="Arial"/>
                <w:b/>
                <w:bCs/>
                <w:color w:val="FFFFFF"/>
                <w:sz w:val="20"/>
              </w:rPr>
              <w:t>N. of contracts</w:t>
            </w:r>
          </w:p>
        </w:tc>
        <w:tc>
          <w:tcPr>
            <w:tcW w:w="484" w:type="pct"/>
            <w:shd w:val="clear" w:color="auto" w:fill="4F81BD" w:themeFill="accent1"/>
            <w:vAlign w:val="center"/>
            <w:hideMark/>
          </w:tcPr>
          <w:p w:rsidR="00BB5EF6" w:rsidRPr="005E7468" w:rsidRDefault="00BB5EF6" w:rsidP="005E7468">
            <w:pPr>
              <w:spacing w:before="0" w:after="0"/>
              <w:jc w:val="center"/>
              <w:rPr>
                <w:rFonts w:ascii="Arial" w:hAnsi="Arial" w:cs="Arial"/>
                <w:b/>
                <w:bCs/>
                <w:color w:val="FFFFFF"/>
                <w:sz w:val="20"/>
              </w:rPr>
            </w:pPr>
            <w:r w:rsidRPr="005E7468">
              <w:rPr>
                <w:rFonts w:ascii="Arial" w:hAnsi="Arial" w:cs="Arial"/>
                <w:b/>
                <w:bCs/>
                <w:color w:val="FFFFFF"/>
                <w:sz w:val="20"/>
              </w:rPr>
              <w:t xml:space="preserve">Relevance </w:t>
            </w:r>
          </w:p>
        </w:tc>
        <w:tc>
          <w:tcPr>
            <w:tcW w:w="482" w:type="pct"/>
            <w:shd w:val="clear" w:color="auto" w:fill="4F81BD" w:themeFill="accent1"/>
            <w:vAlign w:val="center"/>
            <w:hideMark/>
          </w:tcPr>
          <w:p w:rsidR="00BB5EF6" w:rsidRPr="005E7468" w:rsidRDefault="00BB5EF6" w:rsidP="005E7468">
            <w:pPr>
              <w:spacing w:before="0" w:after="0"/>
              <w:jc w:val="center"/>
              <w:rPr>
                <w:rFonts w:ascii="Arial" w:hAnsi="Arial" w:cs="Arial"/>
                <w:b/>
                <w:bCs/>
                <w:color w:val="FFFFFF"/>
                <w:sz w:val="20"/>
              </w:rPr>
            </w:pPr>
            <w:r w:rsidRPr="005E7468">
              <w:rPr>
                <w:rFonts w:ascii="Arial" w:hAnsi="Arial" w:cs="Arial"/>
                <w:b/>
                <w:bCs/>
                <w:color w:val="FFFFFF"/>
                <w:sz w:val="20"/>
              </w:rPr>
              <w:t xml:space="preserve">Efficiency </w:t>
            </w:r>
          </w:p>
        </w:tc>
        <w:tc>
          <w:tcPr>
            <w:tcW w:w="612" w:type="pct"/>
            <w:shd w:val="clear" w:color="auto" w:fill="4F81BD" w:themeFill="accent1"/>
            <w:vAlign w:val="center"/>
            <w:hideMark/>
          </w:tcPr>
          <w:p w:rsidR="00BB5EF6" w:rsidRPr="005E7468" w:rsidRDefault="00BB5EF6" w:rsidP="005E7468">
            <w:pPr>
              <w:spacing w:before="0" w:after="0"/>
              <w:jc w:val="center"/>
              <w:rPr>
                <w:rFonts w:ascii="Arial" w:hAnsi="Arial" w:cs="Arial"/>
                <w:b/>
                <w:bCs/>
                <w:color w:val="FFFFFF"/>
                <w:sz w:val="20"/>
              </w:rPr>
            </w:pPr>
            <w:r w:rsidRPr="005E7468">
              <w:rPr>
                <w:rFonts w:ascii="Arial" w:hAnsi="Arial" w:cs="Arial"/>
                <w:b/>
                <w:bCs/>
                <w:color w:val="FFFFFF"/>
                <w:sz w:val="20"/>
              </w:rPr>
              <w:t xml:space="preserve">Effectiveness </w:t>
            </w:r>
          </w:p>
        </w:tc>
        <w:tc>
          <w:tcPr>
            <w:tcW w:w="352" w:type="pct"/>
            <w:shd w:val="clear" w:color="auto" w:fill="4F81BD" w:themeFill="accent1"/>
            <w:vAlign w:val="center"/>
            <w:hideMark/>
          </w:tcPr>
          <w:p w:rsidR="00BB5EF6" w:rsidRPr="005E7468" w:rsidRDefault="00BB5EF6" w:rsidP="005E7468">
            <w:pPr>
              <w:spacing w:before="0" w:after="0"/>
              <w:jc w:val="center"/>
              <w:rPr>
                <w:rFonts w:ascii="Arial" w:hAnsi="Arial" w:cs="Arial"/>
                <w:b/>
                <w:bCs/>
                <w:color w:val="FFFFFF"/>
                <w:sz w:val="20"/>
              </w:rPr>
            </w:pPr>
            <w:r w:rsidRPr="005E7468">
              <w:rPr>
                <w:rFonts w:ascii="Arial" w:hAnsi="Arial" w:cs="Arial"/>
                <w:b/>
                <w:bCs/>
                <w:color w:val="FFFFFF"/>
                <w:sz w:val="20"/>
              </w:rPr>
              <w:t xml:space="preserve">Impact </w:t>
            </w:r>
          </w:p>
        </w:tc>
        <w:tc>
          <w:tcPr>
            <w:tcW w:w="432" w:type="pct"/>
            <w:shd w:val="clear" w:color="auto" w:fill="4F81BD" w:themeFill="accent1"/>
            <w:vAlign w:val="center"/>
            <w:hideMark/>
          </w:tcPr>
          <w:p w:rsidR="00BB5EF6" w:rsidRPr="005E7468" w:rsidRDefault="00BB5EF6" w:rsidP="005E7468">
            <w:pPr>
              <w:spacing w:before="0" w:after="0"/>
              <w:jc w:val="center"/>
              <w:rPr>
                <w:rFonts w:ascii="Arial" w:hAnsi="Arial" w:cs="Arial"/>
                <w:b/>
                <w:bCs/>
                <w:color w:val="FFFFFF"/>
                <w:sz w:val="20"/>
              </w:rPr>
            </w:pPr>
            <w:r w:rsidRPr="005E7468">
              <w:rPr>
                <w:rFonts w:ascii="Arial" w:hAnsi="Arial" w:cs="Arial"/>
                <w:b/>
                <w:bCs/>
                <w:color w:val="FFFFFF"/>
                <w:sz w:val="20"/>
              </w:rPr>
              <w:t>Sustainability</w:t>
            </w:r>
          </w:p>
        </w:tc>
        <w:tc>
          <w:tcPr>
            <w:tcW w:w="396" w:type="pct"/>
            <w:shd w:val="clear" w:color="auto" w:fill="4F81BD" w:themeFill="accent1"/>
            <w:vAlign w:val="center"/>
            <w:hideMark/>
          </w:tcPr>
          <w:p w:rsidR="00BB5EF6" w:rsidRPr="005E7468" w:rsidRDefault="00BB5EF6" w:rsidP="005E7468">
            <w:pPr>
              <w:spacing w:before="0" w:after="0"/>
              <w:jc w:val="center"/>
              <w:rPr>
                <w:rFonts w:ascii="Arial" w:hAnsi="Arial" w:cs="Arial"/>
                <w:b/>
                <w:bCs/>
                <w:color w:val="FFFFFF"/>
                <w:sz w:val="20"/>
              </w:rPr>
            </w:pPr>
            <w:r w:rsidRPr="005E7468">
              <w:rPr>
                <w:rFonts w:ascii="Arial" w:hAnsi="Arial" w:cs="Arial"/>
                <w:b/>
                <w:bCs/>
                <w:color w:val="FFFFFF"/>
                <w:sz w:val="20"/>
              </w:rPr>
              <w:t xml:space="preserve">Total </w:t>
            </w:r>
            <w:proofErr w:type="spellStart"/>
            <w:r w:rsidRPr="005E7468">
              <w:rPr>
                <w:rFonts w:ascii="Arial" w:hAnsi="Arial" w:cs="Arial"/>
                <w:b/>
                <w:bCs/>
                <w:color w:val="FFFFFF"/>
                <w:sz w:val="20"/>
              </w:rPr>
              <w:t>avarage</w:t>
            </w:r>
            <w:proofErr w:type="spellEnd"/>
          </w:p>
        </w:tc>
      </w:tr>
      <w:tr w:rsidR="00BB5EF6" w:rsidRPr="005E7468" w:rsidTr="005E7468">
        <w:trPr>
          <w:trHeight w:val="255"/>
        </w:trPr>
        <w:tc>
          <w:tcPr>
            <w:tcW w:w="1689" w:type="pct"/>
            <w:shd w:val="clear" w:color="000000" w:fill="DCE6F1"/>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ADM</w:t>
            </w:r>
          </w:p>
        </w:tc>
        <w:tc>
          <w:tcPr>
            <w:tcW w:w="554" w:type="pct"/>
            <w:shd w:val="clear" w:color="000000" w:fill="DCE6F1"/>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 </w:t>
            </w:r>
          </w:p>
        </w:tc>
        <w:tc>
          <w:tcPr>
            <w:tcW w:w="484" w:type="pct"/>
            <w:shd w:val="clear" w:color="000000" w:fill="DCE6F1"/>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 </w:t>
            </w:r>
          </w:p>
        </w:tc>
        <w:tc>
          <w:tcPr>
            <w:tcW w:w="482" w:type="pct"/>
            <w:shd w:val="clear" w:color="000000" w:fill="DCE6F1"/>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 </w:t>
            </w:r>
          </w:p>
        </w:tc>
        <w:tc>
          <w:tcPr>
            <w:tcW w:w="612" w:type="pct"/>
            <w:shd w:val="clear" w:color="000000" w:fill="DCE6F1"/>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 </w:t>
            </w:r>
          </w:p>
        </w:tc>
        <w:tc>
          <w:tcPr>
            <w:tcW w:w="352" w:type="pct"/>
            <w:shd w:val="clear" w:color="000000" w:fill="DCE6F1"/>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 </w:t>
            </w:r>
          </w:p>
        </w:tc>
        <w:tc>
          <w:tcPr>
            <w:tcW w:w="432" w:type="pct"/>
            <w:shd w:val="clear" w:color="000000" w:fill="DCE6F1"/>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 </w:t>
            </w:r>
          </w:p>
        </w:tc>
        <w:tc>
          <w:tcPr>
            <w:tcW w:w="396" w:type="pct"/>
            <w:shd w:val="clear" w:color="000000" w:fill="DCE6F1"/>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 </w:t>
            </w:r>
          </w:p>
        </w:tc>
      </w:tr>
      <w:tr w:rsidR="00BB5EF6" w:rsidRPr="005E7468" w:rsidTr="005E7468">
        <w:trPr>
          <w:trHeight w:val="255"/>
        </w:trPr>
        <w:tc>
          <w:tcPr>
            <w:tcW w:w="1689" w:type="pct"/>
            <w:shd w:val="clear" w:color="auto" w:fill="auto"/>
            <w:noWrap/>
            <w:vAlign w:val="bottom"/>
            <w:hideMark/>
          </w:tcPr>
          <w:p w:rsidR="00BB5EF6" w:rsidRPr="005E7468" w:rsidRDefault="00BB5EF6" w:rsidP="005E7468">
            <w:pPr>
              <w:spacing w:before="0" w:after="0"/>
              <w:rPr>
                <w:rFonts w:ascii="Arial" w:hAnsi="Arial" w:cs="Arial"/>
                <w:sz w:val="20"/>
              </w:rPr>
            </w:pPr>
            <w:r w:rsidRPr="005E7468">
              <w:rPr>
                <w:rFonts w:ascii="Arial" w:hAnsi="Arial" w:cs="Arial"/>
                <w:sz w:val="20"/>
              </w:rPr>
              <w:t>Capacity-building</w:t>
            </w:r>
          </w:p>
        </w:tc>
        <w:tc>
          <w:tcPr>
            <w:tcW w:w="554"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1</w:t>
            </w:r>
          </w:p>
        </w:tc>
        <w:tc>
          <w:tcPr>
            <w:tcW w:w="484"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3,0</w:t>
            </w:r>
          </w:p>
        </w:tc>
        <w:tc>
          <w:tcPr>
            <w:tcW w:w="48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3,0</w:t>
            </w:r>
          </w:p>
        </w:tc>
        <w:tc>
          <w:tcPr>
            <w:tcW w:w="61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3,0</w:t>
            </w:r>
          </w:p>
        </w:tc>
        <w:tc>
          <w:tcPr>
            <w:tcW w:w="35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3,0</w:t>
            </w:r>
          </w:p>
        </w:tc>
        <w:tc>
          <w:tcPr>
            <w:tcW w:w="43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2,0</w:t>
            </w:r>
          </w:p>
        </w:tc>
        <w:tc>
          <w:tcPr>
            <w:tcW w:w="396" w:type="pct"/>
            <w:shd w:val="clear" w:color="auto" w:fill="D9D9D9" w:themeFill="background1" w:themeFillShade="D9"/>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2,8</w:t>
            </w:r>
          </w:p>
        </w:tc>
      </w:tr>
      <w:tr w:rsidR="00BB5EF6" w:rsidRPr="005E7468" w:rsidTr="005E7468">
        <w:trPr>
          <w:trHeight w:val="255"/>
        </w:trPr>
        <w:tc>
          <w:tcPr>
            <w:tcW w:w="1689" w:type="pct"/>
            <w:shd w:val="clear" w:color="auto" w:fill="auto"/>
            <w:noWrap/>
            <w:vAlign w:val="bottom"/>
            <w:hideMark/>
          </w:tcPr>
          <w:p w:rsidR="00BB5EF6" w:rsidRPr="005E7468" w:rsidRDefault="00BB5EF6" w:rsidP="005E7468">
            <w:pPr>
              <w:spacing w:before="0" w:after="0"/>
              <w:jc w:val="right"/>
              <w:rPr>
                <w:rFonts w:ascii="Arial" w:hAnsi="Arial" w:cs="Arial"/>
                <w:b/>
                <w:bCs/>
                <w:sz w:val="20"/>
              </w:rPr>
            </w:pPr>
            <w:r w:rsidRPr="005E7468">
              <w:rPr>
                <w:rFonts w:ascii="Arial" w:hAnsi="Arial" w:cs="Arial"/>
                <w:b/>
                <w:bCs/>
                <w:sz w:val="20"/>
              </w:rPr>
              <w:t>Total ADM</w:t>
            </w:r>
          </w:p>
        </w:tc>
        <w:tc>
          <w:tcPr>
            <w:tcW w:w="554" w:type="pct"/>
            <w:shd w:val="clear" w:color="auto" w:fill="auto"/>
            <w:noWrap/>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1</w:t>
            </w:r>
          </w:p>
        </w:tc>
        <w:tc>
          <w:tcPr>
            <w:tcW w:w="484" w:type="pct"/>
            <w:shd w:val="clear" w:color="auto" w:fill="auto"/>
            <w:noWrap/>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3,0</w:t>
            </w:r>
          </w:p>
        </w:tc>
        <w:tc>
          <w:tcPr>
            <w:tcW w:w="482" w:type="pct"/>
            <w:shd w:val="clear" w:color="auto" w:fill="auto"/>
            <w:noWrap/>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3,0</w:t>
            </w:r>
          </w:p>
        </w:tc>
        <w:tc>
          <w:tcPr>
            <w:tcW w:w="612" w:type="pct"/>
            <w:shd w:val="clear" w:color="auto" w:fill="auto"/>
            <w:noWrap/>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3,0</w:t>
            </w:r>
          </w:p>
        </w:tc>
        <w:tc>
          <w:tcPr>
            <w:tcW w:w="352" w:type="pct"/>
            <w:shd w:val="clear" w:color="auto" w:fill="auto"/>
            <w:noWrap/>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3,0</w:t>
            </w:r>
          </w:p>
        </w:tc>
        <w:tc>
          <w:tcPr>
            <w:tcW w:w="432" w:type="pct"/>
            <w:shd w:val="clear" w:color="auto" w:fill="auto"/>
            <w:noWrap/>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2,0</w:t>
            </w:r>
          </w:p>
        </w:tc>
        <w:tc>
          <w:tcPr>
            <w:tcW w:w="396" w:type="pct"/>
            <w:shd w:val="clear" w:color="auto" w:fill="D9D9D9" w:themeFill="background1" w:themeFillShade="D9"/>
            <w:noWrap/>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2,8</w:t>
            </w:r>
          </w:p>
        </w:tc>
      </w:tr>
      <w:tr w:rsidR="00BB5EF6" w:rsidRPr="005E7468" w:rsidTr="005E7468">
        <w:trPr>
          <w:trHeight w:val="255"/>
        </w:trPr>
        <w:tc>
          <w:tcPr>
            <w:tcW w:w="1689" w:type="pct"/>
            <w:shd w:val="clear" w:color="000000" w:fill="DCE6F1"/>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ECO</w:t>
            </w:r>
          </w:p>
        </w:tc>
        <w:tc>
          <w:tcPr>
            <w:tcW w:w="554" w:type="pct"/>
            <w:shd w:val="clear" w:color="000000" w:fill="DCE6F1"/>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 </w:t>
            </w:r>
          </w:p>
        </w:tc>
        <w:tc>
          <w:tcPr>
            <w:tcW w:w="484" w:type="pct"/>
            <w:shd w:val="clear" w:color="000000" w:fill="DCE6F1"/>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 </w:t>
            </w:r>
          </w:p>
        </w:tc>
        <w:tc>
          <w:tcPr>
            <w:tcW w:w="482" w:type="pct"/>
            <w:shd w:val="clear" w:color="000000" w:fill="DCE6F1"/>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 </w:t>
            </w:r>
          </w:p>
        </w:tc>
        <w:tc>
          <w:tcPr>
            <w:tcW w:w="612" w:type="pct"/>
            <w:shd w:val="clear" w:color="000000" w:fill="DCE6F1"/>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 </w:t>
            </w:r>
          </w:p>
        </w:tc>
        <w:tc>
          <w:tcPr>
            <w:tcW w:w="352" w:type="pct"/>
            <w:shd w:val="clear" w:color="000000" w:fill="DCE6F1"/>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 </w:t>
            </w:r>
          </w:p>
        </w:tc>
        <w:tc>
          <w:tcPr>
            <w:tcW w:w="432" w:type="pct"/>
            <w:shd w:val="clear" w:color="000000" w:fill="DCE6F1"/>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 </w:t>
            </w:r>
          </w:p>
        </w:tc>
        <w:tc>
          <w:tcPr>
            <w:tcW w:w="396" w:type="pct"/>
            <w:shd w:val="clear" w:color="000000" w:fill="DCE6F1"/>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 </w:t>
            </w:r>
          </w:p>
        </w:tc>
      </w:tr>
      <w:tr w:rsidR="00BB5EF6" w:rsidRPr="005E7468" w:rsidTr="005E7468">
        <w:trPr>
          <w:trHeight w:val="255"/>
        </w:trPr>
        <w:tc>
          <w:tcPr>
            <w:tcW w:w="1689" w:type="pct"/>
            <w:shd w:val="clear" w:color="auto" w:fill="auto"/>
            <w:noWrap/>
            <w:vAlign w:val="bottom"/>
            <w:hideMark/>
          </w:tcPr>
          <w:p w:rsidR="00BB5EF6" w:rsidRPr="005E7468" w:rsidRDefault="00BB5EF6" w:rsidP="005E7468">
            <w:pPr>
              <w:spacing w:before="0" w:after="0"/>
              <w:rPr>
                <w:rFonts w:ascii="Arial" w:hAnsi="Arial" w:cs="Arial"/>
                <w:sz w:val="20"/>
              </w:rPr>
            </w:pPr>
            <w:r w:rsidRPr="005E7468">
              <w:rPr>
                <w:rFonts w:ascii="Arial" w:hAnsi="Arial" w:cs="Arial"/>
                <w:sz w:val="20"/>
              </w:rPr>
              <w:t>Trade/PSD</w:t>
            </w:r>
          </w:p>
        </w:tc>
        <w:tc>
          <w:tcPr>
            <w:tcW w:w="554"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1</w:t>
            </w:r>
          </w:p>
        </w:tc>
        <w:tc>
          <w:tcPr>
            <w:tcW w:w="484"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3,0</w:t>
            </w:r>
          </w:p>
        </w:tc>
        <w:tc>
          <w:tcPr>
            <w:tcW w:w="48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3,0</w:t>
            </w:r>
          </w:p>
        </w:tc>
        <w:tc>
          <w:tcPr>
            <w:tcW w:w="61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3,0</w:t>
            </w:r>
          </w:p>
        </w:tc>
        <w:tc>
          <w:tcPr>
            <w:tcW w:w="35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3,0</w:t>
            </w:r>
          </w:p>
        </w:tc>
        <w:tc>
          <w:tcPr>
            <w:tcW w:w="43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3,0</w:t>
            </w:r>
          </w:p>
        </w:tc>
        <w:tc>
          <w:tcPr>
            <w:tcW w:w="396" w:type="pct"/>
            <w:shd w:val="clear" w:color="auto" w:fill="D9D9D9" w:themeFill="background1" w:themeFillShade="D9"/>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3,0</w:t>
            </w:r>
          </w:p>
        </w:tc>
      </w:tr>
      <w:tr w:rsidR="00BB5EF6" w:rsidRPr="005E7468" w:rsidTr="005E7468">
        <w:trPr>
          <w:trHeight w:val="255"/>
        </w:trPr>
        <w:tc>
          <w:tcPr>
            <w:tcW w:w="1689" w:type="pct"/>
            <w:shd w:val="clear" w:color="auto" w:fill="auto"/>
            <w:noWrap/>
            <w:vAlign w:val="bottom"/>
            <w:hideMark/>
          </w:tcPr>
          <w:p w:rsidR="00BB5EF6" w:rsidRPr="005E7468" w:rsidRDefault="00BB5EF6" w:rsidP="005E7468">
            <w:pPr>
              <w:spacing w:before="0" w:after="0"/>
              <w:jc w:val="right"/>
              <w:rPr>
                <w:rFonts w:ascii="Arial" w:hAnsi="Arial" w:cs="Arial"/>
                <w:b/>
                <w:bCs/>
                <w:sz w:val="20"/>
              </w:rPr>
            </w:pPr>
            <w:r w:rsidRPr="005E7468">
              <w:rPr>
                <w:rFonts w:ascii="Arial" w:hAnsi="Arial" w:cs="Arial"/>
                <w:b/>
                <w:bCs/>
                <w:sz w:val="20"/>
              </w:rPr>
              <w:t>Total ECO</w:t>
            </w:r>
          </w:p>
        </w:tc>
        <w:tc>
          <w:tcPr>
            <w:tcW w:w="554" w:type="pct"/>
            <w:shd w:val="clear" w:color="auto" w:fill="auto"/>
            <w:noWrap/>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1</w:t>
            </w:r>
          </w:p>
        </w:tc>
        <w:tc>
          <w:tcPr>
            <w:tcW w:w="484" w:type="pct"/>
            <w:shd w:val="clear" w:color="auto" w:fill="auto"/>
            <w:noWrap/>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3,0</w:t>
            </w:r>
          </w:p>
        </w:tc>
        <w:tc>
          <w:tcPr>
            <w:tcW w:w="482" w:type="pct"/>
            <w:shd w:val="clear" w:color="auto" w:fill="auto"/>
            <w:noWrap/>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3,0</w:t>
            </w:r>
          </w:p>
        </w:tc>
        <w:tc>
          <w:tcPr>
            <w:tcW w:w="612" w:type="pct"/>
            <w:shd w:val="clear" w:color="auto" w:fill="auto"/>
            <w:noWrap/>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3,0</w:t>
            </w:r>
          </w:p>
        </w:tc>
        <w:tc>
          <w:tcPr>
            <w:tcW w:w="352" w:type="pct"/>
            <w:shd w:val="clear" w:color="auto" w:fill="auto"/>
            <w:noWrap/>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3,0</w:t>
            </w:r>
          </w:p>
        </w:tc>
        <w:tc>
          <w:tcPr>
            <w:tcW w:w="432" w:type="pct"/>
            <w:shd w:val="clear" w:color="auto" w:fill="auto"/>
            <w:noWrap/>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3,0</w:t>
            </w:r>
          </w:p>
        </w:tc>
        <w:tc>
          <w:tcPr>
            <w:tcW w:w="396" w:type="pct"/>
            <w:shd w:val="clear" w:color="auto" w:fill="D9D9D9" w:themeFill="background1" w:themeFillShade="D9"/>
            <w:noWrap/>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3,0</w:t>
            </w:r>
          </w:p>
        </w:tc>
      </w:tr>
      <w:tr w:rsidR="00BB5EF6" w:rsidRPr="005E7468" w:rsidTr="005E7468">
        <w:trPr>
          <w:trHeight w:val="255"/>
        </w:trPr>
        <w:tc>
          <w:tcPr>
            <w:tcW w:w="1689" w:type="pct"/>
            <w:shd w:val="clear" w:color="000000" w:fill="DCE6F1"/>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FOOD</w:t>
            </w:r>
          </w:p>
        </w:tc>
        <w:tc>
          <w:tcPr>
            <w:tcW w:w="554" w:type="pct"/>
            <w:shd w:val="clear" w:color="000000" w:fill="DCE6F1"/>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 </w:t>
            </w:r>
          </w:p>
        </w:tc>
        <w:tc>
          <w:tcPr>
            <w:tcW w:w="484" w:type="pct"/>
            <w:shd w:val="clear" w:color="000000" w:fill="DCE6F1"/>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 </w:t>
            </w:r>
          </w:p>
        </w:tc>
        <w:tc>
          <w:tcPr>
            <w:tcW w:w="482" w:type="pct"/>
            <w:shd w:val="clear" w:color="000000" w:fill="DCE6F1"/>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 </w:t>
            </w:r>
          </w:p>
        </w:tc>
        <w:tc>
          <w:tcPr>
            <w:tcW w:w="612" w:type="pct"/>
            <w:shd w:val="clear" w:color="000000" w:fill="DCE6F1"/>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 </w:t>
            </w:r>
          </w:p>
        </w:tc>
        <w:tc>
          <w:tcPr>
            <w:tcW w:w="352" w:type="pct"/>
            <w:shd w:val="clear" w:color="000000" w:fill="DCE6F1"/>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 </w:t>
            </w:r>
          </w:p>
        </w:tc>
        <w:tc>
          <w:tcPr>
            <w:tcW w:w="432" w:type="pct"/>
            <w:shd w:val="clear" w:color="000000" w:fill="DCE6F1"/>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 </w:t>
            </w:r>
          </w:p>
        </w:tc>
        <w:tc>
          <w:tcPr>
            <w:tcW w:w="396" w:type="pct"/>
            <w:shd w:val="clear" w:color="000000" w:fill="DCE6F1"/>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 </w:t>
            </w:r>
          </w:p>
        </w:tc>
      </w:tr>
      <w:tr w:rsidR="00BB5EF6" w:rsidRPr="005E7468" w:rsidTr="005E7468">
        <w:trPr>
          <w:trHeight w:val="255"/>
        </w:trPr>
        <w:tc>
          <w:tcPr>
            <w:tcW w:w="1689" w:type="pct"/>
            <w:shd w:val="clear" w:color="auto" w:fill="auto"/>
            <w:noWrap/>
            <w:vAlign w:val="bottom"/>
            <w:hideMark/>
          </w:tcPr>
          <w:p w:rsidR="00BB5EF6" w:rsidRPr="005E7468" w:rsidRDefault="00BB5EF6" w:rsidP="005E7468">
            <w:pPr>
              <w:spacing w:before="0" w:after="0"/>
              <w:rPr>
                <w:rFonts w:ascii="Arial" w:hAnsi="Arial" w:cs="Arial"/>
                <w:sz w:val="20"/>
              </w:rPr>
            </w:pPr>
            <w:r w:rsidRPr="005E7468">
              <w:rPr>
                <w:rFonts w:ascii="Arial" w:hAnsi="Arial" w:cs="Arial"/>
                <w:sz w:val="20"/>
              </w:rPr>
              <w:t xml:space="preserve">Food security </w:t>
            </w:r>
          </w:p>
        </w:tc>
        <w:tc>
          <w:tcPr>
            <w:tcW w:w="554"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5</w:t>
            </w:r>
          </w:p>
        </w:tc>
        <w:tc>
          <w:tcPr>
            <w:tcW w:w="484"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3,2</w:t>
            </w:r>
          </w:p>
        </w:tc>
        <w:tc>
          <w:tcPr>
            <w:tcW w:w="48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2,6</w:t>
            </w:r>
          </w:p>
        </w:tc>
        <w:tc>
          <w:tcPr>
            <w:tcW w:w="61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2,8</w:t>
            </w:r>
          </w:p>
        </w:tc>
        <w:tc>
          <w:tcPr>
            <w:tcW w:w="35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3,2</w:t>
            </w:r>
          </w:p>
        </w:tc>
        <w:tc>
          <w:tcPr>
            <w:tcW w:w="43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3,2</w:t>
            </w:r>
          </w:p>
        </w:tc>
        <w:tc>
          <w:tcPr>
            <w:tcW w:w="396" w:type="pct"/>
            <w:shd w:val="clear" w:color="auto" w:fill="D9D9D9" w:themeFill="background1" w:themeFillShade="D9"/>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3,0</w:t>
            </w:r>
          </w:p>
        </w:tc>
      </w:tr>
      <w:tr w:rsidR="00BB5EF6" w:rsidRPr="005E7468" w:rsidTr="005E7468">
        <w:trPr>
          <w:trHeight w:val="255"/>
        </w:trPr>
        <w:tc>
          <w:tcPr>
            <w:tcW w:w="1689" w:type="pct"/>
            <w:shd w:val="clear" w:color="auto" w:fill="auto"/>
            <w:noWrap/>
            <w:vAlign w:val="bottom"/>
            <w:hideMark/>
          </w:tcPr>
          <w:p w:rsidR="00BB5EF6" w:rsidRPr="005E7468" w:rsidRDefault="00BB5EF6" w:rsidP="005E7468">
            <w:pPr>
              <w:spacing w:before="0" w:after="0"/>
              <w:jc w:val="right"/>
              <w:rPr>
                <w:rFonts w:ascii="Arial" w:hAnsi="Arial" w:cs="Arial"/>
                <w:b/>
                <w:bCs/>
                <w:sz w:val="20"/>
              </w:rPr>
            </w:pPr>
            <w:r w:rsidRPr="005E7468">
              <w:rPr>
                <w:rFonts w:ascii="Arial" w:hAnsi="Arial" w:cs="Arial"/>
                <w:b/>
                <w:bCs/>
                <w:sz w:val="20"/>
              </w:rPr>
              <w:t>Total FOOD</w:t>
            </w:r>
          </w:p>
        </w:tc>
        <w:tc>
          <w:tcPr>
            <w:tcW w:w="554" w:type="pct"/>
            <w:shd w:val="clear" w:color="auto" w:fill="auto"/>
            <w:noWrap/>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5</w:t>
            </w:r>
          </w:p>
        </w:tc>
        <w:tc>
          <w:tcPr>
            <w:tcW w:w="484" w:type="pct"/>
            <w:shd w:val="clear" w:color="auto" w:fill="auto"/>
            <w:noWrap/>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3,2</w:t>
            </w:r>
          </w:p>
        </w:tc>
        <w:tc>
          <w:tcPr>
            <w:tcW w:w="482" w:type="pct"/>
            <w:shd w:val="clear" w:color="auto" w:fill="auto"/>
            <w:noWrap/>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2,6</w:t>
            </w:r>
          </w:p>
        </w:tc>
        <w:tc>
          <w:tcPr>
            <w:tcW w:w="612" w:type="pct"/>
            <w:shd w:val="clear" w:color="auto" w:fill="auto"/>
            <w:noWrap/>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2,8</w:t>
            </w:r>
          </w:p>
        </w:tc>
        <w:tc>
          <w:tcPr>
            <w:tcW w:w="352" w:type="pct"/>
            <w:shd w:val="clear" w:color="auto" w:fill="auto"/>
            <w:noWrap/>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3,2</w:t>
            </w:r>
          </w:p>
        </w:tc>
        <w:tc>
          <w:tcPr>
            <w:tcW w:w="432" w:type="pct"/>
            <w:shd w:val="clear" w:color="auto" w:fill="auto"/>
            <w:noWrap/>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3,2</w:t>
            </w:r>
          </w:p>
        </w:tc>
        <w:tc>
          <w:tcPr>
            <w:tcW w:w="396" w:type="pct"/>
            <w:shd w:val="clear" w:color="auto" w:fill="D9D9D9" w:themeFill="background1" w:themeFillShade="D9"/>
            <w:noWrap/>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3,0</w:t>
            </w:r>
          </w:p>
        </w:tc>
      </w:tr>
      <w:tr w:rsidR="00BB5EF6" w:rsidRPr="005E7468" w:rsidTr="005E7468">
        <w:trPr>
          <w:trHeight w:val="255"/>
        </w:trPr>
        <w:tc>
          <w:tcPr>
            <w:tcW w:w="1689" w:type="pct"/>
            <w:shd w:val="clear" w:color="000000" w:fill="DCE6F1"/>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GOV</w:t>
            </w:r>
          </w:p>
        </w:tc>
        <w:tc>
          <w:tcPr>
            <w:tcW w:w="554" w:type="pct"/>
            <w:shd w:val="clear" w:color="000000" w:fill="DCE6F1"/>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 </w:t>
            </w:r>
          </w:p>
        </w:tc>
        <w:tc>
          <w:tcPr>
            <w:tcW w:w="484" w:type="pct"/>
            <w:shd w:val="clear" w:color="000000" w:fill="DCE6F1"/>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 </w:t>
            </w:r>
          </w:p>
        </w:tc>
        <w:tc>
          <w:tcPr>
            <w:tcW w:w="482" w:type="pct"/>
            <w:shd w:val="clear" w:color="000000" w:fill="DCE6F1"/>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 </w:t>
            </w:r>
          </w:p>
        </w:tc>
        <w:tc>
          <w:tcPr>
            <w:tcW w:w="612" w:type="pct"/>
            <w:shd w:val="clear" w:color="000000" w:fill="DCE6F1"/>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 </w:t>
            </w:r>
          </w:p>
        </w:tc>
        <w:tc>
          <w:tcPr>
            <w:tcW w:w="352" w:type="pct"/>
            <w:shd w:val="clear" w:color="000000" w:fill="DCE6F1"/>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 </w:t>
            </w:r>
          </w:p>
        </w:tc>
        <w:tc>
          <w:tcPr>
            <w:tcW w:w="432" w:type="pct"/>
            <w:shd w:val="clear" w:color="000000" w:fill="DCE6F1"/>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 </w:t>
            </w:r>
          </w:p>
        </w:tc>
        <w:tc>
          <w:tcPr>
            <w:tcW w:w="396" w:type="pct"/>
            <w:shd w:val="clear" w:color="000000" w:fill="DCE6F1"/>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 </w:t>
            </w:r>
          </w:p>
        </w:tc>
      </w:tr>
      <w:tr w:rsidR="00BB5EF6" w:rsidRPr="005E7468" w:rsidTr="005E7468">
        <w:trPr>
          <w:trHeight w:val="255"/>
        </w:trPr>
        <w:tc>
          <w:tcPr>
            <w:tcW w:w="1689" w:type="pct"/>
            <w:shd w:val="clear" w:color="auto" w:fill="auto"/>
            <w:noWrap/>
            <w:vAlign w:val="bottom"/>
            <w:hideMark/>
          </w:tcPr>
          <w:p w:rsidR="00BB5EF6" w:rsidRPr="005E7468" w:rsidRDefault="00BB5EF6" w:rsidP="005E7468">
            <w:pPr>
              <w:spacing w:before="0" w:after="0"/>
              <w:rPr>
                <w:rFonts w:ascii="Arial" w:hAnsi="Arial" w:cs="Arial"/>
                <w:sz w:val="20"/>
              </w:rPr>
            </w:pPr>
            <w:r w:rsidRPr="005E7468">
              <w:rPr>
                <w:rFonts w:ascii="Arial" w:hAnsi="Arial" w:cs="Arial"/>
                <w:sz w:val="20"/>
              </w:rPr>
              <w:t>Civilian peace-building, conflict prevention and resolution</w:t>
            </w:r>
          </w:p>
        </w:tc>
        <w:tc>
          <w:tcPr>
            <w:tcW w:w="554"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2</w:t>
            </w:r>
          </w:p>
        </w:tc>
        <w:tc>
          <w:tcPr>
            <w:tcW w:w="484"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3,0</w:t>
            </w:r>
          </w:p>
        </w:tc>
        <w:tc>
          <w:tcPr>
            <w:tcW w:w="48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3,0</w:t>
            </w:r>
          </w:p>
        </w:tc>
        <w:tc>
          <w:tcPr>
            <w:tcW w:w="61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3,0</w:t>
            </w:r>
          </w:p>
        </w:tc>
        <w:tc>
          <w:tcPr>
            <w:tcW w:w="35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2,5</w:t>
            </w:r>
          </w:p>
        </w:tc>
        <w:tc>
          <w:tcPr>
            <w:tcW w:w="43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2,5</w:t>
            </w:r>
          </w:p>
        </w:tc>
        <w:tc>
          <w:tcPr>
            <w:tcW w:w="396" w:type="pct"/>
            <w:shd w:val="clear" w:color="auto" w:fill="D9D9D9" w:themeFill="background1" w:themeFillShade="D9"/>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2,8</w:t>
            </w:r>
          </w:p>
        </w:tc>
      </w:tr>
      <w:tr w:rsidR="00BB5EF6" w:rsidRPr="005E7468" w:rsidTr="005E7468">
        <w:trPr>
          <w:trHeight w:val="255"/>
        </w:trPr>
        <w:tc>
          <w:tcPr>
            <w:tcW w:w="1689" w:type="pct"/>
            <w:shd w:val="clear" w:color="auto" w:fill="auto"/>
            <w:noWrap/>
            <w:vAlign w:val="bottom"/>
            <w:hideMark/>
          </w:tcPr>
          <w:p w:rsidR="00BB5EF6" w:rsidRPr="005E7468" w:rsidRDefault="00BB5EF6" w:rsidP="005E7468">
            <w:pPr>
              <w:spacing w:before="0" w:after="0"/>
              <w:rPr>
                <w:rFonts w:ascii="Arial" w:hAnsi="Arial" w:cs="Arial"/>
                <w:sz w:val="20"/>
              </w:rPr>
            </w:pPr>
            <w:r w:rsidRPr="005E7468">
              <w:rPr>
                <w:rFonts w:ascii="Arial" w:hAnsi="Arial" w:cs="Arial"/>
                <w:sz w:val="20"/>
              </w:rPr>
              <w:t>Democratic participation and Civil Society</w:t>
            </w:r>
          </w:p>
        </w:tc>
        <w:tc>
          <w:tcPr>
            <w:tcW w:w="554"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1</w:t>
            </w:r>
          </w:p>
        </w:tc>
        <w:tc>
          <w:tcPr>
            <w:tcW w:w="484"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4,0</w:t>
            </w:r>
          </w:p>
        </w:tc>
        <w:tc>
          <w:tcPr>
            <w:tcW w:w="48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4,0</w:t>
            </w:r>
          </w:p>
        </w:tc>
        <w:tc>
          <w:tcPr>
            <w:tcW w:w="61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3,0</w:t>
            </w:r>
          </w:p>
        </w:tc>
        <w:tc>
          <w:tcPr>
            <w:tcW w:w="35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3,0</w:t>
            </w:r>
          </w:p>
        </w:tc>
        <w:tc>
          <w:tcPr>
            <w:tcW w:w="43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3,0</w:t>
            </w:r>
          </w:p>
        </w:tc>
        <w:tc>
          <w:tcPr>
            <w:tcW w:w="396" w:type="pct"/>
            <w:shd w:val="clear" w:color="auto" w:fill="D9D9D9" w:themeFill="background1" w:themeFillShade="D9"/>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3,4</w:t>
            </w:r>
          </w:p>
        </w:tc>
      </w:tr>
      <w:tr w:rsidR="00BB5EF6" w:rsidRPr="005E7468" w:rsidTr="005E7468">
        <w:trPr>
          <w:trHeight w:val="255"/>
        </w:trPr>
        <w:tc>
          <w:tcPr>
            <w:tcW w:w="1689" w:type="pct"/>
            <w:shd w:val="clear" w:color="auto" w:fill="auto"/>
            <w:noWrap/>
            <w:vAlign w:val="bottom"/>
            <w:hideMark/>
          </w:tcPr>
          <w:p w:rsidR="00BB5EF6" w:rsidRPr="005E7468" w:rsidRDefault="00BB5EF6" w:rsidP="005E7468">
            <w:pPr>
              <w:spacing w:before="0" w:after="0"/>
              <w:rPr>
                <w:rFonts w:ascii="Arial" w:hAnsi="Arial" w:cs="Arial"/>
                <w:sz w:val="20"/>
              </w:rPr>
            </w:pPr>
            <w:r w:rsidRPr="005E7468">
              <w:rPr>
                <w:rFonts w:ascii="Arial" w:hAnsi="Arial" w:cs="Arial"/>
                <w:sz w:val="20"/>
              </w:rPr>
              <w:t>Human Rights</w:t>
            </w:r>
          </w:p>
        </w:tc>
        <w:tc>
          <w:tcPr>
            <w:tcW w:w="554"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2</w:t>
            </w:r>
          </w:p>
        </w:tc>
        <w:tc>
          <w:tcPr>
            <w:tcW w:w="484"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3,0</w:t>
            </w:r>
          </w:p>
        </w:tc>
        <w:tc>
          <w:tcPr>
            <w:tcW w:w="48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3,0</w:t>
            </w:r>
          </w:p>
        </w:tc>
        <w:tc>
          <w:tcPr>
            <w:tcW w:w="61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3,0</w:t>
            </w:r>
          </w:p>
        </w:tc>
        <w:tc>
          <w:tcPr>
            <w:tcW w:w="35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2,5</w:t>
            </w:r>
          </w:p>
        </w:tc>
        <w:tc>
          <w:tcPr>
            <w:tcW w:w="43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3,0</w:t>
            </w:r>
          </w:p>
        </w:tc>
        <w:tc>
          <w:tcPr>
            <w:tcW w:w="396" w:type="pct"/>
            <w:shd w:val="clear" w:color="auto" w:fill="D9D9D9" w:themeFill="background1" w:themeFillShade="D9"/>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2,9</w:t>
            </w:r>
          </w:p>
        </w:tc>
      </w:tr>
      <w:tr w:rsidR="00BB5EF6" w:rsidRPr="005E7468" w:rsidTr="005E7468">
        <w:trPr>
          <w:trHeight w:val="255"/>
        </w:trPr>
        <w:tc>
          <w:tcPr>
            <w:tcW w:w="1689" w:type="pct"/>
            <w:shd w:val="clear" w:color="auto" w:fill="auto"/>
            <w:noWrap/>
            <w:vAlign w:val="bottom"/>
            <w:hideMark/>
          </w:tcPr>
          <w:p w:rsidR="00BB5EF6" w:rsidRPr="005E7468" w:rsidRDefault="00BB5EF6" w:rsidP="005E7468">
            <w:pPr>
              <w:spacing w:before="0" w:after="0"/>
              <w:rPr>
                <w:rFonts w:ascii="Arial" w:hAnsi="Arial" w:cs="Arial"/>
                <w:sz w:val="20"/>
              </w:rPr>
            </w:pPr>
            <w:r w:rsidRPr="005E7468">
              <w:rPr>
                <w:rFonts w:ascii="Arial" w:hAnsi="Arial" w:cs="Arial"/>
                <w:sz w:val="20"/>
              </w:rPr>
              <w:t>Justice</w:t>
            </w:r>
          </w:p>
        </w:tc>
        <w:tc>
          <w:tcPr>
            <w:tcW w:w="554"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4</w:t>
            </w:r>
          </w:p>
        </w:tc>
        <w:tc>
          <w:tcPr>
            <w:tcW w:w="484"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1,8</w:t>
            </w:r>
          </w:p>
        </w:tc>
        <w:tc>
          <w:tcPr>
            <w:tcW w:w="48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1,8</w:t>
            </w:r>
          </w:p>
        </w:tc>
        <w:tc>
          <w:tcPr>
            <w:tcW w:w="61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2,0</w:t>
            </w:r>
          </w:p>
        </w:tc>
        <w:tc>
          <w:tcPr>
            <w:tcW w:w="35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2,0</w:t>
            </w:r>
          </w:p>
        </w:tc>
        <w:tc>
          <w:tcPr>
            <w:tcW w:w="43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1,8</w:t>
            </w:r>
          </w:p>
        </w:tc>
        <w:tc>
          <w:tcPr>
            <w:tcW w:w="396" w:type="pct"/>
            <w:shd w:val="clear" w:color="auto" w:fill="D9D9D9" w:themeFill="background1" w:themeFillShade="D9"/>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1,9</w:t>
            </w:r>
          </w:p>
        </w:tc>
      </w:tr>
      <w:tr w:rsidR="00BB5EF6" w:rsidRPr="005E7468" w:rsidTr="005E7468">
        <w:trPr>
          <w:trHeight w:val="255"/>
        </w:trPr>
        <w:tc>
          <w:tcPr>
            <w:tcW w:w="1689" w:type="pct"/>
            <w:shd w:val="clear" w:color="auto" w:fill="auto"/>
            <w:noWrap/>
            <w:vAlign w:val="bottom"/>
            <w:hideMark/>
          </w:tcPr>
          <w:p w:rsidR="00BB5EF6" w:rsidRPr="005E7468" w:rsidRDefault="00BB5EF6" w:rsidP="005E7468">
            <w:pPr>
              <w:spacing w:before="0" w:after="0"/>
              <w:jc w:val="right"/>
              <w:rPr>
                <w:rFonts w:ascii="Arial" w:hAnsi="Arial" w:cs="Arial"/>
                <w:b/>
                <w:bCs/>
                <w:sz w:val="20"/>
              </w:rPr>
            </w:pPr>
            <w:r w:rsidRPr="005E7468">
              <w:rPr>
                <w:rFonts w:ascii="Arial" w:hAnsi="Arial" w:cs="Arial"/>
                <w:b/>
                <w:bCs/>
                <w:sz w:val="20"/>
              </w:rPr>
              <w:t xml:space="preserve"> Total GOV</w:t>
            </w:r>
          </w:p>
        </w:tc>
        <w:tc>
          <w:tcPr>
            <w:tcW w:w="554" w:type="pct"/>
            <w:shd w:val="clear" w:color="auto" w:fill="auto"/>
            <w:noWrap/>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9</w:t>
            </w:r>
          </w:p>
        </w:tc>
        <w:tc>
          <w:tcPr>
            <w:tcW w:w="484" w:type="pct"/>
            <w:shd w:val="clear" w:color="auto" w:fill="auto"/>
            <w:noWrap/>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2,9</w:t>
            </w:r>
          </w:p>
        </w:tc>
        <w:tc>
          <w:tcPr>
            <w:tcW w:w="482" w:type="pct"/>
            <w:shd w:val="clear" w:color="auto" w:fill="auto"/>
            <w:noWrap/>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2,9</w:t>
            </w:r>
          </w:p>
        </w:tc>
        <w:tc>
          <w:tcPr>
            <w:tcW w:w="612" w:type="pct"/>
            <w:shd w:val="clear" w:color="auto" w:fill="auto"/>
            <w:noWrap/>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2,8</w:t>
            </w:r>
          </w:p>
        </w:tc>
        <w:tc>
          <w:tcPr>
            <w:tcW w:w="352" w:type="pct"/>
            <w:shd w:val="clear" w:color="auto" w:fill="auto"/>
            <w:noWrap/>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2,5</w:t>
            </w:r>
          </w:p>
        </w:tc>
        <w:tc>
          <w:tcPr>
            <w:tcW w:w="432" w:type="pct"/>
            <w:shd w:val="clear" w:color="auto" w:fill="auto"/>
            <w:noWrap/>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2,6</w:t>
            </w:r>
          </w:p>
        </w:tc>
        <w:tc>
          <w:tcPr>
            <w:tcW w:w="396" w:type="pct"/>
            <w:shd w:val="clear" w:color="auto" w:fill="D9D9D9" w:themeFill="background1" w:themeFillShade="D9"/>
            <w:noWrap/>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2,7</w:t>
            </w:r>
          </w:p>
        </w:tc>
      </w:tr>
      <w:tr w:rsidR="00BB5EF6" w:rsidRPr="005E7468" w:rsidTr="005E7468">
        <w:trPr>
          <w:trHeight w:val="255"/>
        </w:trPr>
        <w:tc>
          <w:tcPr>
            <w:tcW w:w="1689" w:type="pct"/>
            <w:shd w:val="clear" w:color="000000" w:fill="DCE6F1"/>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INFR</w:t>
            </w:r>
          </w:p>
        </w:tc>
        <w:tc>
          <w:tcPr>
            <w:tcW w:w="554" w:type="pct"/>
            <w:shd w:val="clear" w:color="000000" w:fill="DCE6F1"/>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 </w:t>
            </w:r>
          </w:p>
        </w:tc>
        <w:tc>
          <w:tcPr>
            <w:tcW w:w="484" w:type="pct"/>
            <w:shd w:val="clear" w:color="000000" w:fill="DCE6F1"/>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 </w:t>
            </w:r>
          </w:p>
        </w:tc>
        <w:tc>
          <w:tcPr>
            <w:tcW w:w="482" w:type="pct"/>
            <w:shd w:val="clear" w:color="000000" w:fill="DCE6F1"/>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 </w:t>
            </w:r>
          </w:p>
        </w:tc>
        <w:tc>
          <w:tcPr>
            <w:tcW w:w="612" w:type="pct"/>
            <w:shd w:val="clear" w:color="000000" w:fill="DCE6F1"/>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 </w:t>
            </w:r>
          </w:p>
        </w:tc>
        <w:tc>
          <w:tcPr>
            <w:tcW w:w="352" w:type="pct"/>
            <w:shd w:val="clear" w:color="000000" w:fill="DCE6F1"/>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 </w:t>
            </w:r>
          </w:p>
        </w:tc>
        <w:tc>
          <w:tcPr>
            <w:tcW w:w="432" w:type="pct"/>
            <w:shd w:val="clear" w:color="000000" w:fill="DCE6F1"/>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 </w:t>
            </w:r>
          </w:p>
        </w:tc>
        <w:tc>
          <w:tcPr>
            <w:tcW w:w="396" w:type="pct"/>
            <w:shd w:val="clear" w:color="000000" w:fill="DCE6F1"/>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 </w:t>
            </w:r>
          </w:p>
        </w:tc>
      </w:tr>
      <w:tr w:rsidR="00BB5EF6" w:rsidRPr="005E7468" w:rsidTr="005E7468">
        <w:trPr>
          <w:trHeight w:val="255"/>
        </w:trPr>
        <w:tc>
          <w:tcPr>
            <w:tcW w:w="1689" w:type="pct"/>
            <w:shd w:val="clear" w:color="auto" w:fill="auto"/>
            <w:noWrap/>
            <w:vAlign w:val="bottom"/>
            <w:hideMark/>
          </w:tcPr>
          <w:p w:rsidR="00BB5EF6" w:rsidRPr="005E7468" w:rsidRDefault="00BB5EF6" w:rsidP="005E7468">
            <w:pPr>
              <w:spacing w:before="0" w:after="0"/>
              <w:rPr>
                <w:rFonts w:ascii="Arial" w:hAnsi="Arial" w:cs="Arial"/>
                <w:sz w:val="20"/>
              </w:rPr>
            </w:pPr>
            <w:r w:rsidRPr="005E7468">
              <w:rPr>
                <w:rFonts w:ascii="Arial" w:hAnsi="Arial" w:cs="Arial"/>
                <w:sz w:val="20"/>
              </w:rPr>
              <w:t>Energy</w:t>
            </w:r>
          </w:p>
        </w:tc>
        <w:tc>
          <w:tcPr>
            <w:tcW w:w="554"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1</w:t>
            </w:r>
          </w:p>
        </w:tc>
        <w:tc>
          <w:tcPr>
            <w:tcW w:w="484"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3,0</w:t>
            </w:r>
          </w:p>
        </w:tc>
        <w:tc>
          <w:tcPr>
            <w:tcW w:w="48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4,0</w:t>
            </w:r>
          </w:p>
        </w:tc>
        <w:tc>
          <w:tcPr>
            <w:tcW w:w="61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3,0</w:t>
            </w:r>
          </w:p>
        </w:tc>
        <w:tc>
          <w:tcPr>
            <w:tcW w:w="35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4,0</w:t>
            </w:r>
          </w:p>
        </w:tc>
        <w:tc>
          <w:tcPr>
            <w:tcW w:w="43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3,0</w:t>
            </w:r>
          </w:p>
        </w:tc>
        <w:tc>
          <w:tcPr>
            <w:tcW w:w="396" w:type="pct"/>
            <w:shd w:val="clear" w:color="auto" w:fill="D9D9D9" w:themeFill="background1" w:themeFillShade="D9"/>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3,4</w:t>
            </w:r>
          </w:p>
        </w:tc>
      </w:tr>
      <w:tr w:rsidR="00BB5EF6" w:rsidRPr="005E7468" w:rsidTr="005E7468">
        <w:trPr>
          <w:trHeight w:val="255"/>
        </w:trPr>
        <w:tc>
          <w:tcPr>
            <w:tcW w:w="1689" w:type="pct"/>
            <w:shd w:val="clear" w:color="auto" w:fill="auto"/>
            <w:noWrap/>
            <w:vAlign w:val="bottom"/>
            <w:hideMark/>
          </w:tcPr>
          <w:p w:rsidR="00BB5EF6" w:rsidRPr="005E7468" w:rsidRDefault="00BB5EF6" w:rsidP="005E7468">
            <w:pPr>
              <w:spacing w:before="0" w:after="0"/>
              <w:rPr>
                <w:rFonts w:ascii="Arial" w:hAnsi="Arial" w:cs="Arial"/>
                <w:sz w:val="20"/>
              </w:rPr>
            </w:pPr>
            <w:r w:rsidRPr="005E7468">
              <w:rPr>
                <w:rFonts w:ascii="Arial" w:hAnsi="Arial" w:cs="Arial"/>
                <w:sz w:val="20"/>
              </w:rPr>
              <w:t>Urban planning</w:t>
            </w:r>
          </w:p>
        </w:tc>
        <w:tc>
          <w:tcPr>
            <w:tcW w:w="554"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1</w:t>
            </w:r>
          </w:p>
        </w:tc>
        <w:tc>
          <w:tcPr>
            <w:tcW w:w="484"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3,0</w:t>
            </w:r>
          </w:p>
        </w:tc>
        <w:tc>
          <w:tcPr>
            <w:tcW w:w="48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3,0</w:t>
            </w:r>
          </w:p>
        </w:tc>
        <w:tc>
          <w:tcPr>
            <w:tcW w:w="61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3,0</w:t>
            </w:r>
          </w:p>
        </w:tc>
        <w:tc>
          <w:tcPr>
            <w:tcW w:w="35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2,0</w:t>
            </w:r>
          </w:p>
        </w:tc>
        <w:tc>
          <w:tcPr>
            <w:tcW w:w="43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2,0</w:t>
            </w:r>
          </w:p>
        </w:tc>
        <w:tc>
          <w:tcPr>
            <w:tcW w:w="396" w:type="pct"/>
            <w:shd w:val="clear" w:color="auto" w:fill="D9D9D9" w:themeFill="background1" w:themeFillShade="D9"/>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2,6</w:t>
            </w:r>
          </w:p>
        </w:tc>
      </w:tr>
      <w:tr w:rsidR="00BB5EF6" w:rsidRPr="005E7468" w:rsidTr="005E7468">
        <w:trPr>
          <w:trHeight w:val="255"/>
        </w:trPr>
        <w:tc>
          <w:tcPr>
            <w:tcW w:w="1689" w:type="pct"/>
            <w:shd w:val="clear" w:color="auto" w:fill="auto"/>
            <w:noWrap/>
            <w:vAlign w:val="bottom"/>
            <w:hideMark/>
          </w:tcPr>
          <w:p w:rsidR="00BB5EF6" w:rsidRPr="005E7468" w:rsidRDefault="00BB5EF6" w:rsidP="005E7468">
            <w:pPr>
              <w:spacing w:before="0" w:after="0"/>
              <w:jc w:val="right"/>
              <w:rPr>
                <w:rFonts w:ascii="Arial" w:hAnsi="Arial" w:cs="Arial"/>
                <w:b/>
                <w:bCs/>
                <w:sz w:val="20"/>
              </w:rPr>
            </w:pPr>
            <w:r w:rsidRPr="005E7468">
              <w:rPr>
                <w:rFonts w:ascii="Arial" w:hAnsi="Arial" w:cs="Arial"/>
                <w:b/>
                <w:bCs/>
                <w:sz w:val="20"/>
              </w:rPr>
              <w:t>Total INFR</w:t>
            </w:r>
          </w:p>
        </w:tc>
        <w:tc>
          <w:tcPr>
            <w:tcW w:w="554" w:type="pct"/>
            <w:shd w:val="clear" w:color="auto" w:fill="auto"/>
            <w:noWrap/>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2</w:t>
            </w:r>
          </w:p>
        </w:tc>
        <w:tc>
          <w:tcPr>
            <w:tcW w:w="484" w:type="pct"/>
            <w:shd w:val="clear" w:color="auto" w:fill="auto"/>
            <w:noWrap/>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3,0</w:t>
            </w:r>
          </w:p>
        </w:tc>
        <w:tc>
          <w:tcPr>
            <w:tcW w:w="482" w:type="pct"/>
            <w:shd w:val="clear" w:color="auto" w:fill="auto"/>
            <w:noWrap/>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3,5</w:t>
            </w:r>
          </w:p>
        </w:tc>
        <w:tc>
          <w:tcPr>
            <w:tcW w:w="612" w:type="pct"/>
            <w:shd w:val="clear" w:color="auto" w:fill="auto"/>
            <w:noWrap/>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3,0</w:t>
            </w:r>
          </w:p>
        </w:tc>
        <w:tc>
          <w:tcPr>
            <w:tcW w:w="352" w:type="pct"/>
            <w:shd w:val="clear" w:color="auto" w:fill="auto"/>
            <w:noWrap/>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3,0</w:t>
            </w:r>
          </w:p>
        </w:tc>
        <w:tc>
          <w:tcPr>
            <w:tcW w:w="432" w:type="pct"/>
            <w:shd w:val="clear" w:color="auto" w:fill="auto"/>
            <w:noWrap/>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2,5</w:t>
            </w:r>
          </w:p>
        </w:tc>
        <w:tc>
          <w:tcPr>
            <w:tcW w:w="396" w:type="pct"/>
            <w:shd w:val="clear" w:color="auto" w:fill="D9D9D9" w:themeFill="background1" w:themeFillShade="D9"/>
            <w:noWrap/>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3,0</w:t>
            </w:r>
          </w:p>
        </w:tc>
      </w:tr>
      <w:tr w:rsidR="00BB5EF6" w:rsidRPr="005E7468" w:rsidTr="005E7468">
        <w:trPr>
          <w:trHeight w:val="255"/>
        </w:trPr>
        <w:tc>
          <w:tcPr>
            <w:tcW w:w="1689" w:type="pct"/>
            <w:shd w:val="clear" w:color="000000" w:fill="DCE6F1"/>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MULTI</w:t>
            </w:r>
          </w:p>
        </w:tc>
        <w:tc>
          <w:tcPr>
            <w:tcW w:w="554" w:type="pct"/>
            <w:shd w:val="clear" w:color="000000" w:fill="DCE6F1"/>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 </w:t>
            </w:r>
          </w:p>
        </w:tc>
        <w:tc>
          <w:tcPr>
            <w:tcW w:w="484" w:type="pct"/>
            <w:shd w:val="clear" w:color="000000" w:fill="DCE6F1"/>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 </w:t>
            </w:r>
          </w:p>
        </w:tc>
        <w:tc>
          <w:tcPr>
            <w:tcW w:w="482" w:type="pct"/>
            <w:shd w:val="clear" w:color="000000" w:fill="DCE6F1"/>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 </w:t>
            </w:r>
          </w:p>
        </w:tc>
        <w:tc>
          <w:tcPr>
            <w:tcW w:w="612" w:type="pct"/>
            <w:shd w:val="clear" w:color="000000" w:fill="DCE6F1"/>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 </w:t>
            </w:r>
          </w:p>
        </w:tc>
        <w:tc>
          <w:tcPr>
            <w:tcW w:w="352" w:type="pct"/>
            <w:shd w:val="clear" w:color="000000" w:fill="DCE6F1"/>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 </w:t>
            </w:r>
          </w:p>
        </w:tc>
        <w:tc>
          <w:tcPr>
            <w:tcW w:w="432" w:type="pct"/>
            <w:shd w:val="clear" w:color="000000" w:fill="DCE6F1"/>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 </w:t>
            </w:r>
          </w:p>
        </w:tc>
        <w:tc>
          <w:tcPr>
            <w:tcW w:w="396" w:type="pct"/>
            <w:shd w:val="clear" w:color="000000" w:fill="DCE6F1"/>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 </w:t>
            </w:r>
          </w:p>
        </w:tc>
      </w:tr>
      <w:tr w:rsidR="00BB5EF6" w:rsidRPr="005E7468" w:rsidTr="005E7468">
        <w:trPr>
          <w:trHeight w:val="255"/>
        </w:trPr>
        <w:tc>
          <w:tcPr>
            <w:tcW w:w="1689" w:type="pct"/>
            <w:shd w:val="clear" w:color="auto" w:fill="auto"/>
            <w:noWrap/>
            <w:vAlign w:val="bottom"/>
            <w:hideMark/>
          </w:tcPr>
          <w:p w:rsidR="00BB5EF6" w:rsidRPr="005E7468" w:rsidRDefault="00BB5EF6" w:rsidP="005E7468">
            <w:pPr>
              <w:spacing w:before="0" w:after="0"/>
              <w:rPr>
                <w:rFonts w:ascii="Arial" w:hAnsi="Arial" w:cs="Arial"/>
                <w:sz w:val="20"/>
              </w:rPr>
            </w:pPr>
            <w:proofErr w:type="spellStart"/>
            <w:r w:rsidRPr="005E7468">
              <w:rPr>
                <w:rFonts w:ascii="Arial" w:hAnsi="Arial" w:cs="Arial"/>
                <w:sz w:val="20"/>
              </w:rPr>
              <w:t>Multisector</w:t>
            </w:r>
            <w:proofErr w:type="spellEnd"/>
            <w:r w:rsidRPr="005E7468">
              <w:rPr>
                <w:rFonts w:ascii="Arial" w:hAnsi="Arial" w:cs="Arial"/>
                <w:sz w:val="20"/>
              </w:rPr>
              <w:t xml:space="preserve"> aid</w:t>
            </w:r>
          </w:p>
        </w:tc>
        <w:tc>
          <w:tcPr>
            <w:tcW w:w="554"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1</w:t>
            </w:r>
          </w:p>
        </w:tc>
        <w:tc>
          <w:tcPr>
            <w:tcW w:w="484"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3,0</w:t>
            </w:r>
          </w:p>
        </w:tc>
        <w:tc>
          <w:tcPr>
            <w:tcW w:w="48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4,0</w:t>
            </w:r>
          </w:p>
        </w:tc>
        <w:tc>
          <w:tcPr>
            <w:tcW w:w="61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4,0</w:t>
            </w:r>
          </w:p>
        </w:tc>
        <w:tc>
          <w:tcPr>
            <w:tcW w:w="35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3,0</w:t>
            </w:r>
          </w:p>
        </w:tc>
        <w:tc>
          <w:tcPr>
            <w:tcW w:w="43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3,0</w:t>
            </w:r>
          </w:p>
        </w:tc>
        <w:tc>
          <w:tcPr>
            <w:tcW w:w="396" w:type="pct"/>
            <w:shd w:val="clear" w:color="auto" w:fill="D9D9D9" w:themeFill="background1" w:themeFillShade="D9"/>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3,4</w:t>
            </w:r>
          </w:p>
        </w:tc>
      </w:tr>
      <w:tr w:rsidR="00BB5EF6" w:rsidRPr="005E7468" w:rsidTr="005E7468">
        <w:trPr>
          <w:trHeight w:val="255"/>
        </w:trPr>
        <w:tc>
          <w:tcPr>
            <w:tcW w:w="1689" w:type="pct"/>
            <w:shd w:val="clear" w:color="auto" w:fill="auto"/>
            <w:noWrap/>
            <w:vAlign w:val="bottom"/>
            <w:hideMark/>
          </w:tcPr>
          <w:p w:rsidR="00BB5EF6" w:rsidRPr="005E7468" w:rsidRDefault="00BB5EF6" w:rsidP="005E7468">
            <w:pPr>
              <w:spacing w:before="0" w:after="0"/>
              <w:jc w:val="right"/>
              <w:rPr>
                <w:rFonts w:ascii="Arial" w:hAnsi="Arial" w:cs="Arial"/>
                <w:b/>
                <w:bCs/>
                <w:sz w:val="20"/>
              </w:rPr>
            </w:pPr>
            <w:r w:rsidRPr="005E7468">
              <w:rPr>
                <w:rFonts w:ascii="Arial" w:hAnsi="Arial" w:cs="Arial"/>
                <w:b/>
                <w:bCs/>
                <w:sz w:val="20"/>
              </w:rPr>
              <w:t>Total MULTI</w:t>
            </w:r>
          </w:p>
        </w:tc>
        <w:tc>
          <w:tcPr>
            <w:tcW w:w="554" w:type="pct"/>
            <w:shd w:val="clear" w:color="auto" w:fill="auto"/>
            <w:noWrap/>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1</w:t>
            </w:r>
          </w:p>
        </w:tc>
        <w:tc>
          <w:tcPr>
            <w:tcW w:w="484" w:type="pct"/>
            <w:shd w:val="clear" w:color="auto" w:fill="auto"/>
            <w:noWrap/>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3,0</w:t>
            </w:r>
          </w:p>
        </w:tc>
        <w:tc>
          <w:tcPr>
            <w:tcW w:w="482" w:type="pct"/>
            <w:shd w:val="clear" w:color="auto" w:fill="auto"/>
            <w:noWrap/>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4,0</w:t>
            </w:r>
          </w:p>
        </w:tc>
        <w:tc>
          <w:tcPr>
            <w:tcW w:w="612" w:type="pct"/>
            <w:shd w:val="clear" w:color="auto" w:fill="auto"/>
            <w:noWrap/>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4,0</w:t>
            </w:r>
          </w:p>
        </w:tc>
        <w:tc>
          <w:tcPr>
            <w:tcW w:w="352" w:type="pct"/>
            <w:shd w:val="clear" w:color="auto" w:fill="auto"/>
            <w:noWrap/>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3,0</w:t>
            </w:r>
          </w:p>
        </w:tc>
        <w:tc>
          <w:tcPr>
            <w:tcW w:w="432" w:type="pct"/>
            <w:shd w:val="clear" w:color="auto" w:fill="auto"/>
            <w:noWrap/>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3,0</w:t>
            </w:r>
          </w:p>
        </w:tc>
        <w:tc>
          <w:tcPr>
            <w:tcW w:w="396" w:type="pct"/>
            <w:shd w:val="clear" w:color="auto" w:fill="D9D9D9" w:themeFill="background1" w:themeFillShade="D9"/>
            <w:noWrap/>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3,4</w:t>
            </w:r>
          </w:p>
        </w:tc>
      </w:tr>
      <w:tr w:rsidR="00BB5EF6" w:rsidRPr="005E7468" w:rsidTr="005E7468">
        <w:trPr>
          <w:trHeight w:val="255"/>
        </w:trPr>
        <w:tc>
          <w:tcPr>
            <w:tcW w:w="1689" w:type="pct"/>
            <w:shd w:val="clear" w:color="000000" w:fill="DCE6F1"/>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SOC</w:t>
            </w:r>
          </w:p>
        </w:tc>
        <w:tc>
          <w:tcPr>
            <w:tcW w:w="554" w:type="pct"/>
            <w:shd w:val="clear" w:color="000000" w:fill="DCE6F1"/>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 </w:t>
            </w:r>
          </w:p>
        </w:tc>
        <w:tc>
          <w:tcPr>
            <w:tcW w:w="484" w:type="pct"/>
            <w:shd w:val="clear" w:color="000000" w:fill="DCE6F1"/>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 </w:t>
            </w:r>
          </w:p>
        </w:tc>
        <w:tc>
          <w:tcPr>
            <w:tcW w:w="482" w:type="pct"/>
            <w:shd w:val="clear" w:color="000000" w:fill="DCE6F1"/>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 </w:t>
            </w:r>
          </w:p>
        </w:tc>
        <w:tc>
          <w:tcPr>
            <w:tcW w:w="612" w:type="pct"/>
            <w:shd w:val="clear" w:color="000000" w:fill="DCE6F1"/>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 </w:t>
            </w:r>
          </w:p>
        </w:tc>
        <w:tc>
          <w:tcPr>
            <w:tcW w:w="352" w:type="pct"/>
            <w:shd w:val="clear" w:color="000000" w:fill="DCE6F1"/>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 </w:t>
            </w:r>
          </w:p>
        </w:tc>
        <w:tc>
          <w:tcPr>
            <w:tcW w:w="432" w:type="pct"/>
            <w:shd w:val="clear" w:color="000000" w:fill="DCE6F1"/>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 </w:t>
            </w:r>
          </w:p>
        </w:tc>
        <w:tc>
          <w:tcPr>
            <w:tcW w:w="396" w:type="pct"/>
            <w:shd w:val="clear" w:color="000000" w:fill="DCE6F1"/>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 </w:t>
            </w:r>
          </w:p>
        </w:tc>
      </w:tr>
      <w:tr w:rsidR="00BB5EF6" w:rsidRPr="005E7468" w:rsidTr="005E7468">
        <w:trPr>
          <w:trHeight w:val="255"/>
        </w:trPr>
        <w:tc>
          <w:tcPr>
            <w:tcW w:w="1689" w:type="pct"/>
            <w:shd w:val="clear" w:color="auto" w:fill="auto"/>
            <w:noWrap/>
            <w:vAlign w:val="bottom"/>
            <w:hideMark/>
          </w:tcPr>
          <w:p w:rsidR="00BB5EF6" w:rsidRPr="005E7468" w:rsidRDefault="00BB5EF6" w:rsidP="005E7468">
            <w:pPr>
              <w:spacing w:before="0" w:after="0"/>
              <w:rPr>
                <w:rFonts w:ascii="Arial" w:hAnsi="Arial" w:cs="Arial"/>
                <w:sz w:val="20"/>
              </w:rPr>
            </w:pPr>
            <w:r w:rsidRPr="005E7468">
              <w:rPr>
                <w:rFonts w:ascii="Arial" w:hAnsi="Arial" w:cs="Arial"/>
                <w:sz w:val="20"/>
              </w:rPr>
              <w:t>Culture</w:t>
            </w:r>
          </w:p>
        </w:tc>
        <w:tc>
          <w:tcPr>
            <w:tcW w:w="554"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1</w:t>
            </w:r>
          </w:p>
        </w:tc>
        <w:tc>
          <w:tcPr>
            <w:tcW w:w="484"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4,0</w:t>
            </w:r>
          </w:p>
        </w:tc>
        <w:tc>
          <w:tcPr>
            <w:tcW w:w="48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4,0</w:t>
            </w:r>
          </w:p>
        </w:tc>
        <w:tc>
          <w:tcPr>
            <w:tcW w:w="61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3,0</w:t>
            </w:r>
          </w:p>
        </w:tc>
        <w:tc>
          <w:tcPr>
            <w:tcW w:w="35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3,0</w:t>
            </w:r>
          </w:p>
        </w:tc>
        <w:tc>
          <w:tcPr>
            <w:tcW w:w="43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3,0</w:t>
            </w:r>
          </w:p>
        </w:tc>
        <w:tc>
          <w:tcPr>
            <w:tcW w:w="396" w:type="pct"/>
            <w:shd w:val="clear" w:color="auto" w:fill="D9D9D9" w:themeFill="background1" w:themeFillShade="D9"/>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3,4</w:t>
            </w:r>
          </w:p>
        </w:tc>
      </w:tr>
      <w:tr w:rsidR="00BB5EF6" w:rsidRPr="005E7468" w:rsidTr="005E7468">
        <w:trPr>
          <w:trHeight w:val="255"/>
        </w:trPr>
        <w:tc>
          <w:tcPr>
            <w:tcW w:w="1689" w:type="pct"/>
            <w:shd w:val="clear" w:color="auto" w:fill="auto"/>
            <w:noWrap/>
            <w:vAlign w:val="bottom"/>
            <w:hideMark/>
          </w:tcPr>
          <w:p w:rsidR="00BB5EF6" w:rsidRPr="005E7468" w:rsidRDefault="00BB5EF6" w:rsidP="005E7468">
            <w:pPr>
              <w:spacing w:before="0" w:after="0"/>
              <w:rPr>
                <w:rFonts w:ascii="Arial" w:hAnsi="Arial" w:cs="Arial"/>
                <w:sz w:val="20"/>
              </w:rPr>
            </w:pPr>
            <w:r w:rsidRPr="005E7468">
              <w:rPr>
                <w:rFonts w:ascii="Arial" w:hAnsi="Arial" w:cs="Arial"/>
                <w:sz w:val="20"/>
              </w:rPr>
              <w:t>Education</w:t>
            </w:r>
          </w:p>
        </w:tc>
        <w:tc>
          <w:tcPr>
            <w:tcW w:w="554"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4</w:t>
            </w:r>
          </w:p>
        </w:tc>
        <w:tc>
          <w:tcPr>
            <w:tcW w:w="484"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3,0</w:t>
            </w:r>
          </w:p>
        </w:tc>
        <w:tc>
          <w:tcPr>
            <w:tcW w:w="48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3,0</w:t>
            </w:r>
          </w:p>
        </w:tc>
        <w:tc>
          <w:tcPr>
            <w:tcW w:w="61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2,5</w:t>
            </w:r>
          </w:p>
        </w:tc>
        <w:tc>
          <w:tcPr>
            <w:tcW w:w="35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2,8</w:t>
            </w:r>
          </w:p>
        </w:tc>
        <w:tc>
          <w:tcPr>
            <w:tcW w:w="43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2,8</w:t>
            </w:r>
          </w:p>
        </w:tc>
        <w:tc>
          <w:tcPr>
            <w:tcW w:w="396" w:type="pct"/>
            <w:shd w:val="clear" w:color="auto" w:fill="D9D9D9" w:themeFill="background1" w:themeFillShade="D9"/>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2,8</w:t>
            </w:r>
          </w:p>
        </w:tc>
      </w:tr>
      <w:tr w:rsidR="00BB5EF6" w:rsidRPr="005E7468" w:rsidTr="005E7468">
        <w:trPr>
          <w:trHeight w:val="255"/>
        </w:trPr>
        <w:tc>
          <w:tcPr>
            <w:tcW w:w="1689" w:type="pct"/>
            <w:shd w:val="clear" w:color="auto" w:fill="auto"/>
            <w:noWrap/>
            <w:vAlign w:val="bottom"/>
            <w:hideMark/>
          </w:tcPr>
          <w:p w:rsidR="00BB5EF6" w:rsidRPr="005E7468" w:rsidRDefault="00BB5EF6" w:rsidP="005E7468">
            <w:pPr>
              <w:spacing w:before="0" w:after="0"/>
              <w:rPr>
                <w:rFonts w:ascii="Arial" w:hAnsi="Arial" w:cs="Arial"/>
                <w:sz w:val="20"/>
              </w:rPr>
            </w:pPr>
            <w:r w:rsidRPr="005E7468">
              <w:rPr>
                <w:rFonts w:ascii="Arial" w:hAnsi="Arial" w:cs="Arial"/>
                <w:sz w:val="20"/>
              </w:rPr>
              <w:t xml:space="preserve">Employment </w:t>
            </w:r>
          </w:p>
        </w:tc>
        <w:tc>
          <w:tcPr>
            <w:tcW w:w="554"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2</w:t>
            </w:r>
          </w:p>
        </w:tc>
        <w:tc>
          <w:tcPr>
            <w:tcW w:w="484"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3,0</w:t>
            </w:r>
          </w:p>
        </w:tc>
        <w:tc>
          <w:tcPr>
            <w:tcW w:w="48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3,0</w:t>
            </w:r>
          </w:p>
        </w:tc>
        <w:tc>
          <w:tcPr>
            <w:tcW w:w="61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2,5</w:t>
            </w:r>
          </w:p>
        </w:tc>
        <w:tc>
          <w:tcPr>
            <w:tcW w:w="35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3,5</w:t>
            </w:r>
          </w:p>
        </w:tc>
        <w:tc>
          <w:tcPr>
            <w:tcW w:w="43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2,0</w:t>
            </w:r>
          </w:p>
        </w:tc>
        <w:tc>
          <w:tcPr>
            <w:tcW w:w="396" w:type="pct"/>
            <w:shd w:val="clear" w:color="auto" w:fill="D9D9D9" w:themeFill="background1" w:themeFillShade="D9"/>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2,8</w:t>
            </w:r>
          </w:p>
        </w:tc>
      </w:tr>
      <w:tr w:rsidR="00BB5EF6" w:rsidRPr="005E7468" w:rsidTr="005E7468">
        <w:trPr>
          <w:trHeight w:val="255"/>
        </w:trPr>
        <w:tc>
          <w:tcPr>
            <w:tcW w:w="1689" w:type="pct"/>
            <w:shd w:val="clear" w:color="auto" w:fill="auto"/>
            <w:noWrap/>
            <w:vAlign w:val="bottom"/>
            <w:hideMark/>
          </w:tcPr>
          <w:p w:rsidR="00BB5EF6" w:rsidRPr="005E7468" w:rsidRDefault="00BB5EF6" w:rsidP="005E7468">
            <w:pPr>
              <w:spacing w:before="0" w:after="0"/>
              <w:rPr>
                <w:rFonts w:ascii="Arial" w:hAnsi="Arial" w:cs="Arial"/>
                <w:sz w:val="20"/>
              </w:rPr>
            </w:pPr>
            <w:r w:rsidRPr="005E7468">
              <w:rPr>
                <w:rFonts w:ascii="Arial" w:hAnsi="Arial" w:cs="Arial"/>
                <w:sz w:val="20"/>
              </w:rPr>
              <w:t>Gender</w:t>
            </w:r>
          </w:p>
        </w:tc>
        <w:tc>
          <w:tcPr>
            <w:tcW w:w="554"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1</w:t>
            </w:r>
          </w:p>
        </w:tc>
        <w:tc>
          <w:tcPr>
            <w:tcW w:w="484"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3,0</w:t>
            </w:r>
          </w:p>
        </w:tc>
        <w:tc>
          <w:tcPr>
            <w:tcW w:w="48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3,0</w:t>
            </w:r>
          </w:p>
        </w:tc>
        <w:tc>
          <w:tcPr>
            <w:tcW w:w="61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3,0</w:t>
            </w:r>
          </w:p>
        </w:tc>
        <w:tc>
          <w:tcPr>
            <w:tcW w:w="35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2,0</w:t>
            </w:r>
          </w:p>
        </w:tc>
        <w:tc>
          <w:tcPr>
            <w:tcW w:w="43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2,0</w:t>
            </w:r>
          </w:p>
        </w:tc>
        <w:tc>
          <w:tcPr>
            <w:tcW w:w="396" w:type="pct"/>
            <w:shd w:val="clear" w:color="auto" w:fill="D9D9D9" w:themeFill="background1" w:themeFillShade="D9"/>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2,6</w:t>
            </w:r>
          </w:p>
        </w:tc>
      </w:tr>
      <w:tr w:rsidR="00BB5EF6" w:rsidRPr="005E7468" w:rsidTr="005E7468">
        <w:trPr>
          <w:trHeight w:val="255"/>
        </w:trPr>
        <w:tc>
          <w:tcPr>
            <w:tcW w:w="1689" w:type="pct"/>
            <w:shd w:val="clear" w:color="auto" w:fill="auto"/>
            <w:noWrap/>
            <w:vAlign w:val="bottom"/>
            <w:hideMark/>
          </w:tcPr>
          <w:p w:rsidR="00BB5EF6" w:rsidRPr="005E7468" w:rsidRDefault="00BB5EF6" w:rsidP="005E7468">
            <w:pPr>
              <w:spacing w:before="0" w:after="0"/>
              <w:rPr>
                <w:rFonts w:ascii="Arial" w:hAnsi="Arial" w:cs="Arial"/>
                <w:sz w:val="20"/>
              </w:rPr>
            </w:pPr>
            <w:r w:rsidRPr="005E7468">
              <w:rPr>
                <w:rFonts w:ascii="Arial" w:hAnsi="Arial" w:cs="Arial"/>
                <w:sz w:val="20"/>
              </w:rPr>
              <w:t>Health</w:t>
            </w:r>
          </w:p>
        </w:tc>
        <w:tc>
          <w:tcPr>
            <w:tcW w:w="554"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2</w:t>
            </w:r>
          </w:p>
        </w:tc>
        <w:tc>
          <w:tcPr>
            <w:tcW w:w="484"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3,0</w:t>
            </w:r>
          </w:p>
        </w:tc>
        <w:tc>
          <w:tcPr>
            <w:tcW w:w="48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3,0</w:t>
            </w:r>
          </w:p>
        </w:tc>
        <w:tc>
          <w:tcPr>
            <w:tcW w:w="61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3,0</w:t>
            </w:r>
          </w:p>
        </w:tc>
        <w:tc>
          <w:tcPr>
            <w:tcW w:w="35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3,0</w:t>
            </w:r>
          </w:p>
        </w:tc>
        <w:tc>
          <w:tcPr>
            <w:tcW w:w="43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2,5</w:t>
            </w:r>
          </w:p>
        </w:tc>
        <w:tc>
          <w:tcPr>
            <w:tcW w:w="396" w:type="pct"/>
            <w:shd w:val="clear" w:color="auto" w:fill="D9D9D9" w:themeFill="background1" w:themeFillShade="D9"/>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2,9</w:t>
            </w:r>
          </w:p>
        </w:tc>
      </w:tr>
      <w:tr w:rsidR="00BB5EF6" w:rsidRPr="005E7468" w:rsidTr="005E7468">
        <w:trPr>
          <w:trHeight w:val="255"/>
        </w:trPr>
        <w:tc>
          <w:tcPr>
            <w:tcW w:w="1689" w:type="pct"/>
            <w:shd w:val="clear" w:color="auto" w:fill="auto"/>
            <w:noWrap/>
            <w:vAlign w:val="bottom"/>
            <w:hideMark/>
          </w:tcPr>
          <w:p w:rsidR="00BB5EF6" w:rsidRPr="005E7468" w:rsidRDefault="00BB5EF6" w:rsidP="005E7468">
            <w:pPr>
              <w:spacing w:before="0" w:after="0"/>
              <w:rPr>
                <w:rFonts w:ascii="Arial" w:hAnsi="Arial" w:cs="Arial"/>
                <w:sz w:val="20"/>
              </w:rPr>
            </w:pPr>
            <w:r w:rsidRPr="005E7468">
              <w:rPr>
                <w:rFonts w:ascii="Arial" w:hAnsi="Arial" w:cs="Arial"/>
                <w:sz w:val="20"/>
              </w:rPr>
              <w:t>Welfare services</w:t>
            </w:r>
          </w:p>
        </w:tc>
        <w:tc>
          <w:tcPr>
            <w:tcW w:w="554"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5</w:t>
            </w:r>
          </w:p>
        </w:tc>
        <w:tc>
          <w:tcPr>
            <w:tcW w:w="484"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3,2</w:t>
            </w:r>
          </w:p>
        </w:tc>
        <w:tc>
          <w:tcPr>
            <w:tcW w:w="48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3,0</w:t>
            </w:r>
          </w:p>
        </w:tc>
        <w:tc>
          <w:tcPr>
            <w:tcW w:w="61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3,0</w:t>
            </w:r>
          </w:p>
        </w:tc>
        <w:tc>
          <w:tcPr>
            <w:tcW w:w="35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3,4</w:t>
            </w:r>
          </w:p>
        </w:tc>
        <w:tc>
          <w:tcPr>
            <w:tcW w:w="43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3,2</w:t>
            </w:r>
          </w:p>
        </w:tc>
        <w:tc>
          <w:tcPr>
            <w:tcW w:w="396" w:type="pct"/>
            <w:shd w:val="clear" w:color="auto" w:fill="D9D9D9" w:themeFill="background1" w:themeFillShade="D9"/>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3,2</w:t>
            </w:r>
          </w:p>
        </w:tc>
      </w:tr>
      <w:tr w:rsidR="00BB5EF6" w:rsidRPr="005E7468" w:rsidTr="005E7468">
        <w:trPr>
          <w:trHeight w:val="255"/>
        </w:trPr>
        <w:tc>
          <w:tcPr>
            <w:tcW w:w="1689" w:type="pct"/>
            <w:shd w:val="clear" w:color="auto" w:fill="auto"/>
            <w:noWrap/>
            <w:vAlign w:val="bottom"/>
            <w:hideMark/>
          </w:tcPr>
          <w:p w:rsidR="00BB5EF6" w:rsidRPr="005E7468" w:rsidRDefault="00BB5EF6" w:rsidP="005E7468">
            <w:pPr>
              <w:spacing w:before="0" w:after="0"/>
              <w:rPr>
                <w:rFonts w:ascii="Arial" w:hAnsi="Arial" w:cs="Arial"/>
                <w:sz w:val="20"/>
              </w:rPr>
            </w:pPr>
            <w:r w:rsidRPr="005E7468">
              <w:rPr>
                <w:rFonts w:ascii="Arial" w:hAnsi="Arial" w:cs="Arial"/>
                <w:sz w:val="20"/>
              </w:rPr>
              <w:t>Youth</w:t>
            </w:r>
          </w:p>
        </w:tc>
        <w:tc>
          <w:tcPr>
            <w:tcW w:w="554"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2</w:t>
            </w:r>
          </w:p>
        </w:tc>
        <w:tc>
          <w:tcPr>
            <w:tcW w:w="484"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3,0</w:t>
            </w:r>
          </w:p>
        </w:tc>
        <w:tc>
          <w:tcPr>
            <w:tcW w:w="48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2,5</w:t>
            </w:r>
          </w:p>
        </w:tc>
        <w:tc>
          <w:tcPr>
            <w:tcW w:w="61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2,5</w:t>
            </w:r>
          </w:p>
        </w:tc>
        <w:tc>
          <w:tcPr>
            <w:tcW w:w="35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2,5</w:t>
            </w:r>
          </w:p>
        </w:tc>
        <w:tc>
          <w:tcPr>
            <w:tcW w:w="432" w:type="pct"/>
            <w:shd w:val="clear" w:color="auto" w:fill="auto"/>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2,5</w:t>
            </w:r>
          </w:p>
        </w:tc>
        <w:tc>
          <w:tcPr>
            <w:tcW w:w="396" w:type="pct"/>
            <w:shd w:val="clear" w:color="auto" w:fill="D9D9D9" w:themeFill="background1" w:themeFillShade="D9"/>
            <w:noWrap/>
            <w:vAlign w:val="center"/>
            <w:hideMark/>
          </w:tcPr>
          <w:p w:rsidR="00BB5EF6" w:rsidRPr="005E7468" w:rsidRDefault="00BB5EF6" w:rsidP="005E7468">
            <w:pPr>
              <w:spacing w:before="0" w:after="0"/>
              <w:jc w:val="center"/>
              <w:rPr>
                <w:rFonts w:ascii="Arial" w:hAnsi="Arial" w:cs="Arial"/>
                <w:sz w:val="20"/>
              </w:rPr>
            </w:pPr>
            <w:r w:rsidRPr="005E7468">
              <w:rPr>
                <w:rFonts w:ascii="Arial" w:hAnsi="Arial" w:cs="Arial"/>
                <w:sz w:val="20"/>
              </w:rPr>
              <w:t>2,6</w:t>
            </w:r>
          </w:p>
        </w:tc>
      </w:tr>
      <w:tr w:rsidR="00BB5EF6" w:rsidRPr="005E7468" w:rsidTr="005E7468">
        <w:trPr>
          <w:trHeight w:val="255"/>
        </w:trPr>
        <w:tc>
          <w:tcPr>
            <w:tcW w:w="1689" w:type="pct"/>
            <w:shd w:val="clear" w:color="auto" w:fill="auto"/>
            <w:noWrap/>
            <w:vAlign w:val="bottom"/>
            <w:hideMark/>
          </w:tcPr>
          <w:p w:rsidR="00BB5EF6" w:rsidRPr="005E7468" w:rsidRDefault="00BB5EF6" w:rsidP="005E7468">
            <w:pPr>
              <w:spacing w:before="0" w:after="0"/>
              <w:jc w:val="right"/>
              <w:rPr>
                <w:rFonts w:ascii="Arial" w:hAnsi="Arial" w:cs="Arial"/>
                <w:b/>
                <w:bCs/>
                <w:sz w:val="20"/>
              </w:rPr>
            </w:pPr>
            <w:r w:rsidRPr="005E7468">
              <w:rPr>
                <w:rFonts w:ascii="Arial" w:hAnsi="Arial" w:cs="Arial"/>
                <w:b/>
                <w:bCs/>
                <w:sz w:val="20"/>
              </w:rPr>
              <w:t>Total SOC</w:t>
            </w:r>
          </w:p>
        </w:tc>
        <w:tc>
          <w:tcPr>
            <w:tcW w:w="554" w:type="pct"/>
            <w:shd w:val="clear" w:color="auto" w:fill="auto"/>
            <w:noWrap/>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17</w:t>
            </w:r>
          </w:p>
        </w:tc>
        <w:tc>
          <w:tcPr>
            <w:tcW w:w="484" w:type="pct"/>
            <w:shd w:val="clear" w:color="auto" w:fill="auto"/>
            <w:noWrap/>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3,2</w:t>
            </w:r>
          </w:p>
        </w:tc>
        <w:tc>
          <w:tcPr>
            <w:tcW w:w="482" w:type="pct"/>
            <w:shd w:val="clear" w:color="auto" w:fill="auto"/>
            <w:noWrap/>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3,1</w:t>
            </w:r>
          </w:p>
        </w:tc>
        <w:tc>
          <w:tcPr>
            <w:tcW w:w="612" w:type="pct"/>
            <w:shd w:val="clear" w:color="auto" w:fill="auto"/>
            <w:noWrap/>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2,8</w:t>
            </w:r>
          </w:p>
        </w:tc>
        <w:tc>
          <w:tcPr>
            <w:tcW w:w="352" w:type="pct"/>
            <w:shd w:val="clear" w:color="auto" w:fill="auto"/>
            <w:noWrap/>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2,9</w:t>
            </w:r>
          </w:p>
        </w:tc>
        <w:tc>
          <w:tcPr>
            <w:tcW w:w="432" w:type="pct"/>
            <w:shd w:val="clear" w:color="auto" w:fill="auto"/>
            <w:noWrap/>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2,6</w:t>
            </w:r>
          </w:p>
        </w:tc>
        <w:tc>
          <w:tcPr>
            <w:tcW w:w="396" w:type="pct"/>
            <w:shd w:val="clear" w:color="auto" w:fill="D9D9D9" w:themeFill="background1" w:themeFillShade="D9"/>
            <w:noWrap/>
            <w:vAlign w:val="center"/>
            <w:hideMark/>
          </w:tcPr>
          <w:p w:rsidR="00BB5EF6" w:rsidRPr="005E7468" w:rsidRDefault="00BB5EF6" w:rsidP="005E7468">
            <w:pPr>
              <w:spacing w:before="0" w:after="0"/>
              <w:jc w:val="center"/>
              <w:rPr>
                <w:rFonts w:ascii="Arial" w:hAnsi="Arial" w:cs="Arial"/>
                <w:b/>
                <w:bCs/>
                <w:sz w:val="20"/>
              </w:rPr>
            </w:pPr>
            <w:r w:rsidRPr="005E7468">
              <w:rPr>
                <w:rFonts w:ascii="Arial" w:hAnsi="Arial" w:cs="Arial"/>
                <w:b/>
                <w:bCs/>
                <w:sz w:val="20"/>
              </w:rPr>
              <w:t>2,9</w:t>
            </w:r>
          </w:p>
        </w:tc>
      </w:tr>
      <w:tr w:rsidR="00BB5EF6" w:rsidRPr="005E7468" w:rsidTr="005E7468">
        <w:trPr>
          <w:trHeight w:val="255"/>
        </w:trPr>
        <w:tc>
          <w:tcPr>
            <w:tcW w:w="1689" w:type="pct"/>
            <w:shd w:val="clear" w:color="auto" w:fill="808080" w:themeFill="background1" w:themeFillShade="80"/>
            <w:noWrap/>
            <w:vAlign w:val="center"/>
            <w:hideMark/>
          </w:tcPr>
          <w:p w:rsidR="00BB5EF6" w:rsidRPr="005E7468" w:rsidRDefault="00BB5EF6" w:rsidP="005E7468">
            <w:pPr>
              <w:spacing w:before="0" w:after="0"/>
              <w:jc w:val="center"/>
              <w:rPr>
                <w:rFonts w:ascii="Arial" w:hAnsi="Arial" w:cs="Arial"/>
                <w:b/>
                <w:bCs/>
                <w:color w:val="FFFFFF" w:themeColor="background1"/>
                <w:sz w:val="20"/>
              </w:rPr>
            </w:pPr>
            <w:r w:rsidRPr="005E7468">
              <w:rPr>
                <w:rFonts w:ascii="Arial" w:hAnsi="Arial" w:cs="Arial"/>
                <w:b/>
                <w:bCs/>
                <w:color w:val="FFFFFF" w:themeColor="background1"/>
                <w:sz w:val="20"/>
              </w:rPr>
              <w:t>Total</w:t>
            </w:r>
          </w:p>
        </w:tc>
        <w:tc>
          <w:tcPr>
            <w:tcW w:w="554" w:type="pct"/>
            <w:shd w:val="clear" w:color="auto" w:fill="808080" w:themeFill="background1" w:themeFillShade="80"/>
            <w:noWrap/>
            <w:vAlign w:val="center"/>
            <w:hideMark/>
          </w:tcPr>
          <w:p w:rsidR="00BB5EF6" w:rsidRPr="005E7468" w:rsidRDefault="00BB5EF6" w:rsidP="005E7468">
            <w:pPr>
              <w:spacing w:before="0" w:after="0"/>
              <w:jc w:val="center"/>
              <w:rPr>
                <w:rFonts w:ascii="Arial" w:hAnsi="Arial" w:cs="Arial"/>
                <w:b/>
                <w:bCs/>
                <w:color w:val="FFFFFF" w:themeColor="background1"/>
                <w:sz w:val="20"/>
              </w:rPr>
            </w:pPr>
            <w:r w:rsidRPr="005E7468">
              <w:rPr>
                <w:rFonts w:ascii="Arial" w:hAnsi="Arial" w:cs="Arial"/>
                <w:b/>
                <w:bCs/>
                <w:color w:val="FFFFFF" w:themeColor="background1"/>
                <w:sz w:val="20"/>
              </w:rPr>
              <w:t>36</w:t>
            </w:r>
          </w:p>
        </w:tc>
        <w:tc>
          <w:tcPr>
            <w:tcW w:w="484" w:type="pct"/>
            <w:shd w:val="clear" w:color="auto" w:fill="808080" w:themeFill="background1" w:themeFillShade="80"/>
            <w:noWrap/>
            <w:vAlign w:val="center"/>
            <w:hideMark/>
          </w:tcPr>
          <w:p w:rsidR="00BB5EF6" w:rsidRPr="005E7468" w:rsidRDefault="00BB5EF6" w:rsidP="005E7468">
            <w:pPr>
              <w:spacing w:before="0" w:after="0"/>
              <w:jc w:val="center"/>
              <w:rPr>
                <w:rFonts w:ascii="Arial" w:hAnsi="Arial" w:cs="Arial"/>
                <w:b/>
                <w:bCs/>
                <w:color w:val="FFFFFF" w:themeColor="background1"/>
                <w:sz w:val="20"/>
              </w:rPr>
            </w:pPr>
            <w:r w:rsidRPr="005E7468">
              <w:rPr>
                <w:rFonts w:ascii="Arial" w:hAnsi="Arial" w:cs="Arial"/>
                <w:b/>
                <w:bCs/>
                <w:color w:val="FFFFFF" w:themeColor="background1"/>
                <w:sz w:val="20"/>
              </w:rPr>
              <w:t>3,0</w:t>
            </w:r>
          </w:p>
        </w:tc>
        <w:tc>
          <w:tcPr>
            <w:tcW w:w="482" w:type="pct"/>
            <w:shd w:val="clear" w:color="auto" w:fill="808080" w:themeFill="background1" w:themeFillShade="80"/>
            <w:noWrap/>
            <w:vAlign w:val="center"/>
            <w:hideMark/>
          </w:tcPr>
          <w:p w:rsidR="00BB5EF6" w:rsidRPr="005E7468" w:rsidRDefault="00BB5EF6" w:rsidP="005E7468">
            <w:pPr>
              <w:spacing w:before="0" w:after="0"/>
              <w:jc w:val="center"/>
              <w:rPr>
                <w:rFonts w:ascii="Arial" w:hAnsi="Arial" w:cs="Arial"/>
                <w:b/>
                <w:bCs/>
                <w:color w:val="FFFFFF" w:themeColor="background1"/>
                <w:sz w:val="20"/>
              </w:rPr>
            </w:pPr>
            <w:r w:rsidRPr="005E7468">
              <w:rPr>
                <w:rFonts w:ascii="Arial" w:hAnsi="Arial" w:cs="Arial"/>
                <w:b/>
                <w:bCs/>
                <w:color w:val="FFFFFF" w:themeColor="background1"/>
                <w:sz w:val="20"/>
              </w:rPr>
              <w:t>2,9</w:t>
            </w:r>
          </w:p>
        </w:tc>
        <w:tc>
          <w:tcPr>
            <w:tcW w:w="612" w:type="pct"/>
            <w:shd w:val="clear" w:color="auto" w:fill="808080" w:themeFill="background1" w:themeFillShade="80"/>
            <w:noWrap/>
            <w:vAlign w:val="center"/>
            <w:hideMark/>
          </w:tcPr>
          <w:p w:rsidR="00BB5EF6" w:rsidRPr="005E7468" w:rsidRDefault="00BB5EF6" w:rsidP="005E7468">
            <w:pPr>
              <w:spacing w:before="0" w:after="0"/>
              <w:jc w:val="center"/>
              <w:rPr>
                <w:rFonts w:ascii="Arial" w:hAnsi="Arial" w:cs="Arial"/>
                <w:b/>
                <w:bCs/>
                <w:color w:val="FFFFFF" w:themeColor="background1"/>
                <w:sz w:val="20"/>
              </w:rPr>
            </w:pPr>
            <w:r w:rsidRPr="005E7468">
              <w:rPr>
                <w:rFonts w:ascii="Arial" w:hAnsi="Arial" w:cs="Arial"/>
                <w:b/>
                <w:bCs/>
                <w:color w:val="FFFFFF" w:themeColor="background1"/>
                <w:sz w:val="20"/>
              </w:rPr>
              <w:t>2,8</w:t>
            </w:r>
          </w:p>
        </w:tc>
        <w:tc>
          <w:tcPr>
            <w:tcW w:w="352" w:type="pct"/>
            <w:shd w:val="clear" w:color="auto" w:fill="808080" w:themeFill="background1" w:themeFillShade="80"/>
            <w:noWrap/>
            <w:vAlign w:val="center"/>
            <w:hideMark/>
          </w:tcPr>
          <w:p w:rsidR="00BB5EF6" w:rsidRPr="005E7468" w:rsidRDefault="00BB5EF6" w:rsidP="005E7468">
            <w:pPr>
              <w:spacing w:before="0" w:after="0"/>
              <w:jc w:val="center"/>
              <w:rPr>
                <w:rFonts w:ascii="Arial" w:hAnsi="Arial" w:cs="Arial"/>
                <w:b/>
                <w:bCs/>
                <w:color w:val="FFFFFF" w:themeColor="background1"/>
                <w:sz w:val="20"/>
              </w:rPr>
            </w:pPr>
            <w:r w:rsidRPr="005E7468">
              <w:rPr>
                <w:rFonts w:ascii="Arial" w:hAnsi="Arial" w:cs="Arial"/>
                <w:b/>
                <w:bCs/>
                <w:color w:val="FFFFFF" w:themeColor="background1"/>
                <w:sz w:val="20"/>
              </w:rPr>
              <w:t>2,9</w:t>
            </w:r>
          </w:p>
        </w:tc>
        <w:tc>
          <w:tcPr>
            <w:tcW w:w="432" w:type="pct"/>
            <w:shd w:val="clear" w:color="auto" w:fill="808080" w:themeFill="background1" w:themeFillShade="80"/>
            <w:noWrap/>
            <w:vAlign w:val="center"/>
            <w:hideMark/>
          </w:tcPr>
          <w:p w:rsidR="00BB5EF6" w:rsidRPr="005E7468" w:rsidRDefault="00BB5EF6" w:rsidP="005E7468">
            <w:pPr>
              <w:spacing w:before="0" w:after="0"/>
              <w:jc w:val="center"/>
              <w:rPr>
                <w:rFonts w:ascii="Arial" w:hAnsi="Arial" w:cs="Arial"/>
                <w:b/>
                <w:bCs/>
                <w:color w:val="FFFFFF" w:themeColor="background1"/>
                <w:sz w:val="20"/>
              </w:rPr>
            </w:pPr>
            <w:r w:rsidRPr="005E7468">
              <w:rPr>
                <w:rFonts w:ascii="Arial" w:hAnsi="Arial" w:cs="Arial"/>
                <w:b/>
                <w:bCs/>
                <w:color w:val="FFFFFF" w:themeColor="background1"/>
                <w:sz w:val="20"/>
              </w:rPr>
              <w:t>2,7</w:t>
            </w:r>
          </w:p>
        </w:tc>
        <w:tc>
          <w:tcPr>
            <w:tcW w:w="396" w:type="pct"/>
            <w:shd w:val="clear" w:color="auto" w:fill="4F81BD" w:themeFill="accent1"/>
            <w:noWrap/>
            <w:vAlign w:val="center"/>
            <w:hideMark/>
          </w:tcPr>
          <w:p w:rsidR="00BB5EF6" w:rsidRPr="005E7468" w:rsidRDefault="00BB5EF6" w:rsidP="005E7468">
            <w:pPr>
              <w:spacing w:before="0" w:after="0"/>
              <w:jc w:val="center"/>
              <w:rPr>
                <w:rFonts w:ascii="Arial" w:hAnsi="Arial" w:cs="Arial"/>
                <w:b/>
                <w:bCs/>
                <w:color w:val="FFFFFF" w:themeColor="background1"/>
                <w:sz w:val="20"/>
              </w:rPr>
            </w:pPr>
            <w:r w:rsidRPr="005E7468">
              <w:rPr>
                <w:rFonts w:ascii="Arial" w:hAnsi="Arial" w:cs="Arial"/>
                <w:b/>
                <w:bCs/>
                <w:color w:val="FFFFFF" w:themeColor="background1"/>
                <w:sz w:val="20"/>
              </w:rPr>
              <w:t>2,8</w:t>
            </w:r>
          </w:p>
        </w:tc>
      </w:tr>
    </w:tbl>
    <w:p w:rsidR="00BB5EF6" w:rsidRPr="00BB5EF6" w:rsidRDefault="00BB5EF6" w:rsidP="00BB5EF6">
      <w:pPr>
        <w:spacing w:before="0" w:after="0"/>
        <w:rPr>
          <w:rFonts w:ascii="Times New Roman" w:hAnsi="Times New Roman"/>
          <w:sz w:val="20"/>
        </w:rPr>
      </w:pPr>
    </w:p>
    <w:p w:rsidR="00BB5EF6" w:rsidRPr="005E7468" w:rsidRDefault="00BB5EF6" w:rsidP="00BB5EF6">
      <w:pPr>
        <w:spacing w:before="0" w:after="0"/>
        <w:rPr>
          <w:rFonts w:ascii="Arial" w:hAnsi="Arial" w:cs="Arial"/>
          <w:sz w:val="22"/>
          <w:szCs w:val="22"/>
        </w:rPr>
      </w:pPr>
      <w:r w:rsidRPr="005E7468">
        <w:rPr>
          <w:rFonts w:ascii="Arial" w:hAnsi="Arial" w:cs="Arial"/>
          <w:sz w:val="22"/>
          <w:szCs w:val="22"/>
        </w:rPr>
        <w:t>Table 3 provides a comparative analysis of project performance for the five criteria for the three main cooperation tracks. It</w:t>
      </w:r>
      <w:r w:rsidRPr="005E7468">
        <w:rPr>
          <w:rFonts w:ascii="Arial" w:hAnsi="Arial" w:cs="Arial"/>
          <w:sz w:val="22"/>
          <w:szCs w:val="22"/>
          <w:lang w:val="en-GB"/>
        </w:rPr>
        <w:t xml:space="preserve"> shows that track 2 has the worst scores, with an overall average score of 2,8, while tracks 1 and 3 each have a better average score of 3,2, due particularly to the high scores for Impact and Efficiency. However, it must also be noted that the majority of projects fall within track 2 and therefore the overall score is more modest</w:t>
      </w:r>
      <w:r w:rsidR="000349CD" w:rsidRPr="005E7468">
        <w:rPr>
          <w:rFonts w:ascii="Arial" w:hAnsi="Arial" w:cs="Arial"/>
          <w:sz w:val="22"/>
          <w:szCs w:val="22"/>
          <w:lang w:val="en-GB"/>
        </w:rPr>
        <w:t xml:space="preserve">. </w:t>
      </w:r>
      <w:r w:rsidRPr="005E7468">
        <w:rPr>
          <w:rFonts w:ascii="Arial" w:hAnsi="Arial" w:cs="Arial"/>
          <w:sz w:val="22"/>
          <w:szCs w:val="22"/>
        </w:rPr>
        <w:t xml:space="preserve">These data </w:t>
      </w:r>
      <w:r w:rsidR="000349CD" w:rsidRPr="005E7468">
        <w:rPr>
          <w:rFonts w:ascii="Arial" w:hAnsi="Arial" w:cs="Arial"/>
          <w:sz w:val="22"/>
          <w:szCs w:val="22"/>
        </w:rPr>
        <w:t xml:space="preserve">have </w:t>
      </w:r>
      <w:r w:rsidRPr="005E7468">
        <w:rPr>
          <w:rFonts w:ascii="Arial" w:hAnsi="Arial" w:cs="Arial"/>
          <w:sz w:val="22"/>
          <w:szCs w:val="22"/>
        </w:rPr>
        <w:t>be</w:t>
      </w:r>
      <w:r w:rsidR="000349CD" w:rsidRPr="005E7468">
        <w:rPr>
          <w:rFonts w:ascii="Arial" w:hAnsi="Arial" w:cs="Arial"/>
          <w:sz w:val="22"/>
          <w:szCs w:val="22"/>
        </w:rPr>
        <w:t>en</w:t>
      </w:r>
      <w:r w:rsidRPr="005E7468">
        <w:rPr>
          <w:rFonts w:ascii="Arial" w:hAnsi="Arial" w:cs="Arial"/>
          <w:sz w:val="22"/>
          <w:szCs w:val="22"/>
        </w:rPr>
        <w:t xml:space="preserve"> used by the evaluation </w:t>
      </w:r>
      <w:r w:rsidR="000349CD" w:rsidRPr="005E7468">
        <w:rPr>
          <w:rFonts w:ascii="Arial" w:hAnsi="Arial" w:cs="Arial"/>
          <w:sz w:val="22"/>
          <w:szCs w:val="22"/>
        </w:rPr>
        <w:t xml:space="preserve">team </w:t>
      </w:r>
      <w:r w:rsidRPr="005E7468">
        <w:rPr>
          <w:rFonts w:ascii="Arial" w:hAnsi="Arial" w:cs="Arial"/>
          <w:sz w:val="22"/>
          <w:szCs w:val="22"/>
        </w:rPr>
        <w:t>to support findings.</w:t>
      </w:r>
    </w:p>
    <w:p w:rsidR="00BB5EF6" w:rsidRPr="005E7468" w:rsidRDefault="00BB5EF6" w:rsidP="00BB5EF6">
      <w:pPr>
        <w:autoSpaceDE w:val="0"/>
        <w:autoSpaceDN w:val="0"/>
        <w:adjustRightInd w:val="0"/>
        <w:spacing w:before="0" w:after="0"/>
        <w:rPr>
          <w:rFonts w:ascii="Arial" w:hAnsi="Arial" w:cs="Arial"/>
          <w:b/>
          <w:bCs/>
          <w:sz w:val="22"/>
          <w:szCs w:val="22"/>
          <w:lang w:val="en-GB"/>
        </w:rPr>
      </w:pPr>
    </w:p>
    <w:p w:rsidR="00BB5EF6" w:rsidRDefault="00BB5EF6" w:rsidP="00BB5EF6">
      <w:pPr>
        <w:autoSpaceDE w:val="0"/>
        <w:autoSpaceDN w:val="0"/>
        <w:adjustRightInd w:val="0"/>
        <w:spacing w:before="0" w:after="0"/>
        <w:rPr>
          <w:rFonts w:ascii="Times New Roman" w:hAnsi="Times New Roman"/>
          <w:b/>
          <w:bCs/>
          <w:sz w:val="20"/>
          <w:lang w:val="en-GB"/>
        </w:rPr>
      </w:pPr>
    </w:p>
    <w:p w:rsidR="005E7468" w:rsidRDefault="005E7468" w:rsidP="00BB5EF6">
      <w:pPr>
        <w:autoSpaceDE w:val="0"/>
        <w:autoSpaceDN w:val="0"/>
        <w:adjustRightInd w:val="0"/>
        <w:spacing w:before="0" w:after="0"/>
        <w:jc w:val="center"/>
        <w:rPr>
          <w:rFonts w:ascii="Times New Roman" w:hAnsi="Times New Roman"/>
          <w:b/>
          <w:color w:val="1F497D" w:themeColor="text2"/>
          <w:sz w:val="20"/>
        </w:rPr>
      </w:pPr>
      <w:bookmarkStart w:id="118" w:name="_Toc368935200"/>
    </w:p>
    <w:p w:rsidR="005E7468" w:rsidRDefault="005E7468" w:rsidP="00BB5EF6">
      <w:pPr>
        <w:autoSpaceDE w:val="0"/>
        <w:autoSpaceDN w:val="0"/>
        <w:adjustRightInd w:val="0"/>
        <w:spacing w:before="0" w:after="0"/>
        <w:jc w:val="center"/>
        <w:rPr>
          <w:rFonts w:ascii="Times New Roman" w:hAnsi="Times New Roman"/>
          <w:b/>
          <w:color w:val="1F497D" w:themeColor="text2"/>
          <w:sz w:val="20"/>
        </w:rPr>
      </w:pPr>
    </w:p>
    <w:p w:rsidR="00BB5EF6" w:rsidRPr="005E7468" w:rsidRDefault="00BB5EF6" w:rsidP="00BB5EF6">
      <w:pPr>
        <w:autoSpaceDE w:val="0"/>
        <w:autoSpaceDN w:val="0"/>
        <w:adjustRightInd w:val="0"/>
        <w:spacing w:before="0" w:after="0"/>
        <w:jc w:val="center"/>
        <w:rPr>
          <w:rFonts w:ascii="Arial" w:hAnsi="Arial" w:cs="Arial"/>
          <w:b/>
          <w:bCs/>
          <w:color w:val="1F497D" w:themeColor="text2"/>
          <w:sz w:val="18"/>
          <w:szCs w:val="18"/>
          <w:lang w:val="en-GB"/>
        </w:rPr>
      </w:pPr>
      <w:r w:rsidRPr="005E7468">
        <w:rPr>
          <w:rFonts w:ascii="Arial" w:hAnsi="Arial" w:cs="Arial"/>
          <w:b/>
          <w:color w:val="1F497D" w:themeColor="text2"/>
          <w:sz w:val="18"/>
          <w:szCs w:val="18"/>
        </w:rPr>
        <w:lastRenderedPageBreak/>
        <w:t>Table 3</w:t>
      </w:r>
      <w:r w:rsidRPr="005E7468">
        <w:rPr>
          <w:rFonts w:ascii="Arial" w:hAnsi="Arial" w:cs="Arial"/>
          <w:b/>
          <w:bCs/>
          <w:color w:val="1F497D" w:themeColor="text2"/>
          <w:sz w:val="18"/>
          <w:szCs w:val="18"/>
          <w:lang w:val="en-GB"/>
        </w:rPr>
        <w:t>: Overview of ROMs track and mechanism for the 5 DAC criteria</w:t>
      </w:r>
      <w:bookmarkEnd w:id="118"/>
    </w:p>
    <w:tbl>
      <w:tblPr>
        <w:tblW w:w="5000" w:type="pct"/>
        <w:tblCellMar>
          <w:left w:w="70" w:type="dxa"/>
          <w:right w:w="70" w:type="dxa"/>
        </w:tblCellMar>
        <w:tblLook w:val="04A0"/>
      </w:tblPr>
      <w:tblGrid>
        <w:gridCol w:w="2902"/>
        <w:gridCol w:w="918"/>
        <w:gridCol w:w="995"/>
        <w:gridCol w:w="956"/>
        <w:gridCol w:w="1254"/>
        <w:gridCol w:w="697"/>
        <w:gridCol w:w="1263"/>
        <w:gridCol w:w="793"/>
      </w:tblGrid>
      <w:tr w:rsidR="00BB5EF6" w:rsidRPr="005E7468" w:rsidTr="005E7468">
        <w:trPr>
          <w:trHeight w:val="454"/>
        </w:trPr>
        <w:tc>
          <w:tcPr>
            <w:tcW w:w="1498" w:type="pct"/>
            <w:tcBorders>
              <w:top w:val="single" w:sz="4" w:space="0" w:color="1F497D"/>
              <w:left w:val="single" w:sz="4" w:space="0" w:color="1F497D"/>
              <w:bottom w:val="single" w:sz="4" w:space="0" w:color="1F497D"/>
              <w:right w:val="nil"/>
            </w:tcBorders>
            <w:shd w:val="clear" w:color="auto" w:fill="4F81BD" w:themeFill="accent1"/>
            <w:vAlign w:val="center"/>
            <w:hideMark/>
          </w:tcPr>
          <w:p w:rsidR="00BB5EF6" w:rsidRPr="005E7468" w:rsidRDefault="00BB5EF6" w:rsidP="00BB5EF6">
            <w:pPr>
              <w:spacing w:before="0" w:after="0"/>
              <w:jc w:val="center"/>
              <w:rPr>
                <w:rFonts w:ascii="Arial" w:hAnsi="Arial" w:cs="Arial"/>
                <w:b/>
                <w:bCs/>
                <w:color w:val="FFFFFF"/>
                <w:sz w:val="20"/>
              </w:rPr>
            </w:pPr>
            <w:r w:rsidRPr="005E7468">
              <w:rPr>
                <w:rFonts w:ascii="Arial" w:hAnsi="Arial" w:cs="Arial"/>
                <w:b/>
                <w:bCs/>
                <w:color w:val="FFFFFF"/>
                <w:sz w:val="20"/>
              </w:rPr>
              <w:t>Track/Mechanism</w:t>
            </w:r>
          </w:p>
        </w:tc>
        <w:tc>
          <w:tcPr>
            <w:tcW w:w="467" w:type="pct"/>
            <w:tcBorders>
              <w:top w:val="single" w:sz="4" w:space="0" w:color="1F497D"/>
              <w:left w:val="nil"/>
              <w:bottom w:val="single" w:sz="4" w:space="0" w:color="1F497D"/>
              <w:right w:val="nil"/>
            </w:tcBorders>
            <w:shd w:val="clear" w:color="auto" w:fill="4F81BD" w:themeFill="accent1"/>
            <w:vAlign w:val="center"/>
            <w:hideMark/>
          </w:tcPr>
          <w:p w:rsidR="00BB5EF6" w:rsidRPr="005E7468" w:rsidRDefault="00BB5EF6" w:rsidP="00BB5EF6">
            <w:pPr>
              <w:spacing w:before="0" w:after="0"/>
              <w:jc w:val="center"/>
              <w:rPr>
                <w:rFonts w:ascii="Arial" w:hAnsi="Arial" w:cs="Arial"/>
                <w:b/>
                <w:bCs/>
                <w:color w:val="FFFFFF"/>
                <w:sz w:val="20"/>
              </w:rPr>
            </w:pPr>
            <w:r w:rsidRPr="005E7468">
              <w:rPr>
                <w:rFonts w:ascii="Arial" w:hAnsi="Arial" w:cs="Arial"/>
                <w:b/>
                <w:bCs/>
                <w:color w:val="FFFFFF"/>
                <w:sz w:val="20"/>
              </w:rPr>
              <w:t>N. of contracts</w:t>
            </w:r>
          </w:p>
        </w:tc>
        <w:tc>
          <w:tcPr>
            <w:tcW w:w="507" w:type="pct"/>
            <w:tcBorders>
              <w:top w:val="single" w:sz="4" w:space="0" w:color="1F497D"/>
              <w:left w:val="nil"/>
              <w:bottom w:val="single" w:sz="4" w:space="0" w:color="1F497D"/>
              <w:right w:val="nil"/>
            </w:tcBorders>
            <w:shd w:val="clear" w:color="auto" w:fill="4F81BD" w:themeFill="accent1"/>
            <w:vAlign w:val="center"/>
            <w:hideMark/>
          </w:tcPr>
          <w:p w:rsidR="00BB5EF6" w:rsidRPr="005E7468" w:rsidRDefault="00BB5EF6" w:rsidP="00BB5EF6">
            <w:pPr>
              <w:spacing w:before="0" w:after="0"/>
              <w:jc w:val="center"/>
              <w:rPr>
                <w:rFonts w:ascii="Arial" w:hAnsi="Arial" w:cs="Arial"/>
                <w:b/>
                <w:bCs/>
                <w:color w:val="FFFFFF"/>
                <w:sz w:val="20"/>
              </w:rPr>
            </w:pPr>
            <w:r w:rsidRPr="005E7468">
              <w:rPr>
                <w:rFonts w:ascii="Arial" w:hAnsi="Arial" w:cs="Arial"/>
                <w:b/>
                <w:bCs/>
                <w:color w:val="FFFFFF"/>
                <w:sz w:val="20"/>
              </w:rPr>
              <w:t xml:space="preserve">Relevance </w:t>
            </w:r>
          </w:p>
        </w:tc>
        <w:tc>
          <w:tcPr>
            <w:tcW w:w="487" w:type="pct"/>
            <w:tcBorders>
              <w:top w:val="single" w:sz="4" w:space="0" w:color="1F497D"/>
              <w:left w:val="nil"/>
              <w:bottom w:val="single" w:sz="4" w:space="0" w:color="1F497D"/>
              <w:right w:val="nil"/>
            </w:tcBorders>
            <w:shd w:val="clear" w:color="auto" w:fill="4F81BD" w:themeFill="accent1"/>
            <w:vAlign w:val="center"/>
            <w:hideMark/>
          </w:tcPr>
          <w:p w:rsidR="00BB5EF6" w:rsidRPr="005E7468" w:rsidRDefault="00BB5EF6" w:rsidP="00BB5EF6">
            <w:pPr>
              <w:spacing w:before="0" w:after="0"/>
              <w:jc w:val="center"/>
              <w:rPr>
                <w:rFonts w:ascii="Arial" w:hAnsi="Arial" w:cs="Arial"/>
                <w:b/>
                <w:bCs/>
                <w:color w:val="FFFFFF"/>
                <w:sz w:val="20"/>
              </w:rPr>
            </w:pPr>
            <w:r w:rsidRPr="005E7468">
              <w:rPr>
                <w:rFonts w:ascii="Arial" w:hAnsi="Arial" w:cs="Arial"/>
                <w:b/>
                <w:bCs/>
                <w:color w:val="FFFFFF"/>
                <w:sz w:val="20"/>
              </w:rPr>
              <w:t xml:space="preserve">Efficiency </w:t>
            </w:r>
          </w:p>
        </w:tc>
        <w:tc>
          <w:tcPr>
            <w:tcW w:w="641" w:type="pct"/>
            <w:tcBorders>
              <w:top w:val="single" w:sz="4" w:space="0" w:color="1F497D"/>
              <w:left w:val="nil"/>
              <w:bottom w:val="single" w:sz="4" w:space="0" w:color="1F497D"/>
              <w:right w:val="nil"/>
            </w:tcBorders>
            <w:shd w:val="clear" w:color="auto" w:fill="4F81BD" w:themeFill="accent1"/>
            <w:vAlign w:val="center"/>
            <w:hideMark/>
          </w:tcPr>
          <w:p w:rsidR="00BB5EF6" w:rsidRPr="005E7468" w:rsidRDefault="00BB5EF6" w:rsidP="00BB5EF6">
            <w:pPr>
              <w:spacing w:before="0" w:after="0"/>
              <w:jc w:val="center"/>
              <w:rPr>
                <w:rFonts w:ascii="Arial" w:hAnsi="Arial" w:cs="Arial"/>
                <w:b/>
                <w:bCs/>
                <w:color w:val="FFFFFF"/>
                <w:sz w:val="20"/>
              </w:rPr>
            </w:pPr>
            <w:r w:rsidRPr="005E7468">
              <w:rPr>
                <w:rFonts w:ascii="Arial" w:hAnsi="Arial" w:cs="Arial"/>
                <w:b/>
                <w:bCs/>
                <w:color w:val="FFFFFF"/>
                <w:sz w:val="20"/>
              </w:rPr>
              <w:t xml:space="preserve">Effectiveness </w:t>
            </w:r>
          </w:p>
        </w:tc>
        <w:tc>
          <w:tcPr>
            <w:tcW w:w="352" w:type="pct"/>
            <w:tcBorders>
              <w:top w:val="single" w:sz="4" w:space="0" w:color="1F497D"/>
              <w:left w:val="nil"/>
              <w:bottom w:val="single" w:sz="4" w:space="0" w:color="1F497D"/>
              <w:right w:val="nil"/>
            </w:tcBorders>
            <w:shd w:val="clear" w:color="auto" w:fill="4F81BD" w:themeFill="accent1"/>
            <w:vAlign w:val="center"/>
            <w:hideMark/>
          </w:tcPr>
          <w:p w:rsidR="00BB5EF6" w:rsidRPr="005E7468" w:rsidRDefault="00BB5EF6" w:rsidP="00BB5EF6">
            <w:pPr>
              <w:spacing w:before="0" w:after="0"/>
              <w:jc w:val="center"/>
              <w:rPr>
                <w:rFonts w:ascii="Arial" w:hAnsi="Arial" w:cs="Arial"/>
                <w:b/>
                <w:bCs/>
                <w:color w:val="FFFFFF"/>
                <w:sz w:val="20"/>
              </w:rPr>
            </w:pPr>
            <w:r w:rsidRPr="005E7468">
              <w:rPr>
                <w:rFonts w:ascii="Arial" w:hAnsi="Arial" w:cs="Arial"/>
                <w:b/>
                <w:bCs/>
                <w:color w:val="FFFFFF"/>
                <w:sz w:val="20"/>
              </w:rPr>
              <w:t xml:space="preserve">Impact </w:t>
            </w:r>
          </w:p>
        </w:tc>
        <w:tc>
          <w:tcPr>
            <w:tcW w:w="646" w:type="pct"/>
            <w:tcBorders>
              <w:top w:val="single" w:sz="4" w:space="0" w:color="1F497D"/>
              <w:left w:val="nil"/>
              <w:bottom w:val="single" w:sz="4" w:space="0" w:color="1F497D"/>
              <w:right w:val="nil"/>
            </w:tcBorders>
            <w:shd w:val="clear" w:color="auto" w:fill="4F81BD" w:themeFill="accent1"/>
            <w:vAlign w:val="center"/>
            <w:hideMark/>
          </w:tcPr>
          <w:p w:rsidR="00BB5EF6" w:rsidRPr="005E7468" w:rsidRDefault="00BB5EF6" w:rsidP="00BB5EF6">
            <w:pPr>
              <w:spacing w:before="0" w:after="0"/>
              <w:jc w:val="center"/>
              <w:rPr>
                <w:rFonts w:ascii="Arial" w:hAnsi="Arial" w:cs="Arial"/>
                <w:b/>
                <w:bCs/>
                <w:color w:val="FFFFFF"/>
                <w:sz w:val="20"/>
              </w:rPr>
            </w:pPr>
            <w:r w:rsidRPr="005E7468">
              <w:rPr>
                <w:rFonts w:ascii="Arial" w:hAnsi="Arial" w:cs="Arial"/>
                <w:b/>
                <w:bCs/>
                <w:color w:val="FFFFFF"/>
                <w:sz w:val="20"/>
              </w:rPr>
              <w:t>Sustainability</w:t>
            </w:r>
          </w:p>
        </w:tc>
        <w:tc>
          <w:tcPr>
            <w:tcW w:w="402" w:type="pct"/>
            <w:tcBorders>
              <w:top w:val="single" w:sz="4" w:space="0" w:color="1F497D"/>
              <w:left w:val="nil"/>
              <w:bottom w:val="single" w:sz="4" w:space="0" w:color="1F497D"/>
              <w:right w:val="single" w:sz="4" w:space="0" w:color="1F497D"/>
            </w:tcBorders>
            <w:shd w:val="clear" w:color="auto" w:fill="4F81BD" w:themeFill="accent1"/>
            <w:vAlign w:val="center"/>
            <w:hideMark/>
          </w:tcPr>
          <w:p w:rsidR="00BB5EF6" w:rsidRPr="005E7468" w:rsidRDefault="00BB5EF6" w:rsidP="00BB5EF6">
            <w:pPr>
              <w:spacing w:before="0" w:after="0"/>
              <w:jc w:val="center"/>
              <w:rPr>
                <w:rFonts w:ascii="Arial" w:hAnsi="Arial" w:cs="Arial"/>
                <w:b/>
                <w:bCs/>
                <w:color w:val="FFFFFF"/>
                <w:sz w:val="20"/>
              </w:rPr>
            </w:pPr>
            <w:r w:rsidRPr="005E7468">
              <w:rPr>
                <w:rFonts w:ascii="Arial" w:hAnsi="Arial" w:cs="Arial"/>
                <w:b/>
                <w:bCs/>
                <w:color w:val="FFFFFF"/>
                <w:sz w:val="20"/>
              </w:rPr>
              <w:t>Total average</w:t>
            </w:r>
          </w:p>
        </w:tc>
      </w:tr>
      <w:tr w:rsidR="00BB5EF6" w:rsidRPr="005E7468" w:rsidTr="005E7468">
        <w:trPr>
          <w:trHeight w:val="257"/>
        </w:trPr>
        <w:tc>
          <w:tcPr>
            <w:tcW w:w="1498" w:type="pct"/>
            <w:tcBorders>
              <w:top w:val="nil"/>
              <w:left w:val="single" w:sz="4" w:space="0" w:color="1F497D"/>
              <w:bottom w:val="single" w:sz="4" w:space="0" w:color="1F497D"/>
              <w:right w:val="nil"/>
            </w:tcBorders>
            <w:shd w:val="clear" w:color="000000" w:fill="DCE6F1"/>
            <w:vAlign w:val="center"/>
            <w:hideMark/>
          </w:tcPr>
          <w:p w:rsidR="00BB5EF6" w:rsidRPr="005E7468" w:rsidRDefault="00BB5EF6" w:rsidP="00BB5EF6">
            <w:pPr>
              <w:spacing w:before="0" w:after="0"/>
              <w:jc w:val="center"/>
              <w:rPr>
                <w:rFonts w:ascii="Arial" w:hAnsi="Arial" w:cs="Arial"/>
                <w:b/>
                <w:bCs/>
                <w:sz w:val="20"/>
              </w:rPr>
            </w:pPr>
            <w:r w:rsidRPr="005E7468">
              <w:rPr>
                <w:rFonts w:ascii="Arial" w:hAnsi="Arial" w:cs="Arial"/>
                <w:b/>
                <w:bCs/>
                <w:sz w:val="20"/>
              </w:rPr>
              <w:t>Track 1</w:t>
            </w:r>
          </w:p>
        </w:tc>
        <w:tc>
          <w:tcPr>
            <w:tcW w:w="467" w:type="pct"/>
            <w:tcBorders>
              <w:top w:val="nil"/>
              <w:left w:val="nil"/>
              <w:bottom w:val="single" w:sz="4" w:space="0" w:color="1F497D"/>
              <w:right w:val="nil"/>
            </w:tcBorders>
            <w:shd w:val="clear" w:color="000000" w:fill="DCE6F1"/>
            <w:vAlign w:val="center"/>
            <w:hideMark/>
          </w:tcPr>
          <w:p w:rsidR="00BB5EF6" w:rsidRPr="005E7468" w:rsidRDefault="00BB5EF6" w:rsidP="00BB5EF6">
            <w:pPr>
              <w:spacing w:before="0" w:after="0"/>
              <w:jc w:val="center"/>
              <w:rPr>
                <w:rFonts w:ascii="Arial" w:hAnsi="Arial" w:cs="Arial"/>
                <w:b/>
                <w:bCs/>
                <w:sz w:val="20"/>
              </w:rPr>
            </w:pPr>
            <w:r w:rsidRPr="005E7468">
              <w:rPr>
                <w:rFonts w:ascii="Arial" w:hAnsi="Arial" w:cs="Arial"/>
                <w:b/>
                <w:bCs/>
                <w:sz w:val="20"/>
              </w:rPr>
              <w:t> </w:t>
            </w:r>
          </w:p>
        </w:tc>
        <w:tc>
          <w:tcPr>
            <w:tcW w:w="507" w:type="pct"/>
            <w:tcBorders>
              <w:top w:val="nil"/>
              <w:left w:val="nil"/>
              <w:bottom w:val="single" w:sz="4" w:space="0" w:color="1F497D"/>
              <w:right w:val="nil"/>
            </w:tcBorders>
            <w:shd w:val="clear" w:color="000000" w:fill="DCE6F1"/>
            <w:vAlign w:val="center"/>
            <w:hideMark/>
          </w:tcPr>
          <w:p w:rsidR="00BB5EF6" w:rsidRPr="005E7468" w:rsidRDefault="00BB5EF6" w:rsidP="00BB5EF6">
            <w:pPr>
              <w:spacing w:before="0" w:after="0"/>
              <w:jc w:val="center"/>
              <w:rPr>
                <w:rFonts w:ascii="Arial" w:hAnsi="Arial" w:cs="Arial"/>
                <w:b/>
                <w:bCs/>
                <w:sz w:val="20"/>
              </w:rPr>
            </w:pPr>
            <w:r w:rsidRPr="005E7468">
              <w:rPr>
                <w:rFonts w:ascii="Arial" w:hAnsi="Arial" w:cs="Arial"/>
                <w:b/>
                <w:bCs/>
                <w:sz w:val="20"/>
              </w:rPr>
              <w:t> </w:t>
            </w:r>
          </w:p>
        </w:tc>
        <w:tc>
          <w:tcPr>
            <w:tcW w:w="487" w:type="pct"/>
            <w:tcBorders>
              <w:top w:val="nil"/>
              <w:left w:val="nil"/>
              <w:bottom w:val="single" w:sz="4" w:space="0" w:color="1F497D"/>
              <w:right w:val="nil"/>
            </w:tcBorders>
            <w:shd w:val="clear" w:color="000000" w:fill="DCE6F1"/>
            <w:vAlign w:val="center"/>
            <w:hideMark/>
          </w:tcPr>
          <w:p w:rsidR="00BB5EF6" w:rsidRPr="005E7468" w:rsidRDefault="00BB5EF6" w:rsidP="00BB5EF6">
            <w:pPr>
              <w:spacing w:before="0" w:after="0"/>
              <w:jc w:val="center"/>
              <w:rPr>
                <w:rFonts w:ascii="Arial" w:hAnsi="Arial" w:cs="Arial"/>
                <w:b/>
                <w:bCs/>
                <w:sz w:val="20"/>
              </w:rPr>
            </w:pPr>
            <w:r w:rsidRPr="005E7468">
              <w:rPr>
                <w:rFonts w:ascii="Arial" w:hAnsi="Arial" w:cs="Arial"/>
                <w:b/>
                <w:bCs/>
                <w:sz w:val="20"/>
              </w:rPr>
              <w:t> </w:t>
            </w:r>
          </w:p>
        </w:tc>
        <w:tc>
          <w:tcPr>
            <w:tcW w:w="641" w:type="pct"/>
            <w:tcBorders>
              <w:top w:val="nil"/>
              <w:left w:val="nil"/>
              <w:bottom w:val="single" w:sz="4" w:space="0" w:color="1F497D"/>
              <w:right w:val="nil"/>
            </w:tcBorders>
            <w:shd w:val="clear" w:color="000000" w:fill="DCE6F1"/>
            <w:vAlign w:val="center"/>
            <w:hideMark/>
          </w:tcPr>
          <w:p w:rsidR="00BB5EF6" w:rsidRPr="005E7468" w:rsidRDefault="00BB5EF6" w:rsidP="00BB5EF6">
            <w:pPr>
              <w:spacing w:before="0" w:after="0"/>
              <w:jc w:val="center"/>
              <w:rPr>
                <w:rFonts w:ascii="Arial" w:hAnsi="Arial" w:cs="Arial"/>
                <w:b/>
                <w:bCs/>
                <w:sz w:val="20"/>
              </w:rPr>
            </w:pPr>
            <w:r w:rsidRPr="005E7468">
              <w:rPr>
                <w:rFonts w:ascii="Arial" w:hAnsi="Arial" w:cs="Arial"/>
                <w:b/>
                <w:bCs/>
                <w:sz w:val="20"/>
              </w:rPr>
              <w:t> </w:t>
            </w:r>
          </w:p>
        </w:tc>
        <w:tc>
          <w:tcPr>
            <w:tcW w:w="352" w:type="pct"/>
            <w:tcBorders>
              <w:top w:val="nil"/>
              <w:left w:val="nil"/>
              <w:bottom w:val="single" w:sz="4" w:space="0" w:color="1F497D"/>
              <w:right w:val="nil"/>
            </w:tcBorders>
            <w:shd w:val="clear" w:color="000000" w:fill="DCE6F1"/>
            <w:vAlign w:val="center"/>
            <w:hideMark/>
          </w:tcPr>
          <w:p w:rsidR="00BB5EF6" w:rsidRPr="005E7468" w:rsidRDefault="00BB5EF6" w:rsidP="00BB5EF6">
            <w:pPr>
              <w:spacing w:before="0" w:after="0"/>
              <w:jc w:val="center"/>
              <w:rPr>
                <w:rFonts w:ascii="Arial" w:hAnsi="Arial" w:cs="Arial"/>
                <w:b/>
                <w:bCs/>
                <w:sz w:val="20"/>
              </w:rPr>
            </w:pPr>
            <w:r w:rsidRPr="005E7468">
              <w:rPr>
                <w:rFonts w:ascii="Arial" w:hAnsi="Arial" w:cs="Arial"/>
                <w:b/>
                <w:bCs/>
                <w:sz w:val="20"/>
              </w:rPr>
              <w:t> </w:t>
            </w:r>
          </w:p>
        </w:tc>
        <w:tc>
          <w:tcPr>
            <w:tcW w:w="646" w:type="pct"/>
            <w:tcBorders>
              <w:top w:val="nil"/>
              <w:left w:val="nil"/>
              <w:bottom w:val="single" w:sz="4" w:space="0" w:color="1F497D"/>
              <w:right w:val="nil"/>
            </w:tcBorders>
            <w:shd w:val="clear" w:color="000000" w:fill="DCE6F1"/>
            <w:vAlign w:val="center"/>
            <w:hideMark/>
          </w:tcPr>
          <w:p w:rsidR="00BB5EF6" w:rsidRPr="005E7468" w:rsidRDefault="00BB5EF6" w:rsidP="00BB5EF6">
            <w:pPr>
              <w:spacing w:before="0" w:after="0"/>
              <w:jc w:val="center"/>
              <w:rPr>
                <w:rFonts w:ascii="Arial" w:hAnsi="Arial" w:cs="Arial"/>
                <w:b/>
                <w:bCs/>
                <w:sz w:val="20"/>
              </w:rPr>
            </w:pPr>
            <w:r w:rsidRPr="005E7468">
              <w:rPr>
                <w:rFonts w:ascii="Arial" w:hAnsi="Arial" w:cs="Arial"/>
                <w:b/>
                <w:bCs/>
                <w:sz w:val="20"/>
              </w:rPr>
              <w:t> </w:t>
            </w:r>
          </w:p>
        </w:tc>
        <w:tc>
          <w:tcPr>
            <w:tcW w:w="402" w:type="pct"/>
            <w:tcBorders>
              <w:top w:val="nil"/>
              <w:left w:val="nil"/>
              <w:bottom w:val="single" w:sz="4" w:space="0" w:color="1F497D"/>
              <w:right w:val="single" w:sz="4" w:space="0" w:color="1F497D"/>
            </w:tcBorders>
            <w:shd w:val="clear" w:color="000000" w:fill="DCE6F1"/>
            <w:vAlign w:val="center"/>
            <w:hideMark/>
          </w:tcPr>
          <w:p w:rsidR="00BB5EF6" w:rsidRPr="005E7468" w:rsidRDefault="00BB5EF6" w:rsidP="00BB5EF6">
            <w:pPr>
              <w:spacing w:before="0" w:after="0"/>
              <w:jc w:val="center"/>
              <w:rPr>
                <w:rFonts w:ascii="Arial" w:hAnsi="Arial" w:cs="Arial"/>
                <w:b/>
                <w:bCs/>
                <w:sz w:val="20"/>
              </w:rPr>
            </w:pPr>
            <w:r w:rsidRPr="005E7468">
              <w:rPr>
                <w:rFonts w:ascii="Arial" w:hAnsi="Arial" w:cs="Arial"/>
                <w:b/>
                <w:bCs/>
                <w:sz w:val="20"/>
              </w:rPr>
              <w:t> </w:t>
            </w:r>
          </w:p>
        </w:tc>
      </w:tr>
      <w:tr w:rsidR="00BB5EF6" w:rsidRPr="005E7468" w:rsidTr="005E7468">
        <w:trPr>
          <w:trHeight w:val="257"/>
        </w:trPr>
        <w:tc>
          <w:tcPr>
            <w:tcW w:w="1498" w:type="pct"/>
            <w:tcBorders>
              <w:top w:val="nil"/>
              <w:left w:val="single" w:sz="4" w:space="0" w:color="1F497D"/>
              <w:bottom w:val="single" w:sz="4" w:space="0" w:color="1F497D"/>
              <w:right w:val="nil"/>
            </w:tcBorders>
            <w:shd w:val="clear" w:color="auto" w:fill="auto"/>
            <w:noWrap/>
            <w:vAlign w:val="bottom"/>
            <w:hideMark/>
          </w:tcPr>
          <w:p w:rsidR="00BB5EF6" w:rsidRPr="005E7468" w:rsidRDefault="00BB5EF6" w:rsidP="00BB5EF6">
            <w:pPr>
              <w:spacing w:before="0" w:after="0"/>
              <w:rPr>
                <w:rFonts w:ascii="Arial" w:hAnsi="Arial" w:cs="Arial"/>
                <w:sz w:val="20"/>
              </w:rPr>
            </w:pPr>
            <w:r w:rsidRPr="005E7468">
              <w:rPr>
                <w:rFonts w:ascii="Arial" w:hAnsi="Arial" w:cs="Arial"/>
                <w:sz w:val="20"/>
              </w:rPr>
              <w:t>PEGASE DFS - GLOBAL</w:t>
            </w:r>
          </w:p>
        </w:tc>
        <w:tc>
          <w:tcPr>
            <w:tcW w:w="467" w:type="pct"/>
            <w:tcBorders>
              <w:top w:val="nil"/>
              <w:left w:val="nil"/>
              <w:bottom w:val="single" w:sz="4" w:space="0" w:color="1F497D"/>
              <w:right w:val="nil"/>
            </w:tcBorders>
            <w:shd w:val="clear" w:color="auto" w:fill="auto"/>
            <w:noWrap/>
            <w:vAlign w:val="bottom"/>
            <w:hideMark/>
          </w:tcPr>
          <w:p w:rsidR="00BB5EF6" w:rsidRPr="005E7468" w:rsidRDefault="00BB5EF6" w:rsidP="00BB5EF6">
            <w:pPr>
              <w:spacing w:before="0" w:after="0"/>
              <w:jc w:val="center"/>
              <w:rPr>
                <w:rFonts w:ascii="Arial" w:hAnsi="Arial" w:cs="Arial"/>
                <w:sz w:val="20"/>
              </w:rPr>
            </w:pPr>
            <w:r w:rsidRPr="005E7468">
              <w:rPr>
                <w:rFonts w:ascii="Arial" w:hAnsi="Arial" w:cs="Arial"/>
                <w:sz w:val="20"/>
              </w:rPr>
              <w:t>1</w:t>
            </w:r>
          </w:p>
        </w:tc>
        <w:tc>
          <w:tcPr>
            <w:tcW w:w="507" w:type="pct"/>
            <w:tcBorders>
              <w:top w:val="nil"/>
              <w:left w:val="nil"/>
              <w:bottom w:val="single" w:sz="4" w:space="0" w:color="1F497D"/>
              <w:right w:val="nil"/>
            </w:tcBorders>
            <w:shd w:val="clear" w:color="auto" w:fill="auto"/>
            <w:noWrap/>
            <w:vAlign w:val="bottom"/>
            <w:hideMark/>
          </w:tcPr>
          <w:p w:rsidR="00BB5EF6" w:rsidRPr="005E7468" w:rsidRDefault="00BB5EF6" w:rsidP="00BB5EF6">
            <w:pPr>
              <w:spacing w:before="0" w:after="0"/>
              <w:jc w:val="center"/>
              <w:rPr>
                <w:rFonts w:ascii="Arial" w:hAnsi="Arial" w:cs="Arial"/>
                <w:sz w:val="20"/>
              </w:rPr>
            </w:pPr>
            <w:r w:rsidRPr="005E7468">
              <w:rPr>
                <w:rFonts w:ascii="Arial" w:hAnsi="Arial" w:cs="Arial"/>
                <w:sz w:val="20"/>
              </w:rPr>
              <w:t>3,0</w:t>
            </w:r>
          </w:p>
        </w:tc>
        <w:tc>
          <w:tcPr>
            <w:tcW w:w="487" w:type="pct"/>
            <w:tcBorders>
              <w:top w:val="nil"/>
              <w:left w:val="nil"/>
              <w:bottom w:val="single" w:sz="4" w:space="0" w:color="1F497D"/>
              <w:right w:val="nil"/>
            </w:tcBorders>
            <w:shd w:val="clear" w:color="auto" w:fill="auto"/>
            <w:noWrap/>
            <w:vAlign w:val="bottom"/>
            <w:hideMark/>
          </w:tcPr>
          <w:p w:rsidR="00BB5EF6" w:rsidRPr="005E7468" w:rsidRDefault="00BB5EF6" w:rsidP="00BB5EF6">
            <w:pPr>
              <w:spacing w:before="0" w:after="0"/>
              <w:jc w:val="center"/>
              <w:rPr>
                <w:rFonts w:ascii="Arial" w:hAnsi="Arial" w:cs="Arial"/>
                <w:sz w:val="20"/>
              </w:rPr>
            </w:pPr>
            <w:r w:rsidRPr="005E7468">
              <w:rPr>
                <w:rFonts w:ascii="Arial" w:hAnsi="Arial" w:cs="Arial"/>
                <w:sz w:val="20"/>
              </w:rPr>
              <w:t>4,0</w:t>
            </w:r>
          </w:p>
        </w:tc>
        <w:tc>
          <w:tcPr>
            <w:tcW w:w="641" w:type="pct"/>
            <w:tcBorders>
              <w:top w:val="nil"/>
              <w:left w:val="nil"/>
              <w:bottom w:val="single" w:sz="4" w:space="0" w:color="1F497D"/>
              <w:right w:val="nil"/>
            </w:tcBorders>
            <w:shd w:val="clear" w:color="auto" w:fill="auto"/>
            <w:noWrap/>
            <w:vAlign w:val="bottom"/>
            <w:hideMark/>
          </w:tcPr>
          <w:p w:rsidR="00BB5EF6" w:rsidRPr="005E7468" w:rsidRDefault="00BB5EF6" w:rsidP="00BB5EF6">
            <w:pPr>
              <w:spacing w:before="0" w:after="0"/>
              <w:jc w:val="center"/>
              <w:rPr>
                <w:rFonts w:ascii="Arial" w:hAnsi="Arial" w:cs="Arial"/>
                <w:sz w:val="20"/>
              </w:rPr>
            </w:pPr>
            <w:r w:rsidRPr="005E7468">
              <w:rPr>
                <w:rFonts w:ascii="Arial" w:hAnsi="Arial" w:cs="Arial"/>
                <w:sz w:val="20"/>
              </w:rPr>
              <w:t>3,0</w:t>
            </w:r>
          </w:p>
        </w:tc>
        <w:tc>
          <w:tcPr>
            <w:tcW w:w="352" w:type="pct"/>
            <w:tcBorders>
              <w:top w:val="nil"/>
              <w:left w:val="nil"/>
              <w:bottom w:val="single" w:sz="4" w:space="0" w:color="1F497D"/>
              <w:right w:val="nil"/>
            </w:tcBorders>
            <w:shd w:val="clear" w:color="auto" w:fill="auto"/>
            <w:noWrap/>
            <w:vAlign w:val="bottom"/>
            <w:hideMark/>
          </w:tcPr>
          <w:p w:rsidR="00BB5EF6" w:rsidRPr="005E7468" w:rsidRDefault="00BB5EF6" w:rsidP="00BB5EF6">
            <w:pPr>
              <w:spacing w:before="0" w:after="0"/>
              <w:jc w:val="center"/>
              <w:rPr>
                <w:rFonts w:ascii="Arial" w:hAnsi="Arial" w:cs="Arial"/>
                <w:sz w:val="20"/>
              </w:rPr>
            </w:pPr>
            <w:r w:rsidRPr="005E7468">
              <w:rPr>
                <w:rFonts w:ascii="Arial" w:hAnsi="Arial" w:cs="Arial"/>
                <w:sz w:val="20"/>
              </w:rPr>
              <w:t>4,0</w:t>
            </w:r>
          </w:p>
        </w:tc>
        <w:tc>
          <w:tcPr>
            <w:tcW w:w="646" w:type="pct"/>
            <w:tcBorders>
              <w:top w:val="nil"/>
              <w:left w:val="nil"/>
              <w:bottom w:val="single" w:sz="4" w:space="0" w:color="1F497D"/>
              <w:right w:val="nil"/>
            </w:tcBorders>
            <w:shd w:val="clear" w:color="auto" w:fill="auto"/>
            <w:noWrap/>
            <w:vAlign w:val="bottom"/>
            <w:hideMark/>
          </w:tcPr>
          <w:p w:rsidR="00BB5EF6" w:rsidRPr="005E7468" w:rsidRDefault="00BB5EF6" w:rsidP="00BB5EF6">
            <w:pPr>
              <w:spacing w:before="0" w:after="0"/>
              <w:jc w:val="center"/>
              <w:rPr>
                <w:rFonts w:ascii="Arial" w:hAnsi="Arial" w:cs="Arial"/>
                <w:sz w:val="20"/>
              </w:rPr>
            </w:pPr>
            <w:r w:rsidRPr="005E7468">
              <w:rPr>
                <w:rFonts w:ascii="Arial" w:hAnsi="Arial" w:cs="Arial"/>
                <w:sz w:val="20"/>
              </w:rPr>
              <w:t>3,0</w:t>
            </w:r>
          </w:p>
        </w:tc>
        <w:tc>
          <w:tcPr>
            <w:tcW w:w="402" w:type="pct"/>
            <w:tcBorders>
              <w:top w:val="nil"/>
              <w:left w:val="nil"/>
              <w:bottom w:val="single" w:sz="4" w:space="0" w:color="1F497D"/>
              <w:right w:val="single" w:sz="4" w:space="0" w:color="1F497D"/>
            </w:tcBorders>
            <w:shd w:val="clear" w:color="000000" w:fill="D9D9D9"/>
            <w:noWrap/>
            <w:vAlign w:val="bottom"/>
            <w:hideMark/>
          </w:tcPr>
          <w:p w:rsidR="00BB5EF6" w:rsidRPr="005E7468" w:rsidRDefault="00BB5EF6" w:rsidP="00BB5EF6">
            <w:pPr>
              <w:spacing w:before="0" w:after="0"/>
              <w:jc w:val="center"/>
              <w:rPr>
                <w:rFonts w:ascii="Arial" w:hAnsi="Arial" w:cs="Arial"/>
                <w:sz w:val="20"/>
              </w:rPr>
            </w:pPr>
            <w:r w:rsidRPr="005E7468">
              <w:rPr>
                <w:rFonts w:ascii="Arial" w:hAnsi="Arial" w:cs="Arial"/>
                <w:sz w:val="20"/>
              </w:rPr>
              <w:t>3,4</w:t>
            </w:r>
          </w:p>
        </w:tc>
      </w:tr>
      <w:tr w:rsidR="00BB5EF6" w:rsidRPr="005E7468" w:rsidTr="005E7468">
        <w:trPr>
          <w:trHeight w:val="257"/>
        </w:trPr>
        <w:tc>
          <w:tcPr>
            <w:tcW w:w="1498" w:type="pct"/>
            <w:tcBorders>
              <w:top w:val="nil"/>
              <w:left w:val="single" w:sz="4" w:space="0" w:color="1F497D"/>
              <w:bottom w:val="single" w:sz="4" w:space="0" w:color="1F497D"/>
              <w:right w:val="nil"/>
            </w:tcBorders>
            <w:shd w:val="clear" w:color="auto" w:fill="auto"/>
            <w:noWrap/>
            <w:vAlign w:val="bottom"/>
            <w:hideMark/>
          </w:tcPr>
          <w:p w:rsidR="00BB5EF6" w:rsidRPr="005E7468" w:rsidRDefault="00BB5EF6" w:rsidP="00BB5EF6">
            <w:pPr>
              <w:spacing w:before="0" w:after="0"/>
              <w:rPr>
                <w:rFonts w:ascii="Arial" w:hAnsi="Arial" w:cs="Arial"/>
                <w:sz w:val="20"/>
              </w:rPr>
            </w:pPr>
            <w:r w:rsidRPr="005E7468">
              <w:rPr>
                <w:rFonts w:ascii="Arial" w:hAnsi="Arial" w:cs="Arial"/>
                <w:sz w:val="20"/>
              </w:rPr>
              <w:t xml:space="preserve">PEGASE DFS - PRIVATE SECTOR </w:t>
            </w:r>
          </w:p>
        </w:tc>
        <w:tc>
          <w:tcPr>
            <w:tcW w:w="467" w:type="pct"/>
            <w:tcBorders>
              <w:top w:val="nil"/>
              <w:left w:val="nil"/>
              <w:bottom w:val="single" w:sz="4" w:space="0" w:color="1F497D"/>
              <w:right w:val="nil"/>
            </w:tcBorders>
            <w:shd w:val="clear" w:color="auto" w:fill="auto"/>
            <w:noWrap/>
            <w:vAlign w:val="bottom"/>
            <w:hideMark/>
          </w:tcPr>
          <w:p w:rsidR="00BB5EF6" w:rsidRPr="005E7468" w:rsidRDefault="00BB5EF6" w:rsidP="00BB5EF6">
            <w:pPr>
              <w:spacing w:before="0" w:after="0"/>
              <w:jc w:val="center"/>
              <w:rPr>
                <w:rFonts w:ascii="Arial" w:hAnsi="Arial" w:cs="Arial"/>
                <w:sz w:val="20"/>
              </w:rPr>
            </w:pPr>
            <w:r w:rsidRPr="005E7468">
              <w:rPr>
                <w:rFonts w:ascii="Arial" w:hAnsi="Arial" w:cs="Arial"/>
                <w:sz w:val="20"/>
              </w:rPr>
              <w:t>1</w:t>
            </w:r>
          </w:p>
        </w:tc>
        <w:tc>
          <w:tcPr>
            <w:tcW w:w="507" w:type="pct"/>
            <w:tcBorders>
              <w:top w:val="nil"/>
              <w:left w:val="nil"/>
              <w:bottom w:val="single" w:sz="4" w:space="0" w:color="1F497D"/>
              <w:right w:val="nil"/>
            </w:tcBorders>
            <w:shd w:val="clear" w:color="auto" w:fill="auto"/>
            <w:noWrap/>
            <w:vAlign w:val="bottom"/>
            <w:hideMark/>
          </w:tcPr>
          <w:p w:rsidR="00BB5EF6" w:rsidRPr="005E7468" w:rsidRDefault="00BB5EF6" w:rsidP="00BB5EF6">
            <w:pPr>
              <w:spacing w:before="0" w:after="0"/>
              <w:jc w:val="center"/>
              <w:rPr>
                <w:rFonts w:ascii="Arial" w:hAnsi="Arial" w:cs="Arial"/>
                <w:sz w:val="20"/>
              </w:rPr>
            </w:pPr>
            <w:r w:rsidRPr="005E7468">
              <w:rPr>
                <w:rFonts w:ascii="Arial" w:hAnsi="Arial" w:cs="Arial"/>
                <w:sz w:val="20"/>
              </w:rPr>
              <w:t>3,0</w:t>
            </w:r>
          </w:p>
        </w:tc>
        <w:tc>
          <w:tcPr>
            <w:tcW w:w="487" w:type="pct"/>
            <w:tcBorders>
              <w:top w:val="nil"/>
              <w:left w:val="nil"/>
              <w:bottom w:val="single" w:sz="4" w:space="0" w:color="1F497D"/>
              <w:right w:val="nil"/>
            </w:tcBorders>
            <w:shd w:val="clear" w:color="auto" w:fill="auto"/>
            <w:noWrap/>
            <w:vAlign w:val="bottom"/>
            <w:hideMark/>
          </w:tcPr>
          <w:p w:rsidR="00BB5EF6" w:rsidRPr="005E7468" w:rsidRDefault="00BB5EF6" w:rsidP="00BB5EF6">
            <w:pPr>
              <w:spacing w:before="0" w:after="0"/>
              <w:jc w:val="center"/>
              <w:rPr>
                <w:rFonts w:ascii="Arial" w:hAnsi="Arial" w:cs="Arial"/>
                <w:sz w:val="20"/>
              </w:rPr>
            </w:pPr>
            <w:r w:rsidRPr="005E7468">
              <w:rPr>
                <w:rFonts w:ascii="Arial" w:hAnsi="Arial" w:cs="Arial"/>
                <w:sz w:val="20"/>
              </w:rPr>
              <w:t>3,0</w:t>
            </w:r>
          </w:p>
        </w:tc>
        <w:tc>
          <w:tcPr>
            <w:tcW w:w="641" w:type="pct"/>
            <w:tcBorders>
              <w:top w:val="nil"/>
              <w:left w:val="nil"/>
              <w:bottom w:val="single" w:sz="4" w:space="0" w:color="1F497D"/>
              <w:right w:val="nil"/>
            </w:tcBorders>
            <w:shd w:val="clear" w:color="auto" w:fill="auto"/>
            <w:noWrap/>
            <w:vAlign w:val="bottom"/>
            <w:hideMark/>
          </w:tcPr>
          <w:p w:rsidR="00BB5EF6" w:rsidRPr="005E7468" w:rsidRDefault="00BB5EF6" w:rsidP="00BB5EF6">
            <w:pPr>
              <w:spacing w:before="0" w:after="0"/>
              <w:jc w:val="center"/>
              <w:rPr>
                <w:rFonts w:ascii="Arial" w:hAnsi="Arial" w:cs="Arial"/>
                <w:sz w:val="20"/>
              </w:rPr>
            </w:pPr>
            <w:r w:rsidRPr="005E7468">
              <w:rPr>
                <w:rFonts w:ascii="Arial" w:hAnsi="Arial" w:cs="Arial"/>
                <w:sz w:val="20"/>
              </w:rPr>
              <w:t>3,0</w:t>
            </w:r>
          </w:p>
        </w:tc>
        <w:tc>
          <w:tcPr>
            <w:tcW w:w="352" w:type="pct"/>
            <w:tcBorders>
              <w:top w:val="nil"/>
              <w:left w:val="nil"/>
              <w:bottom w:val="single" w:sz="4" w:space="0" w:color="1F497D"/>
              <w:right w:val="nil"/>
            </w:tcBorders>
            <w:shd w:val="clear" w:color="auto" w:fill="auto"/>
            <w:noWrap/>
            <w:vAlign w:val="bottom"/>
            <w:hideMark/>
          </w:tcPr>
          <w:p w:rsidR="00BB5EF6" w:rsidRPr="005E7468" w:rsidRDefault="00BB5EF6" w:rsidP="00BB5EF6">
            <w:pPr>
              <w:spacing w:before="0" w:after="0"/>
              <w:jc w:val="center"/>
              <w:rPr>
                <w:rFonts w:ascii="Arial" w:hAnsi="Arial" w:cs="Arial"/>
                <w:sz w:val="20"/>
              </w:rPr>
            </w:pPr>
            <w:r w:rsidRPr="005E7468">
              <w:rPr>
                <w:rFonts w:ascii="Arial" w:hAnsi="Arial" w:cs="Arial"/>
                <w:sz w:val="20"/>
              </w:rPr>
              <w:t>3,0</w:t>
            </w:r>
          </w:p>
        </w:tc>
        <w:tc>
          <w:tcPr>
            <w:tcW w:w="646" w:type="pct"/>
            <w:tcBorders>
              <w:top w:val="nil"/>
              <w:left w:val="nil"/>
              <w:bottom w:val="single" w:sz="4" w:space="0" w:color="1F497D"/>
              <w:right w:val="nil"/>
            </w:tcBorders>
            <w:shd w:val="clear" w:color="auto" w:fill="auto"/>
            <w:noWrap/>
            <w:vAlign w:val="bottom"/>
            <w:hideMark/>
          </w:tcPr>
          <w:p w:rsidR="00BB5EF6" w:rsidRPr="005E7468" w:rsidRDefault="00BB5EF6" w:rsidP="00BB5EF6">
            <w:pPr>
              <w:spacing w:before="0" w:after="0"/>
              <w:jc w:val="center"/>
              <w:rPr>
                <w:rFonts w:ascii="Arial" w:hAnsi="Arial" w:cs="Arial"/>
                <w:sz w:val="20"/>
              </w:rPr>
            </w:pPr>
            <w:r w:rsidRPr="005E7468">
              <w:rPr>
                <w:rFonts w:ascii="Arial" w:hAnsi="Arial" w:cs="Arial"/>
                <w:sz w:val="20"/>
              </w:rPr>
              <w:t>3,0</w:t>
            </w:r>
          </w:p>
        </w:tc>
        <w:tc>
          <w:tcPr>
            <w:tcW w:w="402" w:type="pct"/>
            <w:tcBorders>
              <w:top w:val="nil"/>
              <w:left w:val="nil"/>
              <w:bottom w:val="single" w:sz="4" w:space="0" w:color="1F497D"/>
              <w:right w:val="single" w:sz="4" w:space="0" w:color="1F497D"/>
            </w:tcBorders>
            <w:shd w:val="clear" w:color="000000" w:fill="D9D9D9"/>
            <w:noWrap/>
            <w:vAlign w:val="bottom"/>
            <w:hideMark/>
          </w:tcPr>
          <w:p w:rsidR="00BB5EF6" w:rsidRPr="005E7468" w:rsidRDefault="00BB5EF6" w:rsidP="00BB5EF6">
            <w:pPr>
              <w:spacing w:before="0" w:after="0"/>
              <w:jc w:val="center"/>
              <w:rPr>
                <w:rFonts w:ascii="Arial" w:hAnsi="Arial" w:cs="Arial"/>
                <w:sz w:val="20"/>
              </w:rPr>
            </w:pPr>
            <w:r w:rsidRPr="005E7468">
              <w:rPr>
                <w:rFonts w:ascii="Arial" w:hAnsi="Arial" w:cs="Arial"/>
                <w:sz w:val="20"/>
              </w:rPr>
              <w:t>3,0</w:t>
            </w:r>
          </w:p>
        </w:tc>
      </w:tr>
      <w:tr w:rsidR="00BB5EF6" w:rsidRPr="005E7468" w:rsidTr="005E7468">
        <w:trPr>
          <w:trHeight w:val="257"/>
        </w:trPr>
        <w:tc>
          <w:tcPr>
            <w:tcW w:w="1498" w:type="pct"/>
            <w:tcBorders>
              <w:top w:val="nil"/>
              <w:left w:val="single" w:sz="4" w:space="0" w:color="1F497D"/>
              <w:bottom w:val="single" w:sz="4" w:space="0" w:color="1F497D"/>
              <w:right w:val="nil"/>
            </w:tcBorders>
            <w:shd w:val="clear" w:color="auto" w:fill="auto"/>
            <w:noWrap/>
            <w:vAlign w:val="bottom"/>
            <w:hideMark/>
          </w:tcPr>
          <w:p w:rsidR="00BB5EF6" w:rsidRPr="005E7468" w:rsidRDefault="00BB5EF6" w:rsidP="00BB5EF6">
            <w:pPr>
              <w:spacing w:before="0" w:after="0"/>
              <w:jc w:val="right"/>
              <w:rPr>
                <w:rFonts w:ascii="Arial" w:hAnsi="Arial" w:cs="Arial"/>
                <w:b/>
                <w:bCs/>
                <w:sz w:val="20"/>
              </w:rPr>
            </w:pPr>
            <w:r w:rsidRPr="005E7468">
              <w:rPr>
                <w:rFonts w:ascii="Arial" w:hAnsi="Arial" w:cs="Arial"/>
                <w:b/>
                <w:bCs/>
                <w:sz w:val="20"/>
              </w:rPr>
              <w:t>Total Track 1</w:t>
            </w:r>
          </w:p>
        </w:tc>
        <w:tc>
          <w:tcPr>
            <w:tcW w:w="467" w:type="pct"/>
            <w:tcBorders>
              <w:top w:val="nil"/>
              <w:left w:val="nil"/>
              <w:bottom w:val="single" w:sz="4" w:space="0" w:color="1F497D"/>
              <w:right w:val="nil"/>
            </w:tcBorders>
            <w:shd w:val="clear" w:color="auto" w:fill="auto"/>
            <w:noWrap/>
            <w:vAlign w:val="bottom"/>
            <w:hideMark/>
          </w:tcPr>
          <w:p w:rsidR="00BB5EF6" w:rsidRPr="005E7468" w:rsidRDefault="00BB5EF6" w:rsidP="00BB5EF6">
            <w:pPr>
              <w:spacing w:before="0" w:after="0"/>
              <w:jc w:val="center"/>
              <w:rPr>
                <w:rFonts w:ascii="Arial" w:hAnsi="Arial" w:cs="Arial"/>
                <w:b/>
                <w:bCs/>
                <w:sz w:val="20"/>
              </w:rPr>
            </w:pPr>
            <w:r w:rsidRPr="005E7468">
              <w:rPr>
                <w:rFonts w:ascii="Arial" w:hAnsi="Arial" w:cs="Arial"/>
                <w:b/>
                <w:bCs/>
                <w:sz w:val="20"/>
              </w:rPr>
              <w:t>2</w:t>
            </w:r>
          </w:p>
        </w:tc>
        <w:tc>
          <w:tcPr>
            <w:tcW w:w="507" w:type="pct"/>
            <w:tcBorders>
              <w:top w:val="nil"/>
              <w:left w:val="nil"/>
              <w:bottom w:val="single" w:sz="4" w:space="0" w:color="1F497D"/>
              <w:right w:val="nil"/>
            </w:tcBorders>
            <w:shd w:val="clear" w:color="auto" w:fill="auto"/>
            <w:noWrap/>
            <w:vAlign w:val="bottom"/>
            <w:hideMark/>
          </w:tcPr>
          <w:p w:rsidR="00BB5EF6" w:rsidRPr="005E7468" w:rsidRDefault="00BB5EF6" w:rsidP="00BB5EF6">
            <w:pPr>
              <w:spacing w:before="0" w:after="0"/>
              <w:jc w:val="center"/>
              <w:rPr>
                <w:rFonts w:ascii="Arial" w:hAnsi="Arial" w:cs="Arial"/>
                <w:b/>
                <w:bCs/>
                <w:sz w:val="20"/>
              </w:rPr>
            </w:pPr>
            <w:r w:rsidRPr="005E7468">
              <w:rPr>
                <w:rFonts w:ascii="Arial" w:hAnsi="Arial" w:cs="Arial"/>
                <w:b/>
                <w:bCs/>
                <w:sz w:val="20"/>
              </w:rPr>
              <w:t>3,0</w:t>
            </w:r>
          </w:p>
        </w:tc>
        <w:tc>
          <w:tcPr>
            <w:tcW w:w="487" w:type="pct"/>
            <w:tcBorders>
              <w:top w:val="nil"/>
              <w:left w:val="nil"/>
              <w:bottom w:val="single" w:sz="4" w:space="0" w:color="1F497D"/>
              <w:right w:val="nil"/>
            </w:tcBorders>
            <w:shd w:val="clear" w:color="auto" w:fill="auto"/>
            <w:noWrap/>
            <w:vAlign w:val="bottom"/>
            <w:hideMark/>
          </w:tcPr>
          <w:p w:rsidR="00BB5EF6" w:rsidRPr="005E7468" w:rsidRDefault="00BB5EF6" w:rsidP="00BB5EF6">
            <w:pPr>
              <w:spacing w:before="0" w:after="0"/>
              <w:jc w:val="center"/>
              <w:rPr>
                <w:rFonts w:ascii="Arial" w:hAnsi="Arial" w:cs="Arial"/>
                <w:b/>
                <w:bCs/>
                <w:sz w:val="20"/>
              </w:rPr>
            </w:pPr>
            <w:r w:rsidRPr="005E7468">
              <w:rPr>
                <w:rFonts w:ascii="Arial" w:hAnsi="Arial" w:cs="Arial"/>
                <w:b/>
                <w:bCs/>
                <w:sz w:val="20"/>
              </w:rPr>
              <w:t>3,5</w:t>
            </w:r>
          </w:p>
        </w:tc>
        <w:tc>
          <w:tcPr>
            <w:tcW w:w="641" w:type="pct"/>
            <w:tcBorders>
              <w:top w:val="nil"/>
              <w:left w:val="nil"/>
              <w:bottom w:val="single" w:sz="4" w:space="0" w:color="1F497D"/>
              <w:right w:val="nil"/>
            </w:tcBorders>
            <w:shd w:val="clear" w:color="auto" w:fill="auto"/>
            <w:noWrap/>
            <w:vAlign w:val="bottom"/>
            <w:hideMark/>
          </w:tcPr>
          <w:p w:rsidR="00BB5EF6" w:rsidRPr="005E7468" w:rsidRDefault="00BB5EF6" w:rsidP="00BB5EF6">
            <w:pPr>
              <w:spacing w:before="0" w:after="0"/>
              <w:jc w:val="center"/>
              <w:rPr>
                <w:rFonts w:ascii="Arial" w:hAnsi="Arial" w:cs="Arial"/>
                <w:b/>
                <w:bCs/>
                <w:sz w:val="20"/>
              </w:rPr>
            </w:pPr>
            <w:r w:rsidRPr="005E7468">
              <w:rPr>
                <w:rFonts w:ascii="Arial" w:hAnsi="Arial" w:cs="Arial"/>
                <w:b/>
                <w:bCs/>
                <w:sz w:val="20"/>
              </w:rPr>
              <w:t>3,0</w:t>
            </w:r>
          </w:p>
        </w:tc>
        <w:tc>
          <w:tcPr>
            <w:tcW w:w="352" w:type="pct"/>
            <w:tcBorders>
              <w:top w:val="nil"/>
              <w:left w:val="nil"/>
              <w:bottom w:val="single" w:sz="4" w:space="0" w:color="1F497D"/>
              <w:right w:val="nil"/>
            </w:tcBorders>
            <w:shd w:val="clear" w:color="auto" w:fill="auto"/>
            <w:noWrap/>
            <w:vAlign w:val="bottom"/>
            <w:hideMark/>
          </w:tcPr>
          <w:p w:rsidR="00BB5EF6" w:rsidRPr="005E7468" w:rsidRDefault="00BB5EF6" w:rsidP="00BB5EF6">
            <w:pPr>
              <w:spacing w:before="0" w:after="0"/>
              <w:jc w:val="center"/>
              <w:rPr>
                <w:rFonts w:ascii="Arial" w:hAnsi="Arial" w:cs="Arial"/>
                <w:b/>
                <w:bCs/>
                <w:sz w:val="20"/>
              </w:rPr>
            </w:pPr>
            <w:r w:rsidRPr="005E7468">
              <w:rPr>
                <w:rFonts w:ascii="Arial" w:hAnsi="Arial" w:cs="Arial"/>
                <w:b/>
                <w:bCs/>
                <w:sz w:val="20"/>
              </w:rPr>
              <w:t>3,5</w:t>
            </w:r>
          </w:p>
        </w:tc>
        <w:tc>
          <w:tcPr>
            <w:tcW w:w="646" w:type="pct"/>
            <w:tcBorders>
              <w:top w:val="nil"/>
              <w:left w:val="nil"/>
              <w:bottom w:val="single" w:sz="4" w:space="0" w:color="1F497D"/>
              <w:right w:val="nil"/>
            </w:tcBorders>
            <w:shd w:val="clear" w:color="auto" w:fill="auto"/>
            <w:noWrap/>
            <w:vAlign w:val="bottom"/>
            <w:hideMark/>
          </w:tcPr>
          <w:p w:rsidR="00BB5EF6" w:rsidRPr="005E7468" w:rsidRDefault="00BB5EF6" w:rsidP="00BB5EF6">
            <w:pPr>
              <w:spacing w:before="0" w:after="0"/>
              <w:jc w:val="center"/>
              <w:rPr>
                <w:rFonts w:ascii="Arial" w:hAnsi="Arial" w:cs="Arial"/>
                <w:b/>
                <w:bCs/>
                <w:sz w:val="20"/>
              </w:rPr>
            </w:pPr>
            <w:r w:rsidRPr="005E7468">
              <w:rPr>
                <w:rFonts w:ascii="Arial" w:hAnsi="Arial" w:cs="Arial"/>
                <w:b/>
                <w:bCs/>
                <w:sz w:val="20"/>
              </w:rPr>
              <w:t>3,0</w:t>
            </w:r>
          </w:p>
        </w:tc>
        <w:tc>
          <w:tcPr>
            <w:tcW w:w="402" w:type="pct"/>
            <w:tcBorders>
              <w:top w:val="nil"/>
              <w:left w:val="nil"/>
              <w:bottom w:val="single" w:sz="4" w:space="0" w:color="1F497D"/>
              <w:right w:val="single" w:sz="4" w:space="0" w:color="1F497D"/>
            </w:tcBorders>
            <w:shd w:val="clear" w:color="000000" w:fill="D9D9D9"/>
            <w:noWrap/>
            <w:vAlign w:val="bottom"/>
            <w:hideMark/>
          </w:tcPr>
          <w:p w:rsidR="00BB5EF6" w:rsidRPr="005E7468" w:rsidRDefault="00BB5EF6" w:rsidP="00BB5EF6">
            <w:pPr>
              <w:spacing w:before="0" w:after="0"/>
              <w:jc w:val="center"/>
              <w:rPr>
                <w:rFonts w:ascii="Arial" w:hAnsi="Arial" w:cs="Arial"/>
                <w:b/>
                <w:bCs/>
                <w:sz w:val="20"/>
              </w:rPr>
            </w:pPr>
            <w:r w:rsidRPr="005E7468">
              <w:rPr>
                <w:rFonts w:ascii="Arial" w:hAnsi="Arial" w:cs="Arial"/>
                <w:b/>
                <w:bCs/>
                <w:sz w:val="20"/>
              </w:rPr>
              <w:t>3,2</w:t>
            </w:r>
          </w:p>
        </w:tc>
      </w:tr>
      <w:tr w:rsidR="00BB5EF6" w:rsidRPr="005E7468" w:rsidTr="005E7468">
        <w:trPr>
          <w:trHeight w:val="257"/>
        </w:trPr>
        <w:tc>
          <w:tcPr>
            <w:tcW w:w="1498" w:type="pct"/>
            <w:tcBorders>
              <w:top w:val="nil"/>
              <w:left w:val="single" w:sz="4" w:space="0" w:color="1F497D"/>
              <w:bottom w:val="single" w:sz="4" w:space="0" w:color="1F497D"/>
              <w:right w:val="nil"/>
            </w:tcBorders>
            <w:shd w:val="clear" w:color="000000" w:fill="DCE6F1"/>
            <w:vAlign w:val="center"/>
            <w:hideMark/>
          </w:tcPr>
          <w:p w:rsidR="00BB5EF6" w:rsidRPr="005E7468" w:rsidRDefault="00BB5EF6" w:rsidP="00BB5EF6">
            <w:pPr>
              <w:spacing w:before="0" w:after="0"/>
              <w:jc w:val="center"/>
              <w:rPr>
                <w:rFonts w:ascii="Arial" w:hAnsi="Arial" w:cs="Arial"/>
                <w:b/>
                <w:bCs/>
                <w:sz w:val="20"/>
              </w:rPr>
            </w:pPr>
            <w:r w:rsidRPr="005E7468">
              <w:rPr>
                <w:rFonts w:ascii="Arial" w:hAnsi="Arial" w:cs="Arial"/>
                <w:b/>
                <w:bCs/>
                <w:sz w:val="20"/>
              </w:rPr>
              <w:t>Track 2</w:t>
            </w:r>
          </w:p>
        </w:tc>
        <w:tc>
          <w:tcPr>
            <w:tcW w:w="467" w:type="pct"/>
            <w:tcBorders>
              <w:top w:val="nil"/>
              <w:left w:val="nil"/>
              <w:bottom w:val="single" w:sz="4" w:space="0" w:color="1F497D"/>
              <w:right w:val="nil"/>
            </w:tcBorders>
            <w:shd w:val="clear" w:color="000000" w:fill="DCE6F1"/>
            <w:vAlign w:val="center"/>
            <w:hideMark/>
          </w:tcPr>
          <w:p w:rsidR="00BB5EF6" w:rsidRPr="005E7468" w:rsidRDefault="00BB5EF6" w:rsidP="00BB5EF6">
            <w:pPr>
              <w:spacing w:before="0" w:after="0"/>
              <w:jc w:val="center"/>
              <w:rPr>
                <w:rFonts w:ascii="Arial" w:hAnsi="Arial" w:cs="Arial"/>
                <w:b/>
                <w:bCs/>
                <w:sz w:val="20"/>
              </w:rPr>
            </w:pPr>
            <w:r w:rsidRPr="005E7468">
              <w:rPr>
                <w:rFonts w:ascii="Arial" w:hAnsi="Arial" w:cs="Arial"/>
                <w:b/>
                <w:bCs/>
                <w:sz w:val="20"/>
              </w:rPr>
              <w:t> </w:t>
            </w:r>
          </w:p>
        </w:tc>
        <w:tc>
          <w:tcPr>
            <w:tcW w:w="507" w:type="pct"/>
            <w:tcBorders>
              <w:top w:val="nil"/>
              <w:left w:val="nil"/>
              <w:bottom w:val="single" w:sz="4" w:space="0" w:color="1F497D"/>
              <w:right w:val="nil"/>
            </w:tcBorders>
            <w:shd w:val="clear" w:color="000000" w:fill="DCE6F1"/>
            <w:vAlign w:val="center"/>
            <w:hideMark/>
          </w:tcPr>
          <w:p w:rsidR="00BB5EF6" w:rsidRPr="005E7468" w:rsidRDefault="00BB5EF6" w:rsidP="00BB5EF6">
            <w:pPr>
              <w:spacing w:before="0" w:after="0"/>
              <w:jc w:val="center"/>
              <w:rPr>
                <w:rFonts w:ascii="Arial" w:hAnsi="Arial" w:cs="Arial"/>
                <w:b/>
                <w:bCs/>
                <w:sz w:val="20"/>
              </w:rPr>
            </w:pPr>
            <w:r w:rsidRPr="005E7468">
              <w:rPr>
                <w:rFonts w:ascii="Arial" w:hAnsi="Arial" w:cs="Arial"/>
                <w:b/>
                <w:bCs/>
                <w:sz w:val="20"/>
              </w:rPr>
              <w:t> </w:t>
            </w:r>
          </w:p>
        </w:tc>
        <w:tc>
          <w:tcPr>
            <w:tcW w:w="487" w:type="pct"/>
            <w:tcBorders>
              <w:top w:val="nil"/>
              <w:left w:val="nil"/>
              <w:bottom w:val="single" w:sz="4" w:space="0" w:color="1F497D"/>
              <w:right w:val="nil"/>
            </w:tcBorders>
            <w:shd w:val="clear" w:color="000000" w:fill="DCE6F1"/>
            <w:vAlign w:val="center"/>
            <w:hideMark/>
          </w:tcPr>
          <w:p w:rsidR="00BB5EF6" w:rsidRPr="005E7468" w:rsidRDefault="00BB5EF6" w:rsidP="00BB5EF6">
            <w:pPr>
              <w:spacing w:before="0" w:after="0"/>
              <w:jc w:val="center"/>
              <w:rPr>
                <w:rFonts w:ascii="Arial" w:hAnsi="Arial" w:cs="Arial"/>
                <w:b/>
                <w:bCs/>
                <w:sz w:val="20"/>
              </w:rPr>
            </w:pPr>
            <w:r w:rsidRPr="005E7468">
              <w:rPr>
                <w:rFonts w:ascii="Arial" w:hAnsi="Arial" w:cs="Arial"/>
                <w:b/>
                <w:bCs/>
                <w:sz w:val="20"/>
              </w:rPr>
              <w:t> </w:t>
            </w:r>
          </w:p>
        </w:tc>
        <w:tc>
          <w:tcPr>
            <w:tcW w:w="641" w:type="pct"/>
            <w:tcBorders>
              <w:top w:val="nil"/>
              <w:left w:val="nil"/>
              <w:bottom w:val="single" w:sz="4" w:space="0" w:color="1F497D"/>
              <w:right w:val="nil"/>
            </w:tcBorders>
            <w:shd w:val="clear" w:color="000000" w:fill="DCE6F1"/>
            <w:vAlign w:val="center"/>
            <w:hideMark/>
          </w:tcPr>
          <w:p w:rsidR="00BB5EF6" w:rsidRPr="005E7468" w:rsidRDefault="00BB5EF6" w:rsidP="00BB5EF6">
            <w:pPr>
              <w:spacing w:before="0" w:after="0"/>
              <w:jc w:val="center"/>
              <w:rPr>
                <w:rFonts w:ascii="Arial" w:hAnsi="Arial" w:cs="Arial"/>
                <w:b/>
                <w:bCs/>
                <w:sz w:val="20"/>
              </w:rPr>
            </w:pPr>
            <w:r w:rsidRPr="005E7468">
              <w:rPr>
                <w:rFonts w:ascii="Arial" w:hAnsi="Arial" w:cs="Arial"/>
                <w:b/>
                <w:bCs/>
                <w:sz w:val="20"/>
              </w:rPr>
              <w:t> </w:t>
            </w:r>
          </w:p>
        </w:tc>
        <w:tc>
          <w:tcPr>
            <w:tcW w:w="352" w:type="pct"/>
            <w:tcBorders>
              <w:top w:val="nil"/>
              <w:left w:val="nil"/>
              <w:bottom w:val="single" w:sz="4" w:space="0" w:color="1F497D"/>
              <w:right w:val="nil"/>
            </w:tcBorders>
            <w:shd w:val="clear" w:color="000000" w:fill="DCE6F1"/>
            <w:vAlign w:val="center"/>
            <w:hideMark/>
          </w:tcPr>
          <w:p w:rsidR="00BB5EF6" w:rsidRPr="005E7468" w:rsidRDefault="00BB5EF6" w:rsidP="00BB5EF6">
            <w:pPr>
              <w:spacing w:before="0" w:after="0"/>
              <w:jc w:val="center"/>
              <w:rPr>
                <w:rFonts w:ascii="Arial" w:hAnsi="Arial" w:cs="Arial"/>
                <w:b/>
                <w:bCs/>
                <w:sz w:val="20"/>
              </w:rPr>
            </w:pPr>
            <w:r w:rsidRPr="005E7468">
              <w:rPr>
                <w:rFonts w:ascii="Arial" w:hAnsi="Arial" w:cs="Arial"/>
                <w:b/>
                <w:bCs/>
                <w:sz w:val="20"/>
              </w:rPr>
              <w:t> </w:t>
            </w:r>
          </w:p>
        </w:tc>
        <w:tc>
          <w:tcPr>
            <w:tcW w:w="646" w:type="pct"/>
            <w:tcBorders>
              <w:top w:val="nil"/>
              <w:left w:val="nil"/>
              <w:bottom w:val="single" w:sz="4" w:space="0" w:color="1F497D"/>
              <w:right w:val="nil"/>
            </w:tcBorders>
            <w:shd w:val="clear" w:color="000000" w:fill="DCE6F1"/>
            <w:vAlign w:val="center"/>
            <w:hideMark/>
          </w:tcPr>
          <w:p w:rsidR="00BB5EF6" w:rsidRPr="005E7468" w:rsidRDefault="00BB5EF6" w:rsidP="00BB5EF6">
            <w:pPr>
              <w:spacing w:before="0" w:after="0"/>
              <w:jc w:val="center"/>
              <w:rPr>
                <w:rFonts w:ascii="Arial" w:hAnsi="Arial" w:cs="Arial"/>
                <w:b/>
                <w:bCs/>
                <w:sz w:val="20"/>
              </w:rPr>
            </w:pPr>
            <w:r w:rsidRPr="005E7468">
              <w:rPr>
                <w:rFonts w:ascii="Arial" w:hAnsi="Arial" w:cs="Arial"/>
                <w:b/>
                <w:bCs/>
                <w:sz w:val="20"/>
              </w:rPr>
              <w:t> </w:t>
            </w:r>
          </w:p>
        </w:tc>
        <w:tc>
          <w:tcPr>
            <w:tcW w:w="402" w:type="pct"/>
            <w:tcBorders>
              <w:top w:val="nil"/>
              <w:left w:val="nil"/>
              <w:bottom w:val="single" w:sz="4" w:space="0" w:color="1F497D"/>
              <w:right w:val="single" w:sz="4" w:space="0" w:color="1F497D"/>
            </w:tcBorders>
            <w:shd w:val="clear" w:color="000000" w:fill="DCE6F1"/>
            <w:vAlign w:val="center"/>
            <w:hideMark/>
          </w:tcPr>
          <w:p w:rsidR="00BB5EF6" w:rsidRPr="005E7468" w:rsidRDefault="00BB5EF6" w:rsidP="00BB5EF6">
            <w:pPr>
              <w:spacing w:before="0" w:after="0"/>
              <w:jc w:val="center"/>
              <w:rPr>
                <w:rFonts w:ascii="Arial" w:hAnsi="Arial" w:cs="Arial"/>
                <w:b/>
                <w:bCs/>
                <w:sz w:val="20"/>
              </w:rPr>
            </w:pPr>
            <w:r w:rsidRPr="005E7468">
              <w:rPr>
                <w:rFonts w:ascii="Arial" w:hAnsi="Arial" w:cs="Arial"/>
                <w:b/>
                <w:bCs/>
                <w:sz w:val="20"/>
              </w:rPr>
              <w:t> </w:t>
            </w:r>
          </w:p>
        </w:tc>
      </w:tr>
      <w:tr w:rsidR="00BB5EF6" w:rsidRPr="005E7468" w:rsidTr="005E7468">
        <w:trPr>
          <w:trHeight w:val="257"/>
        </w:trPr>
        <w:tc>
          <w:tcPr>
            <w:tcW w:w="1498" w:type="pct"/>
            <w:tcBorders>
              <w:top w:val="nil"/>
              <w:left w:val="single" w:sz="4" w:space="0" w:color="1F497D"/>
              <w:bottom w:val="single" w:sz="4" w:space="0" w:color="1F497D"/>
              <w:right w:val="nil"/>
            </w:tcBorders>
            <w:shd w:val="clear" w:color="auto" w:fill="auto"/>
            <w:noWrap/>
            <w:vAlign w:val="bottom"/>
            <w:hideMark/>
          </w:tcPr>
          <w:p w:rsidR="00BB5EF6" w:rsidRPr="005E7468" w:rsidRDefault="00BB5EF6" w:rsidP="00BB5EF6">
            <w:pPr>
              <w:spacing w:before="0" w:after="0"/>
              <w:rPr>
                <w:rFonts w:ascii="Arial" w:hAnsi="Arial" w:cs="Arial"/>
                <w:sz w:val="20"/>
              </w:rPr>
            </w:pPr>
            <w:r w:rsidRPr="005E7468">
              <w:rPr>
                <w:rFonts w:ascii="Arial" w:hAnsi="Arial" w:cs="Arial"/>
                <w:sz w:val="20"/>
              </w:rPr>
              <w:t>DEV</w:t>
            </w:r>
          </w:p>
        </w:tc>
        <w:tc>
          <w:tcPr>
            <w:tcW w:w="467" w:type="pct"/>
            <w:tcBorders>
              <w:top w:val="nil"/>
              <w:left w:val="nil"/>
              <w:bottom w:val="single" w:sz="4" w:space="0" w:color="1F497D"/>
              <w:right w:val="nil"/>
            </w:tcBorders>
            <w:shd w:val="clear" w:color="auto" w:fill="auto"/>
            <w:noWrap/>
            <w:vAlign w:val="bottom"/>
            <w:hideMark/>
          </w:tcPr>
          <w:p w:rsidR="00BB5EF6" w:rsidRPr="005E7468" w:rsidRDefault="00BB5EF6" w:rsidP="00BB5EF6">
            <w:pPr>
              <w:spacing w:before="0" w:after="0"/>
              <w:jc w:val="center"/>
              <w:rPr>
                <w:rFonts w:ascii="Arial" w:hAnsi="Arial" w:cs="Arial"/>
                <w:sz w:val="20"/>
              </w:rPr>
            </w:pPr>
            <w:r w:rsidRPr="005E7468">
              <w:rPr>
                <w:rFonts w:ascii="Arial" w:hAnsi="Arial" w:cs="Arial"/>
                <w:sz w:val="20"/>
              </w:rPr>
              <w:t>15</w:t>
            </w:r>
          </w:p>
        </w:tc>
        <w:tc>
          <w:tcPr>
            <w:tcW w:w="507" w:type="pct"/>
            <w:tcBorders>
              <w:top w:val="nil"/>
              <w:left w:val="nil"/>
              <w:bottom w:val="single" w:sz="4" w:space="0" w:color="1F497D"/>
              <w:right w:val="nil"/>
            </w:tcBorders>
            <w:shd w:val="clear" w:color="auto" w:fill="auto"/>
            <w:noWrap/>
            <w:vAlign w:val="bottom"/>
            <w:hideMark/>
          </w:tcPr>
          <w:p w:rsidR="00BB5EF6" w:rsidRPr="005E7468" w:rsidRDefault="00BB5EF6" w:rsidP="00BB5EF6">
            <w:pPr>
              <w:spacing w:before="0" w:after="0"/>
              <w:jc w:val="center"/>
              <w:rPr>
                <w:rFonts w:ascii="Arial" w:hAnsi="Arial" w:cs="Arial"/>
                <w:sz w:val="20"/>
              </w:rPr>
            </w:pPr>
            <w:r w:rsidRPr="005E7468">
              <w:rPr>
                <w:rFonts w:ascii="Arial" w:hAnsi="Arial" w:cs="Arial"/>
                <w:sz w:val="20"/>
              </w:rPr>
              <w:t>3,1</w:t>
            </w:r>
          </w:p>
        </w:tc>
        <w:tc>
          <w:tcPr>
            <w:tcW w:w="487" w:type="pct"/>
            <w:tcBorders>
              <w:top w:val="nil"/>
              <w:left w:val="nil"/>
              <w:bottom w:val="single" w:sz="4" w:space="0" w:color="1F497D"/>
              <w:right w:val="nil"/>
            </w:tcBorders>
            <w:shd w:val="clear" w:color="auto" w:fill="auto"/>
            <w:noWrap/>
            <w:vAlign w:val="bottom"/>
            <w:hideMark/>
          </w:tcPr>
          <w:p w:rsidR="00BB5EF6" w:rsidRPr="005E7468" w:rsidRDefault="00BB5EF6" w:rsidP="00BB5EF6">
            <w:pPr>
              <w:spacing w:before="0" w:after="0"/>
              <w:jc w:val="center"/>
              <w:rPr>
                <w:rFonts w:ascii="Arial" w:hAnsi="Arial" w:cs="Arial"/>
                <w:sz w:val="20"/>
              </w:rPr>
            </w:pPr>
            <w:r w:rsidRPr="005E7468">
              <w:rPr>
                <w:rFonts w:ascii="Arial" w:hAnsi="Arial" w:cs="Arial"/>
                <w:sz w:val="20"/>
              </w:rPr>
              <w:t>2,9</w:t>
            </w:r>
          </w:p>
        </w:tc>
        <w:tc>
          <w:tcPr>
            <w:tcW w:w="641" w:type="pct"/>
            <w:tcBorders>
              <w:top w:val="nil"/>
              <w:left w:val="nil"/>
              <w:bottom w:val="single" w:sz="4" w:space="0" w:color="1F497D"/>
              <w:right w:val="nil"/>
            </w:tcBorders>
            <w:shd w:val="clear" w:color="auto" w:fill="auto"/>
            <w:noWrap/>
            <w:vAlign w:val="bottom"/>
            <w:hideMark/>
          </w:tcPr>
          <w:p w:rsidR="00BB5EF6" w:rsidRPr="005E7468" w:rsidRDefault="00BB5EF6" w:rsidP="00BB5EF6">
            <w:pPr>
              <w:spacing w:before="0" w:after="0"/>
              <w:jc w:val="center"/>
              <w:rPr>
                <w:rFonts w:ascii="Arial" w:hAnsi="Arial" w:cs="Arial"/>
                <w:sz w:val="20"/>
              </w:rPr>
            </w:pPr>
            <w:r w:rsidRPr="005E7468">
              <w:rPr>
                <w:rFonts w:ascii="Arial" w:hAnsi="Arial" w:cs="Arial"/>
                <w:sz w:val="20"/>
              </w:rPr>
              <w:t>2,8</w:t>
            </w:r>
          </w:p>
        </w:tc>
        <w:tc>
          <w:tcPr>
            <w:tcW w:w="352" w:type="pct"/>
            <w:tcBorders>
              <w:top w:val="nil"/>
              <w:left w:val="nil"/>
              <w:bottom w:val="single" w:sz="4" w:space="0" w:color="1F497D"/>
              <w:right w:val="nil"/>
            </w:tcBorders>
            <w:shd w:val="clear" w:color="auto" w:fill="auto"/>
            <w:noWrap/>
            <w:vAlign w:val="bottom"/>
            <w:hideMark/>
          </w:tcPr>
          <w:p w:rsidR="00BB5EF6" w:rsidRPr="005E7468" w:rsidRDefault="00BB5EF6" w:rsidP="00BB5EF6">
            <w:pPr>
              <w:spacing w:before="0" w:after="0"/>
              <w:jc w:val="center"/>
              <w:rPr>
                <w:rFonts w:ascii="Arial" w:hAnsi="Arial" w:cs="Arial"/>
                <w:sz w:val="20"/>
              </w:rPr>
            </w:pPr>
            <w:r w:rsidRPr="005E7468">
              <w:rPr>
                <w:rFonts w:ascii="Arial" w:hAnsi="Arial" w:cs="Arial"/>
                <w:sz w:val="20"/>
              </w:rPr>
              <w:t>2,7</w:t>
            </w:r>
          </w:p>
        </w:tc>
        <w:tc>
          <w:tcPr>
            <w:tcW w:w="646" w:type="pct"/>
            <w:tcBorders>
              <w:top w:val="nil"/>
              <w:left w:val="nil"/>
              <w:bottom w:val="single" w:sz="4" w:space="0" w:color="1F497D"/>
              <w:right w:val="nil"/>
            </w:tcBorders>
            <w:shd w:val="clear" w:color="auto" w:fill="auto"/>
            <w:noWrap/>
            <w:vAlign w:val="bottom"/>
            <w:hideMark/>
          </w:tcPr>
          <w:p w:rsidR="00BB5EF6" w:rsidRPr="005E7468" w:rsidRDefault="00BB5EF6" w:rsidP="00BB5EF6">
            <w:pPr>
              <w:spacing w:before="0" w:after="0"/>
              <w:jc w:val="center"/>
              <w:rPr>
                <w:rFonts w:ascii="Arial" w:hAnsi="Arial" w:cs="Arial"/>
                <w:sz w:val="20"/>
              </w:rPr>
            </w:pPr>
            <w:r w:rsidRPr="005E7468">
              <w:rPr>
                <w:rFonts w:ascii="Arial" w:hAnsi="Arial" w:cs="Arial"/>
                <w:sz w:val="20"/>
              </w:rPr>
              <w:t>2,7</w:t>
            </w:r>
          </w:p>
        </w:tc>
        <w:tc>
          <w:tcPr>
            <w:tcW w:w="402" w:type="pct"/>
            <w:tcBorders>
              <w:top w:val="nil"/>
              <w:left w:val="nil"/>
              <w:bottom w:val="single" w:sz="4" w:space="0" w:color="1F497D"/>
              <w:right w:val="single" w:sz="4" w:space="0" w:color="1F497D"/>
            </w:tcBorders>
            <w:shd w:val="clear" w:color="000000" w:fill="D9D9D9"/>
            <w:noWrap/>
            <w:vAlign w:val="bottom"/>
            <w:hideMark/>
          </w:tcPr>
          <w:p w:rsidR="00BB5EF6" w:rsidRPr="005E7468" w:rsidRDefault="00BB5EF6" w:rsidP="00BB5EF6">
            <w:pPr>
              <w:spacing w:before="0" w:after="0"/>
              <w:jc w:val="center"/>
              <w:rPr>
                <w:rFonts w:ascii="Arial" w:hAnsi="Arial" w:cs="Arial"/>
                <w:sz w:val="20"/>
              </w:rPr>
            </w:pPr>
            <w:r w:rsidRPr="005E7468">
              <w:rPr>
                <w:rFonts w:ascii="Arial" w:hAnsi="Arial" w:cs="Arial"/>
                <w:sz w:val="20"/>
              </w:rPr>
              <w:t>2,9</w:t>
            </w:r>
          </w:p>
        </w:tc>
      </w:tr>
      <w:tr w:rsidR="00BB5EF6" w:rsidRPr="005E7468" w:rsidTr="005E7468">
        <w:trPr>
          <w:trHeight w:val="257"/>
        </w:trPr>
        <w:tc>
          <w:tcPr>
            <w:tcW w:w="1498" w:type="pct"/>
            <w:tcBorders>
              <w:top w:val="nil"/>
              <w:left w:val="single" w:sz="4" w:space="0" w:color="1F497D"/>
              <w:bottom w:val="single" w:sz="4" w:space="0" w:color="1F497D"/>
              <w:right w:val="nil"/>
            </w:tcBorders>
            <w:shd w:val="clear" w:color="auto" w:fill="auto"/>
            <w:noWrap/>
            <w:vAlign w:val="bottom"/>
            <w:hideMark/>
          </w:tcPr>
          <w:p w:rsidR="00BB5EF6" w:rsidRPr="005E7468" w:rsidRDefault="00BB5EF6" w:rsidP="00BB5EF6">
            <w:pPr>
              <w:spacing w:before="0" w:after="0"/>
              <w:rPr>
                <w:rFonts w:ascii="Arial" w:hAnsi="Arial" w:cs="Arial"/>
                <w:sz w:val="20"/>
              </w:rPr>
            </w:pPr>
            <w:r w:rsidRPr="005E7468">
              <w:rPr>
                <w:rFonts w:ascii="Arial" w:hAnsi="Arial" w:cs="Arial"/>
                <w:sz w:val="20"/>
              </w:rPr>
              <w:t>PEGASE DEV COOP</w:t>
            </w:r>
          </w:p>
        </w:tc>
        <w:tc>
          <w:tcPr>
            <w:tcW w:w="467" w:type="pct"/>
            <w:tcBorders>
              <w:top w:val="nil"/>
              <w:left w:val="nil"/>
              <w:bottom w:val="single" w:sz="4" w:space="0" w:color="1F497D"/>
              <w:right w:val="nil"/>
            </w:tcBorders>
            <w:shd w:val="clear" w:color="auto" w:fill="auto"/>
            <w:noWrap/>
            <w:vAlign w:val="bottom"/>
            <w:hideMark/>
          </w:tcPr>
          <w:p w:rsidR="00BB5EF6" w:rsidRPr="005E7468" w:rsidRDefault="00BB5EF6" w:rsidP="00BB5EF6">
            <w:pPr>
              <w:spacing w:before="0" w:after="0"/>
              <w:jc w:val="center"/>
              <w:rPr>
                <w:rFonts w:ascii="Arial" w:hAnsi="Arial" w:cs="Arial"/>
                <w:sz w:val="20"/>
              </w:rPr>
            </w:pPr>
            <w:r w:rsidRPr="005E7468">
              <w:rPr>
                <w:rFonts w:ascii="Arial" w:hAnsi="Arial" w:cs="Arial"/>
                <w:sz w:val="20"/>
              </w:rPr>
              <w:t>18</w:t>
            </w:r>
          </w:p>
        </w:tc>
        <w:tc>
          <w:tcPr>
            <w:tcW w:w="507" w:type="pct"/>
            <w:tcBorders>
              <w:top w:val="nil"/>
              <w:left w:val="nil"/>
              <w:bottom w:val="single" w:sz="4" w:space="0" w:color="1F497D"/>
              <w:right w:val="nil"/>
            </w:tcBorders>
            <w:shd w:val="clear" w:color="auto" w:fill="auto"/>
            <w:noWrap/>
            <w:vAlign w:val="bottom"/>
            <w:hideMark/>
          </w:tcPr>
          <w:p w:rsidR="00BB5EF6" w:rsidRPr="005E7468" w:rsidRDefault="00BB5EF6" w:rsidP="00BB5EF6">
            <w:pPr>
              <w:spacing w:before="0" w:after="0"/>
              <w:jc w:val="center"/>
              <w:rPr>
                <w:rFonts w:ascii="Arial" w:hAnsi="Arial" w:cs="Arial"/>
                <w:sz w:val="20"/>
              </w:rPr>
            </w:pPr>
            <w:r w:rsidRPr="005E7468">
              <w:rPr>
                <w:rFonts w:ascii="Arial" w:hAnsi="Arial" w:cs="Arial"/>
                <w:sz w:val="20"/>
              </w:rPr>
              <w:t>2,8</w:t>
            </w:r>
          </w:p>
        </w:tc>
        <w:tc>
          <w:tcPr>
            <w:tcW w:w="487" w:type="pct"/>
            <w:tcBorders>
              <w:top w:val="nil"/>
              <w:left w:val="nil"/>
              <w:bottom w:val="single" w:sz="4" w:space="0" w:color="1F497D"/>
              <w:right w:val="nil"/>
            </w:tcBorders>
            <w:shd w:val="clear" w:color="auto" w:fill="auto"/>
            <w:noWrap/>
            <w:vAlign w:val="bottom"/>
            <w:hideMark/>
          </w:tcPr>
          <w:p w:rsidR="00BB5EF6" w:rsidRPr="005E7468" w:rsidRDefault="00BB5EF6" w:rsidP="00BB5EF6">
            <w:pPr>
              <w:spacing w:before="0" w:after="0"/>
              <w:jc w:val="center"/>
              <w:rPr>
                <w:rFonts w:ascii="Arial" w:hAnsi="Arial" w:cs="Arial"/>
                <w:sz w:val="20"/>
              </w:rPr>
            </w:pPr>
            <w:r w:rsidRPr="005E7468">
              <w:rPr>
                <w:rFonts w:ascii="Arial" w:hAnsi="Arial" w:cs="Arial"/>
                <w:sz w:val="20"/>
              </w:rPr>
              <w:t>2,7</w:t>
            </w:r>
          </w:p>
        </w:tc>
        <w:tc>
          <w:tcPr>
            <w:tcW w:w="641" w:type="pct"/>
            <w:tcBorders>
              <w:top w:val="nil"/>
              <w:left w:val="nil"/>
              <w:bottom w:val="single" w:sz="4" w:space="0" w:color="1F497D"/>
              <w:right w:val="nil"/>
            </w:tcBorders>
            <w:shd w:val="clear" w:color="auto" w:fill="auto"/>
            <w:noWrap/>
            <w:vAlign w:val="bottom"/>
            <w:hideMark/>
          </w:tcPr>
          <w:p w:rsidR="00BB5EF6" w:rsidRPr="005E7468" w:rsidRDefault="00BB5EF6" w:rsidP="00BB5EF6">
            <w:pPr>
              <w:spacing w:before="0" w:after="0"/>
              <w:jc w:val="center"/>
              <w:rPr>
                <w:rFonts w:ascii="Arial" w:hAnsi="Arial" w:cs="Arial"/>
                <w:sz w:val="20"/>
              </w:rPr>
            </w:pPr>
            <w:r w:rsidRPr="005E7468">
              <w:rPr>
                <w:rFonts w:ascii="Arial" w:hAnsi="Arial" w:cs="Arial"/>
                <w:sz w:val="20"/>
              </w:rPr>
              <w:t>2,7</w:t>
            </w:r>
          </w:p>
        </w:tc>
        <w:tc>
          <w:tcPr>
            <w:tcW w:w="352" w:type="pct"/>
            <w:tcBorders>
              <w:top w:val="nil"/>
              <w:left w:val="nil"/>
              <w:bottom w:val="single" w:sz="4" w:space="0" w:color="1F497D"/>
              <w:right w:val="nil"/>
            </w:tcBorders>
            <w:shd w:val="clear" w:color="auto" w:fill="auto"/>
            <w:noWrap/>
            <w:vAlign w:val="bottom"/>
            <w:hideMark/>
          </w:tcPr>
          <w:p w:rsidR="00BB5EF6" w:rsidRPr="005E7468" w:rsidRDefault="00BB5EF6" w:rsidP="00BB5EF6">
            <w:pPr>
              <w:spacing w:before="0" w:after="0"/>
              <w:jc w:val="center"/>
              <w:rPr>
                <w:rFonts w:ascii="Arial" w:hAnsi="Arial" w:cs="Arial"/>
                <w:sz w:val="20"/>
              </w:rPr>
            </w:pPr>
            <w:r w:rsidRPr="005E7468">
              <w:rPr>
                <w:rFonts w:ascii="Arial" w:hAnsi="Arial" w:cs="Arial"/>
                <w:sz w:val="20"/>
              </w:rPr>
              <w:t>2,8</w:t>
            </w:r>
          </w:p>
        </w:tc>
        <w:tc>
          <w:tcPr>
            <w:tcW w:w="646" w:type="pct"/>
            <w:tcBorders>
              <w:top w:val="nil"/>
              <w:left w:val="nil"/>
              <w:bottom w:val="single" w:sz="4" w:space="0" w:color="1F497D"/>
              <w:right w:val="nil"/>
            </w:tcBorders>
            <w:shd w:val="clear" w:color="auto" w:fill="auto"/>
            <w:noWrap/>
            <w:vAlign w:val="bottom"/>
            <w:hideMark/>
          </w:tcPr>
          <w:p w:rsidR="00BB5EF6" w:rsidRPr="005E7468" w:rsidRDefault="00BB5EF6" w:rsidP="00BB5EF6">
            <w:pPr>
              <w:spacing w:before="0" w:after="0"/>
              <w:jc w:val="center"/>
              <w:rPr>
                <w:rFonts w:ascii="Arial" w:hAnsi="Arial" w:cs="Arial"/>
                <w:sz w:val="20"/>
              </w:rPr>
            </w:pPr>
            <w:r w:rsidRPr="005E7468">
              <w:rPr>
                <w:rFonts w:ascii="Arial" w:hAnsi="Arial" w:cs="Arial"/>
                <w:sz w:val="20"/>
              </w:rPr>
              <w:t>2,6</w:t>
            </w:r>
          </w:p>
        </w:tc>
        <w:tc>
          <w:tcPr>
            <w:tcW w:w="402" w:type="pct"/>
            <w:tcBorders>
              <w:top w:val="nil"/>
              <w:left w:val="nil"/>
              <w:bottom w:val="single" w:sz="4" w:space="0" w:color="1F497D"/>
              <w:right w:val="single" w:sz="4" w:space="0" w:color="1F497D"/>
            </w:tcBorders>
            <w:shd w:val="clear" w:color="000000" w:fill="D9D9D9"/>
            <w:noWrap/>
            <w:vAlign w:val="bottom"/>
            <w:hideMark/>
          </w:tcPr>
          <w:p w:rsidR="00BB5EF6" w:rsidRPr="005E7468" w:rsidRDefault="00BB5EF6" w:rsidP="00BB5EF6">
            <w:pPr>
              <w:spacing w:before="0" w:after="0"/>
              <w:jc w:val="center"/>
              <w:rPr>
                <w:rFonts w:ascii="Arial" w:hAnsi="Arial" w:cs="Arial"/>
                <w:sz w:val="20"/>
              </w:rPr>
            </w:pPr>
            <w:r w:rsidRPr="005E7468">
              <w:rPr>
                <w:rFonts w:ascii="Arial" w:hAnsi="Arial" w:cs="Arial"/>
                <w:sz w:val="20"/>
              </w:rPr>
              <w:t>2,7</w:t>
            </w:r>
          </w:p>
        </w:tc>
      </w:tr>
      <w:tr w:rsidR="00BB5EF6" w:rsidRPr="005E7468" w:rsidTr="005E7468">
        <w:trPr>
          <w:trHeight w:val="257"/>
        </w:trPr>
        <w:tc>
          <w:tcPr>
            <w:tcW w:w="1498" w:type="pct"/>
            <w:tcBorders>
              <w:top w:val="nil"/>
              <w:left w:val="single" w:sz="4" w:space="0" w:color="1F497D"/>
              <w:bottom w:val="single" w:sz="4" w:space="0" w:color="1F497D"/>
              <w:right w:val="nil"/>
            </w:tcBorders>
            <w:shd w:val="clear" w:color="auto" w:fill="auto"/>
            <w:noWrap/>
            <w:vAlign w:val="bottom"/>
            <w:hideMark/>
          </w:tcPr>
          <w:p w:rsidR="00BB5EF6" w:rsidRPr="005E7468" w:rsidRDefault="00BB5EF6" w:rsidP="00BB5EF6">
            <w:pPr>
              <w:spacing w:before="0" w:after="0"/>
              <w:jc w:val="right"/>
              <w:rPr>
                <w:rFonts w:ascii="Arial" w:hAnsi="Arial" w:cs="Arial"/>
                <w:b/>
                <w:bCs/>
                <w:sz w:val="20"/>
              </w:rPr>
            </w:pPr>
            <w:r w:rsidRPr="005E7468">
              <w:rPr>
                <w:rFonts w:ascii="Arial" w:hAnsi="Arial" w:cs="Arial"/>
                <w:b/>
                <w:bCs/>
                <w:sz w:val="20"/>
              </w:rPr>
              <w:t>Total Track 2</w:t>
            </w:r>
          </w:p>
        </w:tc>
        <w:tc>
          <w:tcPr>
            <w:tcW w:w="467" w:type="pct"/>
            <w:tcBorders>
              <w:top w:val="nil"/>
              <w:left w:val="nil"/>
              <w:bottom w:val="single" w:sz="4" w:space="0" w:color="1F497D"/>
              <w:right w:val="nil"/>
            </w:tcBorders>
            <w:shd w:val="clear" w:color="auto" w:fill="auto"/>
            <w:noWrap/>
            <w:vAlign w:val="bottom"/>
            <w:hideMark/>
          </w:tcPr>
          <w:p w:rsidR="00BB5EF6" w:rsidRPr="005E7468" w:rsidRDefault="00BB5EF6" w:rsidP="00BB5EF6">
            <w:pPr>
              <w:spacing w:before="0" w:after="0"/>
              <w:jc w:val="center"/>
              <w:rPr>
                <w:rFonts w:ascii="Arial" w:hAnsi="Arial" w:cs="Arial"/>
                <w:b/>
                <w:bCs/>
                <w:sz w:val="20"/>
              </w:rPr>
            </w:pPr>
            <w:r w:rsidRPr="005E7468">
              <w:rPr>
                <w:rFonts w:ascii="Arial" w:hAnsi="Arial" w:cs="Arial"/>
                <w:b/>
                <w:bCs/>
                <w:sz w:val="20"/>
              </w:rPr>
              <w:t>33</w:t>
            </w:r>
          </w:p>
        </w:tc>
        <w:tc>
          <w:tcPr>
            <w:tcW w:w="507" w:type="pct"/>
            <w:tcBorders>
              <w:top w:val="nil"/>
              <w:left w:val="nil"/>
              <w:bottom w:val="single" w:sz="4" w:space="0" w:color="1F497D"/>
              <w:right w:val="nil"/>
            </w:tcBorders>
            <w:shd w:val="clear" w:color="auto" w:fill="auto"/>
            <w:noWrap/>
            <w:vAlign w:val="bottom"/>
            <w:hideMark/>
          </w:tcPr>
          <w:p w:rsidR="00BB5EF6" w:rsidRPr="005E7468" w:rsidRDefault="00BB5EF6" w:rsidP="00BB5EF6">
            <w:pPr>
              <w:spacing w:before="0" w:after="0"/>
              <w:jc w:val="center"/>
              <w:rPr>
                <w:rFonts w:ascii="Arial" w:hAnsi="Arial" w:cs="Arial"/>
                <w:b/>
                <w:bCs/>
                <w:sz w:val="20"/>
              </w:rPr>
            </w:pPr>
            <w:r w:rsidRPr="005E7468">
              <w:rPr>
                <w:rFonts w:ascii="Arial" w:hAnsi="Arial" w:cs="Arial"/>
                <w:b/>
                <w:bCs/>
                <w:sz w:val="20"/>
              </w:rPr>
              <w:t>3,0</w:t>
            </w:r>
          </w:p>
        </w:tc>
        <w:tc>
          <w:tcPr>
            <w:tcW w:w="487" w:type="pct"/>
            <w:tcBorders>
              <w:top w:val="nil"/>
              <w:left w:val="nil"/>
              <w:bottom w:val="single" w:sz="4" w:space="0" w:color="1F497D"/>
              <w:right w:val="nil"/>
            </w:tcBorders>
            <w:shd w:val="clear" w:color="auto" w:fill="auto"/>
            <w:noWrap/>
            <w:vAlign w:val="bottom"/>
            <w:hideMark/>
          </w:tcPr>
          <w:p w:rsidR="00BB5EF6" w:rsidRPr="005E7468" w:rsidRDefault="00BB5EF6" w:rsidP="00BB5EF6">
            <w:pPr>
              <w:spacing w:before="0" w:after="0"/>
              <w:jc w:val="center"/>
              <w:rPr>
                <w:rFonts w:ascii="Arial" w:hAnsi="Arial" w:cs="Arial"/>
                <w:b/>
                <w:bCs/>
                <w:sz w:val="20"/>
              </w:rPr>
            </w:pPr>
            <w:r w:rsidRPr="005E7468">
              <w:rPr>
                <w:rFonts w:ascii="Arial" w:hAnsi="Arial" w:cs="Arial"/>
                <w:b/>
                <w:bCs/>
                <w:sz w:val="20"/>
              </w:rPr>
              <w:t>2,8</w:t>
            </w:r>
          </w:p>
        </w:tc>
        <w:tc>
          <w:tcPr>
            <w:tcW w:w="641" w:type="pct"/>
            <w:tcBorders>
              <w:top w:val="nil"/>
              <w:left w:val="nil"/>
              <w:bottom w:val="single" w:sz="4" w:space="0" w:color="1F497D"/>
              <w:right w:val="nil"/>
            </w:tcBorders>
            <w:shd w:val="clear" w:color="auto" w:fill="auto"/>
            <w:noWrap/>
            <w:vAlign w:val="bottom"/>
            <w:hideMark/>
          </w:tcPr>
          <w:p w:rsidR="00BB5EF6" w:rsidRPr="005E7468" w:rsidRDefault="00BB5EF6" w:rsidP="00BB5EF6">
            <w:pPr>
              <w:spacing w:before="0" w:after="0"/>
              <w:jc w:val="center"/>
              <w:rPr>
                <w:rFonts w:ascii="Arial" w:hAnsi="Arial" w:cs="Arial"/>
                <w:b/>
                <w:bCs/>
                <w:sz w:val="20"/>
              </w:rPr>
            </w:pPr>
            <w:r w:rsidRPr="005E7468">
              <w:rPr>
                <w:rFonts w:ascii="Arial" w:hAnsi="Arial" w:cs="Arial"/>
                <w:b/>
                <w:bCs/>
                <w:sz w:val="20"/>
              </w:rPr>
              <w:t>2,8</w:t>
            </w:r>
          </w:p>
        </w:tc>
        <w:tc>
          <w:tcPr>
            <w:tcW w:w="352" w:type="pct"/>
            <w:tcBorders>
              <w:top w:val="nil"/>
              <w:left w:val="nil"/>
              <w:bottom w:val="single" w:sz="4" w:space="0" w:color="1F497D"/>
              <w:right w:val="nil"/>
            </w:tcBorders>
            <w:shd w:val="clear" w:color="auto" w:fill="auto"/>
            <w:noWrap/>
            <w:vAlign w:val="bottom"/>
            <w:hideMark/>
          </w:tcPr>
          <w:p w:rsidR="00BB5EF6" w:rsidRPr="005E7468" w:rsidRDefault="00BB5EF6" w:rsidP="00BB5EF6">
            <w:pPr>
              <w:spacing w:before="0" w:after="0"/>
              <w:jc w:val="center"/>
              <w:rPr>
                <w:rFonts w:ascii="Arial" w:hAnsi="Arial" w:cs="Arial"/>
                <w:b/>
                <w:bCs/>
                <w:sz w:val="20"/>
              </w:rPr>
            </w:pPr>
            <w:r w:rsidRPr="005E7468">
              <w:rPr>
                <w:rFonts w:ascii="Arial" w:hAnsi="Arial" w:cs="Arial"/>
                <w:b/>
                <w:bCs/>
                <w:sz w:val="20"/>
              </w:rPr>
              <w:t>2,8</w:t>
            </w:r>
          </w:p>
        </w:tc>
        <w:tc>
          <w:tcPr>
            <w:tcW w:w="646" w:type="pct"/>
            <w:tcBorders>
              <w:top w:val="nil"/>
              <w:left w:val="nil"/>
              <w:bottom w:val="single" w:sz="4" w:space="0" w:color="1F497D"/>
              <w:right w:val="nil"/>
            </w:tcBorders>
            <w:shd w:val="clear" w:color="auto" w:fill="auto"/>
            <w:noWrap/>
            <w:vAlign w:val="bottom"/>
            <w:hideMark/>
          </w:tcPr>
          <w:p w:rsidR="00BB5EF6" w:rsidRPr="005E7468" w:rsidRDefault="00BB5EF6" w:rsidP="00BB5EF6">
            <w:pPr>
              <w:spacing w:before="0" w:after="0"/>
              <w:jc w:val="center"/>
              <w:rPr>
                <w:rFonts w:ascii="Arial" w:hAnsi="Arial" w:cs="Arial"/>
                <w:b/>
                <w:bCs/>
                <w:sz w:val="20"/>
              </w:rPr>
            </w:pPr>
            <w:r w:rsidRPr="005E7468">
              <w:rPr>
                <w:rFonts w:ascii="Arial" w:hAnsi="Arial" w:cs="Arial"/>
                <w:b/>
                <w:bCs/>
                <w:sz w:val="20"/>
              </w:rPr>
              <w:t>2,7</w:t>
            </w:r>
          </w:p>
        </w:tc>
        <w:tc>
          <w:tcPr>
            <w:tcW w:w="402" w:type="pct"/>
            <w:tcBorders>
              <w:top w:val="nil"/>
              <w:left w:val="nil"/>
              <w:bottom w:val="single" w:sz="4" w:space="0" w:color="1F497D"/>
              <w:right w:val="single" w:sz="4" w:space="0" w:color="1F497D"/>
            </w:tcBorders>
            <w:shd w:val="clear" w:color="000000" w:fill="D9D9D9"/>
            <w:noWrap/>
            <w:vAlign w:val="bottom"/>
            <w:hideMark/>
          </w:tcPr>
          <w:p w:rsidR="00BB5EF6" w:rsidRPr="005E7468" w:rsidRDefault="00BB5EF6" w:rsidP="00BB5EF6">
            <w:pPr>
              <w:spacing w:before="0" w:after="0"/>
              <w:jc w:val="center"/>
              <w:rPr>
                <w:rFonts w:ascii="Arial" w:hAnsi="Arial" w:cs="Arial"/>
                <w:b/>
                <w:bCs/>
                <w:sz w:val="20"/>
              </w:rPr>
            </w:pPr>
            <w:r w:rsidRPr="005E7468">
              <w:rPr>
                <w:rFonts w:ascii="Arial" w:hAnsi="Arial" w:cs="Arial"/>
                <w:b/>
                <w:bCs/>
                <w:sz w:val="20"/>
              </w:rPr>
              <w:t>2,8</w:t>
            </w:r>
          </w:p>
        </w:tc>
      </w:tr>
      <w:tr w:rsidR="00BB5EF6" w:rsidRPr="005E7468" w:rsidTr="005E7468">
        <w:trPr>
          <w:trHeight w:val="257"/>
        </w:trPr>
        <w:tc>
          <w:tcPr>
            <w:tcW w:w="1498" w:type="pct"/>
            <w:tcBorders>
              <w:top w:val="nil"/>
              <w:left w:val="single" w:sz="4" w:space="0" w:color="1F497D"/>
              <w:bottom w:val="single" w:sz="4" w:space="0" w:color="1F497D"/>
              <w:right w:val="nil"/>
            </w:tcBorders>
            <w:shd w:val="clear" w:color="000000" w:fill="DCE6F1"/>
            <w:vAlign w:val="center"/>
            <w:hideMark/>
          </w:tcPr>
          <w:p w:rsidR="00BB5EF6" w:rsidRPr="005E7468" w:rsidRDefault="00BB5EF6" w:rsidP="00BB5EF6">
            <w:pPr>
              <w:spacing w:before="0" w:after="0"/>
              <w:jc w:val="center"/>
              <w:rPr>
                <w:rFonts w:ascii="Arial" w:hAnsi="Arial" w:cs="Arial"/>
                <w:b/>
                <w:bCs/>
                <w:sz w:val="20"/>
              </w:rPr>
            </w:pPr>
            <w:r w:rsidRPr="005E7468">
              <w:rPr>
                <w:rFonts w:ascii="Arial" w:hAnsi="Arial" w:cs="Arial"/>
                <w:b/>
                <w:bCs/>
                <w:sz w:val="20"/>
              </w:rPr>
              <w:t>Track 3</w:t>
            </w:r>
          </w:p>
        </w:tc>
        <w:tc>
          <w:tcPr>
            <w:tcW w:w="467" w:type="pct"/>
            <w:tcBorders>
              <w:top w:val="nil"/>
              <w:left w:val="nil"/>
              <w:bottom w:val="single" w:sz="4" w:space="0" w:color="1F497D"/>
              <w:right w:val="nil"/>
            </w:tcBorders>
            <w:shd w:val="clear" w:color="000000" w:fill="DCE6F1"/>
            <w:vAlign w:val="center"/>
            <w:hideMark/>
          </w:tcPr>
          <w:p w:rsidR="00BB5EF6" w:rsidRPr="005E7468" w:rsidRDefault="00BB5EF6" w:rsidP="00BB5EF6">
            <w:pPr>
              <w:spacing w:before="0" w:after="0"/>
              <w:jc w:val="center"/>
              <w:rPr>
                <w:rFonts w:ascii="Arial" w:hAnsi="Arial" w:cs="Arial"/>
                <w:b/>
                <w:bCs/>
                <w:sz w:val="20"/>
              </w:rPr>
            </w:pPr>
            <w:r w:rsidRPr="005E7468">
              <w:rPr>
                <w:rFonts w:ascii="Arial" w:hAnsi="Arial" w:cs="Arial"/>
                <w:b/>
                <w:bCs/>
                <w:sz w:val="20"/>
              </w:rPr>
              <w:t> </w:t>
            </w:r>
          </w:p>
        </w:tc>
        <w:tc>
          <w:tcPr>
            <w:tcW w:w="507" w:type="pct"/>
            <w:tcBorders>
              <w:top w:val="nil"/>
              <w:left w:val="nil"/>
              <w:bottom w:val="single" w:sz="4" w:space="0" w:color="1F497D"/>
              <w:right w:val="nil"/>
            </w:tcBorders>
            <w:shd w:val="clear" w:color="000000" w:fill="DCE6F1"/>
            <w:vAlign w:val="center"/>
            <w:hideMark/>
          </w:tcPr>
          <w:p w:rsidR="00BB5EF6" w:rsidRPr="005E7468" w:rsidRDefault="00BB5EF6" w:rsidP="00BB5EF6">
            <w:pPr>
              <w:spacing w:before="0" w:after="0"/>
              <w:jc w:val="center"/>
              <w:rPr>
                <w:rFonts w:ascii="Arial" w:hAnsi="Arial" w:cs="Arial"/>
                <w:b/>
                <w:bCs/>
                <w:sz w:val="20"/>
              </w:rPr>
            </w:pPr>
            <w:r w:rsidRPr="005E7468">
              <w:rPr>
                <w:rFonts w:ascii="Arial" w:hAnsi="Arial" w:cs="Arial"/>
                <w:b/>
                <w:bCs/>
                <w:sz w:val="20"/>
              </w:rPr>
              <w:t> </w:t>
            </w:r>
          </w:p>
        </w:tc>
        <w:tc>
          <w:tcPr>
            <w:tcW w:w="487" w:type="pct"/>
            <w:tcBorders>
              <w:top w:val="nil"/>
              <w:left w:val="nil"/>
              <w:bottom w:val="single" w:sz="4" w:space="0" w:color="1F497D"/>
              <w:right w:val="nil"/>
            </w:tcBorders>
            <w:shd w:val="clear" w:color="000000" w:fill="DCE6F1"/>
            <w:vAlign w:val="center"/>
            <w:hideMark/>
          </w:tcPr>
          <w:p w:rsidR="00BB5EF6" w:rsidRPr="005E7468" w:rsidRDefault="00BB5EF6" w:rsidP="00BB5EF6">
            <w:pPr>
              <w:spacing w:before="0" w:after="0"/>
              <w:jc w:val="center"/>
              <w:rPr>
                <w:rFonts w:ascii="Arial" w:hAnsi="Arial" w:cs="Arial"/>
                <w:b/>
                <w:bCs/>
                <w:sz w:val="20"/>
              </w:rPr>
            </w:pPr>
            <w:r w:rsidRPr="005E7468">
              <w:rPr>
                <w:rFonts w:ascii="Arial" w:hAnsi="Arial" w:cs="Arial"/>
                <w:b/>
                <w:bCs/>
                <w:sz w:val="20"/>
              </w:rPr>
              <w:t> </w:t>
            </w:r>
          </w:p>
        </w:tc>
        <w:tc>
          <w:tcPr>
            <w:tcW w:w="641" w:type="pct"/>
            <w:tcBorders>
              <w:top w:val="nil"/>
              <w:left w:val="nil"/>
              <w:bottom w:val="single" w:sz="4" w:space="0" w:color="1F497D"/>
              <w:right w:val="nil"/>
            </w:tcBorders>
            <w:shd w:val="clear" w:color="000000" w:fill="DCE6F1"/>
            <w:vAlign w:val="center"/>
            <w:hideMark/>
          </w:tcPr>
          <w:p w:rsidR="00BB5EF6" w:rsidRPr="005E7468" w:rsidRDefault="00BB5EF6" w:rsidP="00BB5EF6">
            <w:pPr>
              <w:spacing w:before="0" w:after="0"/>
              <w:jc w:val="center"/>
              <w:rPr>
                <w:rFonts w:ascii="Arial" w:hAnsi="Arial" w:cs="Arial"/>
                <w:b/>
                <w:bCs/>
                <w:sz w:val="20"/>
              </w:rPr>
            </w:pPr>
            <w:r w:rsidRPr="005E7468">
              <w:rPr>
                <w:rFonts w:ascii="Arial" w:hAnsi="Arial" w:cs="Arial"/>
                <w:b/>
                <w:bCs/>
                <w:sz w:val="20"/>
              </w:rPr>
              <w:t> </w:t>
            </w:r>
          </w:p>
        </w:tc>
        <w:tc>
          <w:tcPr>
            <w:tcW w:w="352" w:type="pct"/>
            <w:tcBorders>
              <w:top w:val="nil"/>
              <w:left w:val="nil"/>
              <w:bottom w:val="single" w:sz="4" w:space="0" w:color="1F497D"/>
              <w:right w:val="nil"/>
            </w:tcBorders>
            <w:shd w:val="clear" w:color="000000" w:fill="DCE6F1"/>
            <w:vAlign w:val="center"/>
            <w:hideMark/>
          </w:tcPr>
          <w:p w:rsidR="00BB5EF6" w:rsidRPr="005E7468" w:rsidRDefault="00BB5EF6" w:rsidP="00BB5EF6">
            <w:pPr>
              <w:spacing w:before="0" w:after="0"/>
              <w:jc w:val="center"/>
              <w:rPr>
                <w:rFonts w:ascii="Arial" w:hAnsi="Arial" w:cs="Arial"/>
                <w:b/>
                <w:bCs/>
                <w:sz w:val="20"/>
              </w:rPr>
            </w:pPr>
            <w:r w:rsidRPr="005E7468">
              <w:rPr>
                <w:rFonts w:ascii="Arial" w:hAnsi="Arial" w:cs="Arial"/>
                <w:b/>
                <w:bCs/>
                <w:sz w:val="20"/>
              </w:rPr>
              <w:t> </w:t>
            </w:r>
          </w:p>
        </w:tc>
        <w:tc>
          <w:tcPr>
            <w:tcW w:w="646" w:type="pct"/>
            <w:tcBorders>
              <w:top w:val="nil"/>
              <w:left w:val="nil"/>
              <w:bottom w:val="single" w:sz="4" w:space="0" w:color="1F497D"/>
              <w:right w:val="nil"/>
            </w:tcBorders>
            <w:shd w:val="clear" w:color="000000" w:fill="DCE6F1"/>
            <w:vAlign w:val="center"/>
            <w:hideMark/>
          </w:tcPr>
          <w:p w:rsidR="00BB5EF6" w:rsidRPr="005E7468" w:rsidRDefault="00BB5EF6" w:rsidP="00BB5EF6">
            <w:pPr>
              <w:spacing w:before="0" w:after="0"/>
              <w:jc w:val="center"/>
              <w:rPr>
                <w:rFonts w:ascii="Arial" w:hAnsi="Arial" w:cs="Arial"/>
                <w:b/>
                <w:bCs/>
                <w:sz w:val="20"/>
              </w:rPr>
            </w:pPr>
            <w:r w:rsidRPr="005E7468">
              <w:rPr>
                <w:rFonts w:ascii="Arial" w:hAnsi="Arial" w:cs="Arial"/>
                <w:b/>
                <w:bCs/>
                <w:sz w:val="20"/>
              </w:rPr>
              <w:t> </w:t>
            </w:r>
          </w:p>
        </w:tc>
        <w:tc>
          <w:tcPr>
            <w:tcW w:w="402" w:type="pct"/>
            <w:tcBorders>
              <w:top w:val="nil"/>
              <w:left w:val="nil"/>
              <w:bottom w:val="single" w:sz="4" w:space="0" w:color="1F497D"/>
              <w:right w:val="single" w:sz="4" w:space="0" w:color="1F497D"/>
            </w:tcBorders>
            <w:shd w:val="clear" w:color="000000" w:fill="DCE6F1"/>
            <w:vAlign w:val="center"/>
            <w:hideMark/>
          </w:tcPr>
          <w:p w:rsidR="00BB5EF6" w:rsidRPr="005E7468" w:rsidRDefault="00BB5EF6" w:rsidP="00BB5EF6">
            <w:pPr>
              <w:spacing w:before="0" w:after="0"/>
              <w:jc w:val="center"/>
              <w:rPr>
                <w:rFonts w:ascii="Arial" w:hAnsi="Arial" w:cs="Arial"/>
                <w:b/>
                <w:bCs/>
                <w:sz w:val="20"/>
              </w:rPr>
            </w:pPr>
            <w:r w:rsidRPr="005E7468">
              <w:rPr>
                <w:rFonts w:ascii="Arial" w:hAnsi="Arial" w:cs="Arial"/>
                <w:b/>
                <w:bCs/>
                <w:sz w:val="20"/>
              </w:rPr>
              <w:t> </w:t>
            </w:r>
          </w:p>
        </w:tc>
      </w:tr>
      <w:tr w:rsidR="00BB5EF6" w:rsidRPr="005E7468" w:rsidTr="005E7468">
        <w:trPr>
          <w:trHeight w:val="257"/>
        </w:trPr>
        <w:tc>
          <w:tcPr>
            <w:tcW w:w="1498" w:type="pct"/>
            <w:tcBorders>
              <w:top w:val="nil"/>
              <w:left w:val="single" w:sz="4" w:space="0" w:color="1F497D"/>
              <w:bottom w:val="single" w:sz="4" w:space="0" w:color="1F497D"/>
              <w:right w:val="nil"/>
            </w:tcBorders>
            <w:shd w:val="clear" w:color="auto" w:fill="auto"/>
            <w:noWrap/>
            <w:vAlign w:val="bottom"/>
            <w:hideMark/>
          </w:tcPr>
          <w:p w:rsidR="00BB5EF6" w:rsidRPr="005E7468" w:rsidRDefault="00BB5EF6" w:rsidP="00016443">
            <w:pPr>
              <w:spacing w:before="0" w:after="0"/>
              <w:rPr>
                <w:rFonts w:ascii="Arial" w:hAnsi="Arial" w:cs="Arial"/>
                <w:sz w:val="20"/>
              </w:rPr>
            </w:pPr>
            <w:r w:rsidRPr="005E7468">
              <w:rPr>
                <w:rFonts w:ascii="Arial" w:hAnsi="Arial" w:cs="Arial"/>
                <w:sz w:val="20"/>
              </w:rPr>
              <w:t>UNRWA</w:t>
            </w:r>
          </w:p>
        </w:tc>
        <w:tc>
          <w:tcPr>
            <w:tcW w:w="467" w:type="pct"/>
            <w:tcBorders>
              <w:top w:val="nil"/>
              <w:left w:val="nil"/>
              <w:bottom w:val="single" w:sz="4" w:space="0" w:color="1F497D"/>
              <w:right w:val="nil"/>
            </w:tcBorders>
            <w:shd w:val="clear" w:color="auto" w:fill="auto"/>
            <w:noWrap/>
            <w:vAlign w:val="bottom"/>
            <w:hideMark/>
          </w:tcPr>
          <w:p w:rsidR="00BB5EF6" w:rsidRPr="005E7468" w:rsidRDefault="00BB5EF6" w:rsidP="00016443">
            <w:pPr>
              <w:spacing w:before="0" w:after="0"/>
              <w:jc w:val="center"/>
              <w:rPr>
                <w:rFonts w:ascii="Arial" w:hAnsi="Arial" w:cs="Arial"/>
                <w:sz w:val="20"/>
              </w:rPr>
            </w:pPr>
            <w:r w:rsidRPr="005E7468">
              <w:rPr>
                <w:rFonts w:ascii="Arial" w:hAnsi="Arial" w:cs="Arial"/>
                <w:sz w:val="20"/>
              </w:rPr>
              <w:t>1</w:t>
            </w:r>
          </w:p>
        </w:tc>
        <w:tc>
          <w:tcPr>
            <w:tcW w:w="507" w:type="pct"/>
            <w:tcBorders>
              <w:top w:val="nil"/>
              <w:left w:val="nil"/>
              <w:bottom w:val="single" w:sz="4" w:space="0" w:color="1F497D"/>
              <w:right w:val="nil"/>
            </w:tcBorders>
            <w:shd w:val="clear" w:color="auto" w:fill="auto"/>
            <w:noWrap/>
            <w:vAlign w:val="bottom"/>
            <w:hideMark/>
          </w:tcPr>
          <w:p w:rsidR="00BB5EF6" w:rsidRPr="005E7468" w:rsidRDefault="00BB5EF6" w:rsidP="00016443">
            <w:pPr>
              <w:spacing w:before="0" w:after="0"/>
              <w:jc w:val="center"/>
              <w:rPr>
                <w:rFonts w:ascii="Arial" w:hAnsi="Arial" w:cs="Arial"/>
                <w:sz w:val="20"/>
              </w:rPr>
            </w:pPr>
            <w:r w:rsidRPr="005E7468">
              <w:rPr>
                <w:rFonts w:ascii="Arial" w:hAnsi="Arial" w:cs="Arial"/>
                <w:sz w:val="20"/>
              </w:rPr>
              <w:t>3,0</w:t>
            </w:r>
          </w:p>
        </w:tc>
        <w:tc>
          <w:tcPr>
            <w:tcW w:w="487" w:type="pct"/>
            <w:tcBorders>
              <w:top w:val="nil"/>
              <w:left w:val="nil"/>
              <w:bottom w:val="single" w:sz="4" w:space="0" w:color="1F497D"/>
              <w:right w:val="nil"/>
            </w:tcBorders>
            <w:shd w:val="clear" w:color="auto" w:fill="auto"/>
            <w:noWrap/>
            <w:vAlign w:val="bottom"/>
            <w:hideMark/>
          </w:tcPr>
          <w:p w:rsidR="00BB5EF6" w:rsidRPr="005E7468" w:rsidRDefault="00BB5EF6" w:rsidP="00016443">
            <w:pPr>
              <w:spacing w:before="0" w:after="0"/>
              <w:jc w:val="center"/>
              <w:rPr>
                <w:rFonts w:ascii="Arial" w:hAnsi="Arial" w:cs="Arial"/>
                <w:sz w:val="20"/>
              </w:rPr>
            </w:pPr>
            <w:r w:rsidRPr="005E7468">
              <w:rPr>
                <w:rFonts w:ascii="Arial" w:hAnsi="Arial" w:cs="Arial"/>
                <w:sz w:val="20"/>
              </w:rPr>
              <w:t>4,0</w:t>
            </w:r>
          </w:p>
        </w:tc>
        <w:tc>
          <w:tcPr>
            <w:tcW w:w="641" w:type="pct"/>
            <w:tcBorders>
              <w:top w:val="nil"/>
              <w:left w:val="nil"/>
              <w:bottom w:val="single" w:sz="4" w:space="0" w:color="1F497D"/>
              <w:right w:val="nil"/>
            </w:tcBorders>
            <w:shd w:val="clear" w:color="auto" w:fill="auto"/>
            <w:noWrap/>
            <w:vAlign w:val="bottom"/>
            <w:hideMark/>
          </w:tcPr>
          <w:p w:rsidR="00BB5EF6" w:rsidRPr="005E7468" w:rsidRDefault="00BB5EF6" w:rsidP="00016443">
            <w:pPr>
              <w:spacing w:before="0" w:after="0"/>
              <w:jc w:val="center"/>
              <w:rPr>
                <w:rFonts w:ascii="Arial" w:hAnsi="Arial" w:cs="Arial"/>
                <w:sz w:val="20"/>
              </w:rPr>
            </w:pPr>
            <w:r w:rsidRPr="005E7468">
              <w:rPr>
                <w:rFonts w:ascii="Arial" w:hAnsi="Arial" w:cs="Arial"/>
                <w:sz w:val="20"/>
              </w:rPr>
              <w:t>3,0</w:t>
            </w:r>
          </w:p>
        </w:tc>
        <w:tc>
          <w:tcPr>
            <w:tcW w:w="352" w:type="pct"/>
            <w:tcBorders>
              <w:top w:val="nil"/>
              <w:left w:val="nil"/>
              <w:bottom w:val="single" w:sz="4" w:space="0" w:color="1F497D"/>
              <w:right w:val="nil"/>
            </w:tcBorders>
            <w:shd w:val="clear" w:color="auto" w:fill="auto"/>
            <w:noWrap/>
            <w:vAlign w:val="bottom"/>
            <w:hideMark/>
          </w:tcPr>
          <w:p w:rsidR="00BB5EF6" w:rsidRPr="005E7468" w:rsidRDefault="00BB5EF6" w:rsidP="00016443">
            <w:pPr>
              <w:spacing w:before="0" w:after="0"/>
              <w:jc w:val="center"/>
              <w:rPr>
                <w:rFonts w:ascii="Arial" w:hAnsi="Arial" w:cs="Arial"/>
                <w:sz w:val="20"/>
              </w:rPr>
            </w:pPr>
            <w:r w:rsidRPr="005E7468">
              <w:rPr>
                <w:rFonts w:ascii="Arial" w:hAnsi="Arial" w:cs="Arial"/>
                <w:sz w:val="20"/>
              </w:rPr>
              <w:t>4,0</w:t>
            </w:r>
          </w:p>
        </w:tc>
        <w:tc>
          <w:tcPr>
            <w:tcW w:w="646" w:type="pct"/>
            <w:tcBorders>
              <w:top w:val="nil"/>
              <w:left w:val="nil"/>
              <w:bottom w:val="single" w:sz="4" w:space="0" w:color="1F497D"/>
              <w:right w:val="nil"/>
            </w:tcBorders>
            <w:shd w:val="clear" w:color="auto" w:fill="auto"/>
            <w:noWrap/>
            <w:vAlign w:val="bottom"/>
            <w:hideMark/>
          </w:tcPr>
          <w:p w:rsidR="00BB5EF6" w:rsidRPr="005E7468" w:rsidRDefault="00BB5EF6" w:rsidP="00016443">
            <w:pPr>
              <w:spacing w:before="0" w:after="0"/>
              <w:jc w:val="center"/>
              <w:rPr>
                <w:rFonts w:ascii="Arial" w:hAnsi="Arial" w:cs="Arial"/>
                <w:sz w:val="20"/>
              </w:rPr>
            </w:pPr>
            <w:r w:rsidRPr="005E7468">
              <w:rPr>
                <w:rFonts w:ascii="Arial" w:hAnsi="Arial" w:cs="Arial"/>
                <w:sz w:val="20"/>
              </w:rPr>
              <w:t>2,0</w:t>
            </w:r>
          </w:p>
        </w:tc>
        <w:tc>
          <w:tcPr>
            <w:tcW w:w="402" w:type="pct"/>
            <w:tcBorders>
              <w:top w:val="nil"/>
              <w:left w:val="nil"/>
              <w:bottom w:val="single" w:sz="4" w:space="0" w:color="1F497D"/>
              <w:right w:val="single" w:sz="4" w:space="0" w:color="1F497D"/>
            </w:tcBorders>
            <w:shd w:val="clear" w:color="000000" w:fill="D9D9D9"/>
            <w:noWrap/>
            <w:vAlign w:val="bottom"/>
            <w:hideMark/>
          </w:tcPr>
          <w:p w:rsidR="00BB5EF6" w:rsidRPr="005E7468" w:rsidRDefault="00BB5EF6" w:rsidP="00016443">
            <w:pPr>
              <w:spacing w:before="0" w:after="0"/>
              <w:jc w:val="center"/>
              <w:rPr>
                <w:rFonts w:ascii="Arial" w:hAnsi="Arial" w:cs="Arial"/>
                <w:sz w:val="20"/>
              </w:rPr>
            </w:pPr>
            <w:r w:rsidRPr="005E7468">
              <w:rPr>
                <w:rFonts w:ascii="Arial" w:hAnsi="Arial" w:cs="Arial"/>
                <w:sz w:val="20"/>
              </w:rPr>
              <w:t>3,2</w:t>
            </w:r>
          </w:p>
        </w:tc>
      </w:tr>
      <w:tr w:rsidR="00BB5EF6" w:rsidRPr="005E7468" w:rsidTr="005E7468">
        <w:trPr>
          <w:trHeight w:val="257"/>
        </w:trPr>
        <w:tc>
          <w:tcPr>
            <w:tcW w:w="1498" w:type="pct"/>
            <w:tcBorders>
              <w:top w:val="nil"/>
              <w:left w:val="single" w:sz="4" w:space="0" w:color="1F497D"/>
              <w:bottom w:val="single" w:sz="4" w:space="0" w:color="1F497D"/>
              <w:right w:val="nil"/>
            </w:tcBorders>
            <w:shd w:val="clear" w:color="auto" w:fill="auto"/>
            <w:noWrap/>
            <w:vAlign w:val="bottom"/>
            <w:hideMark/>
          </w:tcPr>
          <w:p w:rsidR="00BB5EF6" w:rsidRPr="005E7468" w:rsidRDefault="00BB5EF6" w:rsidP="00016443">
            <w:pPr>
              <w:spacing w:before="0" w:after="0"/>
              <w:jc w:val="right"/>
              <w:rPr>
                <w:rFonts w:ascii="Arial" w:hAnsi="Arial" w:cs="Arial"/>
                <w:b/>
                <w:bCs/>
                <w:sz w:val="20"/>
              </w:rPr>
            </w:pPr>
            <w:r w:rsidRPr="005E7468">
              <w:rPr>
                <w:rFonts w:ascii="Arial" w:hAnsi="Arial" w:cs="Arial"/>
                <w:b/>
                <w:bCs/>
                <w:sz w:val="20"/>
              </w:rPr>
              <w:t>Total Track 3</w:t>
            </w:r>
          </w:p>
        </w:tc>
        <w:tc>
          <w:tcPr>
            <w:tcW w:w="467" w:type="pct"/>
            <w:tcBorders>
              <w:top w:val="nil"/>
              <w:left w:val="nil"/>
              <w:bottom w:val="single" w:sz="4" w:space="0" w:color="1F497D"/>
              <w:right w:val="nil"/>
            </w:tcBorders>
            <w:shd w:val="clear" w:color="auto" w:fill="auto"/>
            <w:noWrap/>
            <w:vAlign w:val="bottom"/>
            <w:hideMark/>
          </w:tcPr>
          <w:p w:rsidR="00BB5EF6" w:rsidRPr="005E7468" w:rsidRDefault="00BB5EF6" w:rsidP="00016443">
            <w:pPr>
              <w:spacing w:before="0" w:after="0"/>
              <w:jc w:val="center"/>
              <w:rPr>
                <w:rFonts w:ascii="Arial" w:hAnsi="Arial" w:cs="Arial"/>
                <w:b/>
                <w:bCs/>
                <w:sz w:val="20"/>
              </w:rPr>
            </w:pPr>
            <w:r w:rsidRPr="005E7468">
              <w:rPr>
                <w:rFonts w:ascii="Arial" w:hAnsi="Arial" w:cs="Arial"/>
                <w:b/>
                <w:bCs/>
                <w:sz w:val="20"/>
              </w:rPr>
              <w:t>1</w:t>
            </w:r>
          </w:p>
        </w:tc>
        <w:tc>
          <w:tcPr>
            <w:tcW w:w="507" w:type="pct"/>
            <w:tcBorders>
              <w:top w:val="nil"/>
              <w:left w:val="nil"/>
              <w:bottom w:val="single" w:sz="4" w:space="0" w:color="1F497D"/>
              <w:right w:val="nil"/>
            </w:tcBorders>
            <w:shd w:val="clear" w:color="auto" w:fill="auto"/>
            <w:noWrap/>
            <w:vAlign w:val="bottom"/>
            <w:hideMark/>
          </w:tcPr>
          <w:p w:rsidR="00BB5EF6" w:rsidRPr="005E7468" w:rsidRDefault="00BB5EF6" w:rsidP="00016443">
            <w:pPr>
              <w:spacing w:before="0" w:after="0"/>
              <w:jc w:val="center"/>
              <w:rPr>
                <w:rFonts w:ascii="Arial" w:hAnsi="Arial" w:cs="Arial"/>
                <w:b/>
                <w:bCs/>
                <w:sz w:val="20"/>
              </w:rPr>
            </w:pPr>
            <w:r w:rsidRPr="005E7468">
              <w:rPr>
                <w:rFonts w:ascii="Arial" w:hAnsi="Arial" w:cs="Arial"/>
                <w:b/>
                <w:bCs/>
                <w:sz w:val="20"/>
              </w:rPr>
              <w:t>3,0</w:t>
            </w:r>
          </w:p>
        </w:tc>
        <w:tc>
          <w:tcPr>
            <w:tcW w:w="487" w:type="pct"/>
            <w:tcBorders>
              <w:top w:val="nil"/>
              <w:left w:val="nil"/>
              <w:bottom w:val="single" w:sz="4" w:space="0" w:color="1F497D"/>
              <w:right w:val="nil"/>
            </w:tcBorders>
            <w:shd w:val="clear" w:color="auto" w:fill="auto"/>
            <w:noWrap/>
            <w:vAlign w:val="bottom"/>
            <w:hideMark/>
          </w:tcPr>
          <w:p w:rsidR="00BB5EF6" w:rsidRPr="005E7468" w:rsidRDefault="00BB5EF6" w:rsidP="00016443">
            <w:pPr>
              <w:spacing w:before="0" w:after="0"/>
              <w:jc w:val="center"/>
              <w:rPr>
                <w:rFonts w:ascii="Arial" w:hAnsi="Arial" w:cs="Arial"/>
                <w:b/>
                <w:bCs/>
                <w:sz w:val="20"/>
              </w:rPr>
            </w:pPr>
            <w:r w:rsidRPr="005E7468">
              <w:rPr>
                <w:rFonts w:ascii="Arial" w:hAnsi="Arial" w:cs="Arial"/>
                <w:b/>
                <w:bCs/>
                <w:sz w:val="20"/>
              </w:rPr>
              <w:t>4,0</w:t>
            </w:r>
          </w:p>
        </w:tc>
        <w:tc>
          <w:tcPr>
            <w:tcW w:w="641" w:type="pct"/>
            <w:tcBorders>
              <w:top w:val="nil"/>
              <w:left w:val="nil"/>
              <w:bottom w:val="single" w:sz="4" w:space="0" w:color="1F497D"/>
              <w:right w:val="nil"/>
            </w:tcBorders>
            <w:shd w:val="clear" w:color="auto" w:fill="auto"/>
            <w:noWrap/>
            <w:vAlign w:val="bottom"/>
            <w:hideMark/>
          </w:tcPr>
          <w:p w:rsidR="00BB5EF6" w:rsidRPr="005E7468" w:rsidRDefault="00BB5EF6" w:rsidP="00016443">
            <w:pPr>
              <w:spacing w:before="0" w:after="0"/>
              <w:jc w:val="center"/>
              <w:rPr>
                <w:rFonts w:ascii="Arial" w:hAnsi="Arial" w:cs="Arial"/>
                <w:b/>
                <w:bCs/>
                <w:sz w:val="20"/>
              </w:rPr>
            </w:pPr>
            <w:r w:rsidRPr="005E7468">
              <w:rPr>
                <w:rFonts w:ascii="Arial" w:hAnsi="Arial" w:cs="Arial"/>
                <w:b/>
                <w:bCs/>
                <w:sz w:val="20"/>
              </w:rPr>
              <w:t>3,0</w:t>
            </w:r>
          </w:p>
        </w:tc>
        <w:tc>
          <w:tcPr>
            <w:tcW w:w="352" w:type="pct"/>
            <w:tcBorders>
              <w:top w:val="nil"/>
              <w:left w:val="nil"/>
              <w:bottom w:val="single" w:sz="4" w:space="0" w:color="1F497D"/>
              <w:right w:val="nil"/>
            </w:tcBorders>
            <w:shd w:val="clear" w:color="auto" w:fill="auto"/>
            <w:noWrap/>
            <w:vAlign w:val="bottom"/>
            <w:hideMark/>
          </w:tcPr>
          <w:p w:rsidR="00BB5EF6" w:rsidRPr="005E7468" w:rsidRDefault="00BB5EF6" w:rsidP="00016443">
            <w:pPr>
              <w:spacing w:before="0" w:after="0"/>
              <w:jc w:val="center"/>
              <w:rPr>
                <w:rFonts w:ascii="Arial" w:hAnsi="Arial" w:cs="Arial"/>
                <w:b/>
                <w:bCs/>
                <w:sz w:val="20"/>
              </w:rPr>
            </w:pPr>
            <w:r w:rsidRPr="005E7468">
              <w:rPr>
                <w:rFonts w:ascii="Arial" w:hAnsi="Arial" w:cs="Arial"/>
                <w:b/>
                <w:bCs/>
                <w:sz w:val="20"/>
              </w:rPr>
              <w:t>4,0</w:t>
            </w:r>
          </w:p>
        </w:tc>
        <w:tc>
          <w:tcPr>
            <w:tcW w:w="646" w:type="pct"/>
            <w:tcBorders>
              <w:top w:val="nil"/>
              <w:left w:val="nil"/>
              <w:bottom w:val="single" w:sz="4" w:space="0" w:color="1F497D"/>
              <w:right w:val="nil"/>
            </w:tcBorders>
            <w:shd w:val="clear" w:color="auto" w:fill="auto"/>
            <w:noWrap/>
            <w:vAlign w:val="bottom"/>
            <w:hideMark/>
          </w:tcPr>
          <w:p w:rsidR="00BB5EF6" w:rsidRPr="005E7468" w:rsidRDefault="00BB5EF6" w:rsidP="00016443">
            <w:pPr>
              <w:spacing w:before="0" w:after="0"/>
              <w:jc w:val="center"/>
              <w:rPr>
                <w:rFonts w:ascii="Arial" w:hAnsi="Arial" w:cs="Arial"/>
                <w:b/>
                <w:bCs/>
                <w:sz w:val="20"/>
              </w:rPr>
            </w:pPr>
            <w:r w:rsidRPr="005E7468">
              <w:rPr>
                <w:rFonts w:ascii="Arial" w:hAnsi="Arial" w:cs="Arial"/>
                <w:b/>
                <w:bCs/>
                <w:sz w:val="20"/>
              </w:rPr>
              <w:t>2,0</w:t>
            </w:r>
          </w:p>
        </w:tc>
        <w:tc>
          <w:tcPr>
            <w:tcW w:w="402" w:type="pct"/>
            <w:tcBorders>
              <w:top w:val="nil"/>
              <w:left w:val="nil"/>
              <w:bottom w:val="single" w:sz="4" w:space="0" w:color="1F497D"/>
              <w:right w:val="single" w:sz="4" w:space="0" w:color="1F497D"/>
            </w:tcBorders>
            <w:shd w:val="clear" w:color="000000" w:fill="D9D9D9"/>
            <w:noWrap/>
            <w:vAlign w:val="bottom"/>
            <w:hideMark/>
          </w:tcPr>
          <w:p w:rsidR="00BB5EF6" w:rsidRPr="005E7468" w:rsidRDefault="00BB5EF6" w:rsidP="00016443">
            <w:pPr>
              <w:spacing w:before="0" w:after="0"/>
              <w:jc w:val="center"/>
              <w:rPr>
                <w:rFonts w:ascii="Arial" w:hAnsi="Arial" w:cs="Arial"/>
                <w:b/>
                <w:bCs/>
                <w:sz w:val="20"/>
              </w:rPr>
            </w:pPr>
            <w:r w:rsidRPr="005E7468">
              <w:rPr>
                <w:rFonts w:ascii="Arial" w:hAnsi="Arial" w:cs="Arial"/>
                <w:b/>
                <w:bCs/>
                <w:sz w:val="20"/>
              </w:rPr>
              <w:t>3,2</w:t>
            </w:r>
          </w:p>
        </w:tc>
      </w:tr>
      <w:tr w:rsidR="00BB5EF6" w:rsidRPr="005E7468" w:rsidTr="005E7468">
        <w:trPr>
          <w:trHeight w:val="257"/>
        </w:trPr>
        <w:tc>
          <w:tcPr>
            <w:tcW w:w="1498" w:type="pct"/>
            <w:tcBorders>
              <w:top w:val="nil"/>
              <w:left w:val="single" w:sz="4" w:space="0" w:color="1F497D"/>
              <w:bottom w:val="single" w:sz="4" w:space="0" w:color="1F497D"/>
              <w:right w:val="nil"/>
            </w:tcBorders>
            <w:shd w:val="clear" w:color="auto" w:fill="808080" w:themeFill="background1" w:themeFillShade="80"/>
            <w:noWrap/>
            <w:vAlign w:val="center"/>
            <w:hideMark/>
          </w:tcPr>
          <w:p w:rsidR="00BB5EF6" w:rsidRPr="005E7468" w:rsidRDefault="00BB5EF6" w:rsidP="00016443">
            <w:pPr>
              <w:spacing w:before="0" w:after="0"/>
              <w:jc w:val="center"/>
              <w:rPr>
                <w:rFonts w:ascii="Arial" w:hAnsi="Arial" w:cs="Arial"/>
                <w:b/>
                <w:bCs/>
                <w:color w:val="FFFFFF" w:themeColor="background1"/>
                <w:sz w:val="20"/>
              </w:rPr>
            </w:pPr>
            <w:r w:rsidRPr="005E7468">
              <w:rPr>
                <w:rFonts w:ascii="Arial" w:hAnsi="Arial" w:cs="Arial"/>
                <w:b/>
                <w:bCs/>
                <w:color w:val="FFFFFF" w:themeColor="background1"/>
                <w:sz w:val="20"/>
              </w:rPr>
              <w:t>Total</w:t>
            </w:r>
          </w:p>
        </w:tc>
        <w:tc>
          <w:tcPr>
            <w:tcW w:w="467" w:type="pct"/>
            <w:tcBorders>
              <w:top w:val="nil"/>
              <w:left w:val="nil"/>
              <w:bottom w:val="single" w:sz="4" w:space="0" w:color="1F497D"/>
              <w:right w:val="nil"/>
            </w:tcBorders>
            <w:shd w:val="clear" w:color="auto" w:fill="808080" w:themeFill="background1" w:themeFillShade="80"/>
            <w:noWrap/>
            <w:vAlign w:val="center"/>
            <w:hideMark/>
          </w:tcPr>
          <w:p w:rsidR="00BB5EF6" w:rsidRPr="005E7468" w:rsidRDefault="00BB5EF6" w:rsidP="00016443">
            <w:pPr>
              <w:spacing w:before="0" w:after="0"/>
              <w:jc w:val="center"/>
              <w:rPr>
                <w:rFonts w:ascii="Arial" w:hAnsi="Arial" w:cs="Arial"/>
                <w:b/>
                <w:bCs/>
                <w:color w:val="FFFFFF" w:themeColor="background1"/>
                <w:sz w:val="20"/>
              </w:rPr>
            </w:pPr>
            <w:r w:rsidRPr="005E7468">
              <w:rPr>
                <w:rFonts w:ascii="Arial" w:hAnsi="Arial" w:cs="Arial"/>
                <w:b/>
                <w:bCs/>
                <w:color w:val="FFFFFF" w:themeColor="background1"/>
                <w:sz w:val="20"/>
              </w:rPr>
              <w:t>36</w:t>
            </w:r>
          </w:p>
        </w:tc>
        <w:tc>
          <w:tcPr>
            <w:tcW w:w="507" w:type="pct"/>
            <w:tcBorders>
              <w:top w:val="nil"/>
              <w:left w:val="nil"/>
              <w:bottom w:val="single" w:sz="4" w:space="0" w:color="1F497D"/>
              <w:right w:val="nil"/>
            </w:tcBorders>
            <w:shd w:val="clear" w:color="auto" w:fill="808080" w:themeFill="background1" w:themeFillShade="80"/>
            <w:noWrap/>
            <w:vAlign w:val="center"/>
            <w:hideMark/>
          </w:tcPr>
          <w:p w:rsidR="00BB5EF6" w:rsidRPr="005E7468" w:rsidRDefault="00BB5EF6" w:rsidP="00016443">
            <w:pPr>
              <w:spacing w:before="0" w:after="0"/>
              <w:jc w:val="center"/>
              <w:rPr>
                <w:rFonts w:ascii="Arial" w:hAnsi="Arial" w:cs="Arial"/>
                <w:b/>
                <w:bCs/>
                <w:color w:val="FFFFFF" w:themeColor="background1"/>
                <w:sz w:val="20"/>
              </w:rPr>
            </w:pPr>
            <w:r w:rsidRPr="005E7468">
              <w:rPr>
                <w:rFonts w:ascii="Arial" w:hAnsi="Arial" w:cs="Arial"/>
                <w:b/>
                <w:bCs/>
                <w:color w:val="FFFFFF" w:themeColor="background1"/>
                <w:sz w:val="20"/>
              </w:rPr>
              <w:t>3,0</w:t>
            </w:r>
          </w:p>
        </w:tc>
        <w:tc>
          <w:tcPr>
            <w:tcW w:w="487" w:type="pct"/>
            <w:tcBorders>
              <w:top w:val="nil"/>
              <w:left w:val="nil"/>
              <w:bottom w:val="single" w:sz="4" w:space="0" w:color="1F497D"/>
              <w:right w:val="nil"/>
            </w:tcBorders>
            <w:shd w:val="clear" w:color="auto" w:fill="808080" w:themeFill="background1" w:themeFillShade="80"/>
            <w:noWrap/>
            <w:vAlign w:val="center"/>
            <w:hideMark/>
          </w:tcPr>
          <w:p w:rsidR="00BB5EF6" w:rsidRPr="005E7468" w:rsidRDefault="00BB5EF6" w:rsidP="00016443">
            <w:pPr>
              <w:spacing w:before="0" w:after="0"/>
              <w:jc w:val="center"/>
              <w:rPr>
                <w:rFonts w:ascii="Arial" w:hAnsi="Arial" w:cs="Arial"/>
                <w:b/>
                <w:bCs/>
                <w:color w:val="FFFFFF" w:themeColor="background1"/>
                <w:sz w:val="20"/>
              </w:rPr>
            </w:pPr>
            <w:r w:rsidRPr="005E7468">
              <w:rPr>
                <w:rFonts w:ascii="Arial" w:hAnsi="Arial" w:cs="Arial"/>
                <w:b/>
                <w:bCs/>
                <w:color w:val="FFFFFF" w:themeColor="background1"/>
                <w:sz w:val="20"/>
              </w:rPr>
              <w:t>2,9</w:t>
            </w:r>
          </w:p>
        </w:tc>
        <w:tc>
          <w:tcPr>
            <w:tcW w:w="641" w:type="pct"/>
            <w:tcBorders>
              <w:top w:val="nil"/>
              <w:left w:val="nil"/>
              <w:bottom w:val="single" w:sz="4" w:space="0" w:color="1F497D"/>
              <w:right w:val="nil"/>
            </w:tcBorders>
            <w:shd w:val="clear" w:color="auto" w:fill="808080" w:themeFill="background1" w:themeFillShade="80"/>
            <w:noWrap/>
            <w:vAlign w:val="center"/>
            <w:hideMark/>
          </w:tcPr>
          <w:p w:rsidR="00BB5EF6" w:rsidRPr="005E7468" w:rsidRDefault="00BB5EF6" w:rsidP="00016443">
            <w:pPr>
              <w:spacing w:before="0" w:after="0"/>
              <w:jc w:val="center"/>
              <w:rPr>
                <w:rFonts w:ascii="Arial" w:hAnsi="Arial" w:cs="Arial"/>
                <w:b/>
                <w:bCs/>
                <w:color w:val="FFFFFF" w:themeColor="background1"/>
                <w:sz w:val="20"/>
              </w:rPr>
            </w:pPr>
            <w:r w:rsidRPr="005E7468">
              <w:rPr>
                <w:rFonts w:ascii="Arial" w:hAnsi="Arial" w:cs="Arial"/>
                <w:b/>
                <w:bCs/>
                <w:color w:val="FFFFFF" w:themeColor="background1"/>
                <w:sz w:val="20"/>
              </w:rPr>
              <w:t>2,8</w:t>
            </w:r>
          </w:p>
        </w:tc>
        <w:tc>
          <w:tcPr>
            <w:tcW w:w="352" w:type="pct"/>
            <w:tcBorders>
              <w:top w:val="nil"/>
              <w:left w:val="nil"/>
              <w:bottom w:val="single" w:sz="4" w:space="0" w:color="1F497D"/>
              <w:right w:val="nil"/>
            </w:tcBorders>
            <w:shd w:val="clear" w:color="auto" w:fill="808080" w:themeFill="background1" w:themeFillShade="80"/>
            <w:noWrap/>
            <w:vAlign w:val="center"/>
            <w:hideMark/>
          </w:tcPr>
          <w:p w:rsidR="00BB5EF6" w:rsidRPr="005E7468" w:rsidRDefault="00BB5EF6" w:rsidP="00016443">
            <w:pPr>
              <w:spacing w:before="0" w:after="0"/>
              <w:jc w:val="center"/>
              <w:rPr>
                <w:rFonts w:ascii="Arial" w:hAnsi="Arial" w:cs="Arial"/>
                <w:b/>
                <w:bCs/>
                <w:color w:val="FFFFFF" w:themeColor="background1"/>
                <w:sz w:val="20"/>
              </w:rPr>
            </w:pPr>
            <w:r w:rsidRPr="005E7468">
              <w:rPr>
                <w:rFonts w:ascii="Arial" w:hAnsi="Arial" w:cs="Arial"/>
                <w:b/>
                <w:bCs/>
                <w:color w:val="FFFFFF" w:themeColor="background1"/>
                <w:sz w:val="20"/>
              </w:rPr>
              <w:t>2,9</w:t>
            </w:r>
          </w:p>
        </w:tc>
        <w:tc>
          <w:tcPr>
            <w:tcW w:w="646" w:type="pct"/>
            <w:tcBorders>
              <w:top w:val="nil"/>
              <w:left w:val="nil"/>
              <w:bottom w:val="single" w:sz="4" w:space="0" w:color="1F497D"/>
              <w:right w:val="nil"/>
            </w:tcBorders>
            <w:shd w:val="clear" w:color="auto" w:fill="808080" w:themeFill="background1" w:themeFillShade="80"/>
            <w:noWrap/>
            <w:vAlign w:val="center"/>
            <w:hideMark/>
          </w:tcPr>
          <w:p w:rsidR="00BB5EF6" w:rsidRPr="005E7468" w:rsidRDefault="00BB5EF6" w:rsidP="00016443">
            <w:pPr>
              <w:spacing w:before="0" w:after="0"/>
              <w:jc w:val="center"/>
              <w:rPr>
                <w:rFonts w:ascii="Arial" w:hAnsi="Arial" w:cs="Arial"/>
                <w:b/>
                <w:bCs/>
                <w:color w:val="FFFFFF" w:themeColor="background1"/>
                <w:sz w:val="20"/>
              </w:rPr>
            </w:pPr>
            <w:r w:rsidRPr="005E7468">
              <w:rPr>
                <w:rFonts w:ascii="Arial" w:hAnsi="Arial" w:cs="Arial"/>
                <w:b/>
                <w:bCs/>
                <w:color w:val="FFFFFF" w:themeColor="background1"/>
                <w:sz w:val="20"/>
              </w:rPr>
              <w:t>2,7</w:t>
            </w:r>
          </w:p>
        </w:tc>
        <w:tc>
          <w:tcPr>
            <w:tcW w:w="402" w:type="pct"/>
            <w:tcBorders>
              <w:top w:val="nil"/>
              <w:left w:val="nil"/>
              <w:bottom w:val="single" w:sz="4" w:space="0" w:color="1F497D"/>
              <w:right w:val="single" w:sz="4" w:space="0" w:color="1F497D"/>
            </w:tcBorders>
            <w:shd w:val="clear" w:color="auto" w:fill="4F81BD" w:themeFill="accent1"/>
            <w:noWrap/>
            <w:vAlign w:val="center"/>
            <w:hideMark/>
          </w:tcPr>
          <w:p w:rsidR="00BB5EF6" w:rsidRPr="005E7468" w:rsidRDefault="00BB5EF6" w:rsidP="00016443">
            <w:pPr>
              <w:spacing w:before="0" w:after="0"/>
              <w:jc w:val="center"/>
              <w:rPr>
                <w:rFonts w:ascii="Arial" w:hAnsi="Arial" w:cs="Arial"/>
                <w:b/>
                <w:bCs/>
                <w:color w:val="FFFFFF" w:themeColor="background1"/>
                <w:sz w:val="20"/>
              </w:rPr>
            </w:pPr>
            <w:r w:rsidRPr="005E7468">
              <w:rPr>
                <w:rFonts w:ascii="Arial" w:hAnsi="Arial" w:cs="Arial"/>
                <w:b/>
                <w:bCs/>
                <w:color w:val="FFFFFF" w:themeColor="background1"/>
                <w:sz w:val="20"/>
              </w:rPr>
              <w:t>2,8</w:t>
            </w:r>
          </w:p>
        </w:tc>
      </w:tr>
    </w:tbl>
    <w:p w:rsidR="006D6734" w:rsidRDefault="006D6734" w:rsidP="00016443">
      <w:pPr>
        <w:spacing w:before="0" w:after="0"/>
        <w:rPr>
          <w:rFonts w:ascii="Times New Roman" w:hAnsi="Times New Roman"/>
        </w:rPr>
      </w:pPr>
    </w:p>
    <w:p w:rsidR="000349CD" w:rsidRPr="005E7468" w:rsidRDefault="008E5C4C" w:rsidP="00016443">
      <w:pPr>
        <w:spacing w:before="0" w:after="0"/>
        <w:rPr>
          <w:rFonts w:ascii="Arial" w:hAnsi="Arial" w:cs="Arial"/>
          <w:sz w:val="22"/>
          <w:szCs w:val="22"/>
        </w:rPr>
      </w:pPr>
      <w:r w:rsidRPr="005E7468">
        <w:rPr>
          <w:rFonts w:ascii="Arial" w:hAnsi="Arial" w:cs="Arial"/>
          <w:sz w:val="22"/>
          <w:szCs w:val="22"/>
        </w:rPr>
        <w:t xml:space="preserve">An in-depth analysis has been carried out to build evidences in support to preliminary findings for the EQs, in particular for </w:t>
      </w:r>
      <w:proofErr w:type="spellStart"/>
      <w:r w:rsidRPr="005E7468">
        <w:rPr>
          <w:rFonts w:ascii="Arial" w:hAnsi="Arial" w:cs="Arial"/>
          <w:sz w:val="22"/>
          <w:szCs w:val="22"/>
        </w:rPr>
        <w:t>sectoral</w:t>
      </w:r>
      <w:proofErr w:type="spellEnd"/>
      <w:r w:rsidRPr="005E7468">
        <w:rPr>
          <w:rFonts w:ascii="Arial" w:hAnsi="Arial" w:cs="Arial"/>
          <w:sz w:val="22"/>
          <w:szCs w:val="22"/>
        </w:rPr>
        <w:t xml:space="preserve"> EQs. The analys</w:t>
      </w:r>
      <w:r w:rsidR="00F56A47" w:rsidRPr="005E7468">
        <w:rPr>
          <w:rFonts w:ascii="Arial" w:hAnsi="Arial" w:cs="Arial"/>
          <w:sz w:val="22"/>
          <w:szCs w:val="22"/>
        </w:rPr>
        <w:t>is is based on a selection of 10</w:t>
      </w:r>
      <w:r w:rsidRPr="005E7468">
        <w:rPr>
          <w:rFonts w:ascii="Arial" w:hAnsi="Arial" w:cs="Arial"/>
          <w:sz w:val="22"/>
          <w:szCs w:val="22"/>
        </w:rPr>
        <w:t xml:space="preserve"> projects, see the projects highlighted in yellow in the below table, and findings have been included in the main report under relevant judgment criteria</w:t>
      </w:r>
      <w:r w:rsidR="00DA082E" w:rsidRPr="005E7468">
        <w:rPr>
          <w:rFonts w:ascii="Arial" w:hAnsi="Arial" w:cs="Arial"/>
          <w:sz w:val="22"/>
          <w:szCs w:val="22"/>
        </w:rPr>
        <w:t>, in particular 4 ROMs under EQ6, 5 ROMs under EQ7 and 1 ROM under EQ8, for EQ9 none ROM has been considered relevant for the analysis.</w:t>
      </w:r>
      <w:r w:rsidR="000954E5">
        <w:rPr>
          <w:rFonts w:ascii="Arial" w:hAnsi="Arial" w:cs="Arial"/>
          <w:sz w:val="22"/>
          <w:szCs w:val="22"/>
        </w:rPr>
        <w:t xml:space="preserve"> Here below a summary of the results of the analysis divided by </w:t>
      </w:r>
      <w:r w:rsidR="00D714DB">
        <w:rPr>
          <w:rFonts w:ascii="Arial" w:hAnsi="Arial" w:cs="Arial"/>
          <w:sz w:val="22"/>
          <w:szCs w:val="22"/>
        </w:rPr>
        <w:t xml:space="preserve">EQ and </w:t>
      </w:r>
      <w:r w:rsidR="000954E5">
        <w:rPr>
          <w:rFonts w:ascii="Arial" w:hAnsi="Arial" w:cs="Arial"/>
          <w:sz w:val="22"/>
          <w:szCs w:val="22"/>
        </w:rPr>
        <w:t xml:space="preserve">JC. </w:t>
      </w:r>
    </w:p>
    <w:p w:rsidR="000349CD" w:rsidRDefault="000349CD" w:rsidP="00016443">
      <w:pPr>
        <w:spacing w:before="0" w:after="0"/>
        <w:rPr>
          <w:rFonts w:ascii="Times New Roman" w:hAnsi="Times New Roman"/>
        </w:rPr>
      </w:pPr>
    </w:p>
    <w:p w:rsidR="000954E5" w:rsidRPr="00016443" w:rsidRDefault="00016443" w:rsidP="00016443">
      <w:pPr>
        <w:spacing w:before="0" w:after="0"/>
        <w:rPr>
          <w:rFonts w:ascii="Arial" w:hAnsi="Arial" w:cs="Arial"/>
          <w:b/>
          <w:color w:val="1F497D" w:themeColor="text2"/>
          <w:sz w:val="22"/>
          <w:szCs w:val="22"/>
        </w:rPr>
      </w:pPr>
      <w:r>
        <w:rPr>
          <w:rFonts w:ascii="Arial" w:hAnsi="Arial" w:cs="Arial"/>
          <w:b/>
          <w:color w:val="1F497D" w:themeColor="text2"/>
          <w:sz w:val="22"/>
          <w:szCs w:val="22"/>
        </w:rPr>
        <w:t xml:space="preserve">EQ6. </w:t>
      </w:r>
      <w:r w:rsidR="000954E5" w:rsidRPr="00016443">
        <w:rPr>
          <w:rFonts w:ascii="Arial" w:hAnsi="Arial" w:cs="Arial"/>
          <w:b/>
          <w:color w:val="1F497D" w:themeColor="text2"/>
          <w:sz w:val="22"/>
          <w:szCs w:val="22"/>
        </w:rPr>
        <w:t xml:space="preserve">GOVERNANCE </w:t>
      </w:r>
    </w:p>
    <w:p w:rsidR="000954E5" w:rsidRPr="00016443" w:rsidRDefault="000954E5" w:rsidP="00016443">
      <w:pPr>
        <w:spacing w:before="0" w:after="0"/>
        <w:rPr>
          <w:rFonts w:ascii="Arial" w:hAnsi="Arial" w:cs="Arial"/>
          <w:b/>
          <w:color w:val="1F497D" w:themeColor="text2"/>
          <w:sz w:val="22"/>
          <w:szCs w:val="22"/>
        </w:rPr>
      </w:pPr>
    </w:p>
    <w:p w:rsidR="000954E5" w:rsidRPr="00016443" w:rsidRDefault="000954E5" w:rsidP="00016443">
      <w:pPr>
        <w:shd w:val="clear" w:color="auto" w:fill="DBE5F1" w:themeFill="accent1" w:themeFillTint="33"/>
        <w:spacing w:before="0" w:after="0"/>
        <w:rPr>
          <w:rFonts w:ascii="Arial" w:hAnsi="Arial" w:cs="Arial"/>
          <w:sz w:val="22"/>
          <w:szCs w:val="22"/>
        </w:rPr>
      </w:pPr>
      <w:r w:rsidRPr="00016443">
        <w:rPr>
          <w:rFonts w:ascii="Arial" w:hAnsi="Arial" w:cs="Arial"/>
          <w:b/>
          <w:sz w:val="22"/>
          <w:szCs w:val="22"/>
        </w:rPr>
        <w:t>EQ6/ JC3</w:t>
      </w:r>
      <w:r w:rsidRPr="00016443">
        <w:rPr>
          <w:rFonts w:ascii="Arial" w:hAnsi="Arial" w:cs="Arial"/>
          <w:sz w:val="22"/>
          <w:szCs w:val="22"/>
        </w:rPr>
        <w:t>. Cooperation efforts contribute to institutional capacity - building for governance, accountability and credibility of key institutions</w:t>
      </w:r>
    </w:p>
    <w:p w:rsidR="000954E5" w:rsidRDefault="000954E5" w:rsidP="00016443">
      <w:pPr>
        <w:spacing w:before="0" w:after="0"/>
        <w:rPr>
          <w:rFonts w:ascii="Arial" w:hAnsi="Arial" w:cs="Arial"/>
          <w:sz w:val="22"/>
          <w:szCs w:val="22"/>
        </w:rPr>
      </w:pPr>
      <w:r w:rsidRPr="00016443">
        <w:rPr>
          <w:rFonts w:ascii="Arial" w:hAnsi="Arial" w:cs="Arial"/>
          <w:sz w:val="22"/>
          <w:szCs w:val="22"/>
        </w:rPr>
        <w:t>Four monitoring reports were screened to throw light on contributions to capacity-building; all interventions, although with different targets and mechanisms, have contributed significantly to capacity-building.</w:t>
      </w:r>
    </w:p>
    <w:p w:rsidR="00016443" w:rsidRPr="00016443" w:rsidRDefault="00016443" w:rsidP="00016443">
      <w:pPr>
        <w:spacing w:before="0" w:after="0"/>
        <w:rPr>
          <w:rFonts w:ascii="Arial" w:hAnsi="Arial" w:cs="Arial"/>
          <w:sz w:val="22"/>
          <w:szCs w:val="22"/>
        </w:rPr>
      </w:pPr>
    </w:p>
    <w:p w:rsidR="000954E5" w:rsidRPr="00016443" w:rsidRDefault="000954E5" w:rsidP="00016443">
      <w:pPr>
        <w:spacing w:before="0" w:after="0"/>
        <w:rPr>
          <w:rFonts w:ascii="Arial" w:hAnsi="Arial" w:cs="Arial"/>
          <w:b/>
          <w:color w:val="1F497D" w:themeColor="text2"/>
          <w:sz w:val="18"/>
          <w:szCs w:val="18"/>
        </w:rPr>
      </w:pPr>
      <w:bookmarkStart w:id="119" w:name="_Toc373334848"/>
      <w:r w:rsidRPr="00016443">
        <w:rPr>
          <w:rFonts w:ascii="Arial" w:hAnsi="Arial" w:cs="Arial"/>
          <w:b/>
          <w:color w:val="1F497D" w:themeColor="text2"/>
          <w:sz w:val="18"/>
          <w:szCs w:val="18"/>
        </w:rPr>
        <w:t>Table</w:t>
      </w:r>
      <w:r w:rsidR="00016443" w:rsidRPr="00016443">
        <w:rPr>
          <w:rFonts w:ascii="Arial" w:hAnsi="Arial" w:cs="Arial"/>
          <w:b/>
          <w:color w:val="1F497D" w:themeColor="text2"/>
          <w:sz w:val="18"/>
          <w:szCs w:val="18"/>
        </w:rPr>
        <w:t xml:space="preserve"> 4</w:t>
      </w:r>
      <w:r w:rsidRPr="00016443">
        <w:rPr>
          <w:rFonts w:ascii="Arial" w:hAnsi="Arial" w:cs="Arial"/>
          <w:b/>
          <w:color w:val="1F497D" w:themeColor="text2"/>
          <w:sz w:val="18"/>
          <w:szCs w:val="18"/>
        </w:rPr>
        <w:t>: Results on capacity building from ROM on selected projects under Governance</w:t>
      </w:r>
      <w:bookmarkEnd w:id="119"/>
    </w:p>
    <w:tbl>
      <w:tblPr>
        <w:tblStyle w:val="Grigliatabella"/>
        <w:tblW w:w="5000" w:type="pct"/>
        <w:tblLook w:val="04A0"/>
      </w:tblPr>
      <w:tblGrid>
        <w:gridCol w:w="1077"/>
        <w:gridCol w:w="1441"/>
        <w:gridCol w:w="3402"/>
        <w:gridCol w:w="3934"/>
      </w:tblGrid>
      <w:tr w:rsidR="000954E5" w:rsidRPr="00016443" w:rsidTr="00016443">
        <w:tc>
          <w:tcPr>
            <w:tcW w:w="547" w:type="pct"/>
            <w:shd w:val="clear" w:color="auto" w:fill="808080" w:themeFill="background1" w:themeFillShade="80"/>
          </w:tcPr>
          <w:p w:rsidR="000954E5" w:rsidRPr="00016443" w:rsidRDefault="000954E5" w:rsidP="00016443">
            <w:pPr>
              <w:spacing w:before="0" w:after="0"/>
              <w:jc w:val="center"/>
              <w:rPr>
                <w:rFonts w:ascii="Arial Narrow" w:eastAsiaTheme="minorHAnsi" w:hAnsi="Arial Narrow" w:cs="Arial"/>
                <w:b/>
                <w:color w:val="FFFFFF" w:themeColor="background1"/>
                <w:sz w:val="20"/>
              </w:rPr>
            </w:pPr>
            <w:r w:rsidRPr="00016443">
              <w:rPr>
                <w:rFonts w:ascii="Arial Narrow" w:eastAsiaTheme="minorHAnsi" w:hAnsi="Arial Narrow" w:cs="Arial"/>
                <w:b/>
                <w:color w:val="FFFFFF" w:themeColor="background1"/>
                <w:sz w:val="20"/>
              </w:rPr>
              <w:t>Contract Number</w:t>
            </w:r>
          </w:p>
        </w:tc>
        <w:tc>
          <w:tcPr>
            <w:tcW w:w="731" w:type="pct"/>
            <w:shd w:val="clear" w:color="auto" w:fill="808080" w:themeFill="background1" w:themeFillShade="80"/>
          </w:tcPr>
          <w:p w:rsidR="000954E5" w:rsidRPr="00016443" w:rsidRDefault="000954E5" w:rsidP="00016443">
            <w:pPr>
              <w:spacing w:before="0" w:after="0"/>
              <w:jc w:val="center"/>
              <w:rPr>
                <w:rFonts w:ascii="Arial Narrow" w:eastAsiaTheme="minorHAnsi" w:hAnsi="Arial Narrow" w:cs="Arial"/>
                <w:b/>
                <w:color w:val="FFFFFF" w:themeColor="background1"/>
                <w:sz w:val="20"/>
              </w:rPr>
            </w:pPr>
            <w:r w:rsidRPr="00016443">
              <w:rPr>
                <w:rFonts w:ascii="Arial Narrow" w:eastAsiaTheme="minorHAnsi" w:hAnsi="Arial Narrow" w:cs="Arial"/>
                <w:b/>
                <w:color w:val="FFFFFF" w:themeColor="background1"/>
                <w:sz w:val="20"/>
              </w:rPr>
              <w:t>ROM reference</w:t>
            </w:r>
          </w:p>
        </w:tc>
        <w:tc>
          <w:tcPr>
            <w:tcW w:w="1726" w:type="pct"/>
            <w:shd w:val="clear" w:color="auto" w:fill="808080" w:themeFill="background1" w:themeFillShade="80"/>
          </w:tcPr>
          <w:p w:rsidR="000954E5" w:rsidRPr="00016443" w:rsidRDefault="000954E5" w:rsidP="00016443">
            <w:pPr>
              <w:spacing w:before="0" w:after="0"/>
              <w:jc w:val="center"/>
              <w:rPr>
                <w:rFonts w:ascii="Arial Narrow" w:eastAsiaTheme="minorHAnsi" w:hAnsi="Arial Narrow" w:cs="Arial"/>
                <w:b/>
                <w:color w:val="FFFFFF" w:themeColor="background1"/>
                <w:sz w:val="20"/>
              </w:rPr>
            </w:pPr>
            <w:r w:rsidRPr="00016443">
              <w:rPr>
                <w:rFonts w:ascii="Arial Narrow" w:eastAsiaTheme="minorHAnsi" w:hAnsi="Arial Narrow" w:cs="Arial"/>
                <w:b/>
                <w:color w:val="FFFFFF" w:themeColor="background1"/>
                <w:sz w:val="20"/>
              </w:rPr>
              <w:t>Project</w:t>
            </w:r>
          </w:p>
        </w:tc>
        <w:tc>
          <w:tcPr>
            <w:tcW w:w="1996" w:type="pct"/>
            <w:shd w:val="clear" w:color="auto" w:fill="808080" w:themeFill="background1" w:themeFillShade="80"/>
          </w:tcPr>
          <w:p w:rsidR="000954E5" w:rsidRPr="00016443" w:rsidRDefault="000954E5" w:rsidP="00016443">
            <w:pPr>
              <w:spacing w:before="0" w:after="0"/>
              <w:jc w:val="center"/>
              <w:rPr>
                <w:rFonts w:ascii="Arial Narrow" w:eastAsiaTheme="minorHAnsi" w:hAnsi="Arial Narrow" w:cs="Arial"/>
                <w:b/>
                <w:color w:val="FFFFFF" w:themeColor="background1"/>
                <w:sz w:val="20"/>
              </w:rPr>
            </w:pPr>
            <w:r w:rsidRPr="00016443">
              <w:rPr>
                <w:rFonts w:ascii="Arial Narrow" w:eastAsiaTheme="minorHAnsi" w:hAnsi="Arial Narrow" w:cs="Arial"/>
                <w:b/>
                <w:color w:val="FFFFFF" w:themeColor="background1"/>
                <w:sz w:val="20"/>
              </w:rPr>
              <w:t>Findings on contributions to capacity building</w:t>
            </w:r>
          </w:p>
        </w:tc>
      </w:tr>
      <w:tr w:rsidR="000954E5" w:rsidRPr="00016443" w:rsidTr="00016443">
        <w:tc>
          <w:tcPr>
            <w:tcW w:w="547" w:type="pct"/>
          </w:tcPr>
          <w:p w:rsidR="000954E5" w:rsidRPr="00016443" w:rsidRDefault="000954E5" w:rsidP="00016443">
            <w:pPr>
              <w:spacing w:before="0" w:after="0"/>
              <w:rPr>
                <w:rFonts w:ascii="Arial Narrow" w:hAnsi="Arial Narrow" w:cs="Arial"/>
                <w:sz w:val="20"/>
              </w:rPr>
            </w:pPr>
            <w:r w:rsidRPr="00016443">
              <w:rPr>
                <w:rFonts w:ascii="Arial Narrow" w:hAnsi="Arial Narrow" w:cs="Arial"/>
                <w:sz w:val="20"/>
              </w:rPr>
              <w:t>271613</w:t>
            </w:r>
          </w:p>
        </w:tc>
        <w:tc>
          <w:tcPr>
            <w:tcW w:w="731" w:type="pct"/>
          </w:tcPr>
          <w:p w:rsidR="000954E5" w:rsidRPr="00016443" w:rsidRDefault="000954E5" w:rsidP="00016443">
            <w:pPr>
              <w:spacing w:before="0" w:after="0"/>
              <w:rPr>
                <w:rFonts w:ascii="Arial Narrow" w:hAnsi="Arial Narrow" w:cs="Arial"/>
                <w:sz w:val="20"/>
              </w:rPr>
            </w:pPr>
            <w:r w:rsidRPr="00016443">
              <w:rPr>
                <w:rFonts w:ascii="Arial Narrow" w:hAnsi="Arial Narrow" w:cs="Arial"/>
                <w:sz w:val="20"/>
              </w:rPr>
              <w:t>MR-145102.01</w:t>
            </w:r>
          </w:p>
        </w:tc>
        <w:tc>
          <w:tcPr>
            <w:tcW w:w="1726" w:type="pct"/>
          </w:tcPr>
          <w:p w:rsidR="000954E5" w:rsidRPr="00016443" w:rsidRDefault="000954E5" w:rsidP="00016443">
            <w:pPr>
              <w:spacing w:before="0" w:after="0"/>
              <w:rPr>
                <w:rFonts w:ascii="Arial Narrow" w:hAnsi="Arial Narrow" w:cs="Arial"/>
                <w:sz w:val="20"/>
              </w:rPr>
            </w:pPr>
            <w:r w:rsidRPr="00016443">
              <w:rPr>
                <w:rFonts w:ascii="Arial Narrow" w:hAnsi="Arial Narrow" w:cs="Arial"/>
                <w:sz w:val="20"/>
              </w:rPr>
              <w:t>Enhancing capacity and professionalism of lawyer community in OPT</w:t>
            </w:r>
          </w:p>
        </w:tc>
        <w:tc>
          <w:tcPr>
            <w:tcW w:w="1996" w:type="pct"/>
          </w:tcPr>
          <w:p w:rsidR="000954E5" w:rsidRPr="00016443" w:rsidRDefault="000954E5" w:rsidP="00B54C8F">
            <w:pPr>
              <w:pStyle w:val="Paragrafoelenco"/>
              <w:numPr>
                <w:ilvl w:val="0"/>
                <w:numId w:val="98"/>
              </w:numPr>
              <w:spacing w:before="0" w:after="0"/>
              <w:jc w:val="left"/>
              <w:rPr>
                <w:rFonts w:ascii="Arial Narrow" w:hAnsi="Arial Narrow" w:cs="Arial"/>
                <w:sz w:val="20"/>
              </w:rPr>
            </w:pPr>
            <w:r w:rsidRPr="00016443">
              <w:rPr>
                <w:rFonts w:ascii="Arial Narrow" w:hAnsi="Arial Narrow" w:cs="Arial"/>
                <w:sz w:val="20"/>
              </w:rPr>
              <w:t>Intervention explicitly supporting lawyers capacity building</w:t>
            </w:r>
          </w:p>
        </w:tc>
      </w:tr>
      <w:tr w:rsidR="000954E5" w:rsidRPr="00016443" w:rsidTr="00016443">
        <w:tc>
          <w:tcPr>
            <w:tcW w:w="547" w:type="pct"/>
          </w:tcPr>
          <w:p w:rsidR="000954E5" w:rsidRPr="00016443" w:rsidRDefault="000954E5" w:rsidP="00016443">
            <w:pPr>
              <w:spacing w:before="0" w:after="0"/>
              <w:rPr>
                <w:rFonts w:ascii="Arial Narrow" w:hAnsi="Arial Narrow" w:cs="Arial"/>
                <w:sz w:val="20"/>
              </w:rPr>
            </w:pPr>
            <w:r w:rsidRPr="00016443">
              <w:rPr>
                <w:rFonts w:ascii="Arial Narrow" w:hAnsi="Arial Narrow" w:cs="Arial"/>
                <w:sz w:val="20"/>
              </w:rPr>
              <w:t>215524</w:t>
            </w:r>
          </w:p>
        </w:tc>
        <w:tc>
          <w:tcPr>
            <w:tcW w:w="731" w:type="pct"/>
          </w:tcPr>
          <w:p w:rsidR="000954E5" w:rsidRPr="00016443" w:rsidRDefault="000954E5" w:rsidP="00016443">
            <w:pPr>
              <w:spacing w:before="0" w:after="0"/>
              <w:rPr>
                <w:rFonts w:ascii="Arial Narrow" w:hAnsi="Arial Narrow" w:cs="Arial"/>
                <w:sz w:val="20"/>
              </w:rPr>
            </w:pPr>
            <w:r w:rsidRPr="00016443">
              <w:rPr>
                <w:rFonts w:ascii="Arial Narrow" w:hAnsi="Arial Narrow" w:cs="Arial"/>
                <w:sz w:val="20"/>
              </w:rPr>
              <w:t>MR-124580.03</w:t>
            </w:r>
          </w:p>
        </w:tc>
        <w:tc>
          <w:tcPr>
            <w:tcW w:w="1726" w:type="pct"/>
          </w:tcPr>
          <w:p w:rsidR="000954E5" w:rsidRPr="00016443" w:rsidRDefault="000954E5" w:rsidP="00016443">
            <w:pPr>
              <w:spacing w:before="0" w:after="0"/>
              <w:rPr>
                <w:rFonts w:ascii="Arial Narrow" w:hAnsi="Arial Narrow" w:cs="Arial"/>
                <w:sz w:val="20"/>
              </w:rPr>
            </w:pPr>
            <w:r w:rsidRPr="00016443">
              <w:rPr>
                <w:rFonts w:ascii="Arial Narrow" w:hAnsi="Arial Narrow" w:cs="Arial"/>
                <w:sz w:val="20"/>
              </w:rPr>
              <w:t>SEYADA II, Empowering the Palestinian Judicial system</w:t>
            </w:r>
          </w:p>
        </w:tc>
        <w:tc>
          <w:tcPr>
            <w:tcW w:w="1996" w:type="pct"/>
          </w:tcPr>
          <w:p w:rsidR="000954E5" w:rsidRPr="00016443" w:rsidRDefault="000954E5" w:rsidP="00B54C8F">
            <w:pPr>
              <w:pStyle w:val="Paragrafoelenco"/>
              <w:numPr>
                <w:ilvl w:val="0"/>
                <w:numId w:val="98"/>
              </w:numPr>
              <w:spacing w:before="0" w:after="0"/>
              <w:jc w:val="left"/>
              <w:rPr>
                <w:rFonts w:ascii="Arial Narrow" w:hAnsi="Arial Narrow" w:cs="Arial"/>
                <w:sz w:val="20"/>
              </w:rPr>
            </w:pPr>
            <w:r w:rsidRPr="00016443">
              <w:rPr>
                <w:rFonts w:ascii="Arial Narrow" w:hAnsi="Arial Narrow" w:cs="Arial"/>
                <w:sz w:val="20"/>
              </w:rPr>
              <w:t>Significant contributions in capacity-building;</w:t>
            </w:r>
          </w:p>
        </w:tc>
      </w:tr>
      <w:tr w:rsidR="000954E5" w:rsidRPr="00016443" w:rsidTr="00016443">
        <w:tc>
          <w:tcPr>
            <w:tcW w:w="547" w:type="pct"/>
          </w:tcPr>
          <w:p w:rsidR="000954E5" w:rsidRPr="00016443" w:rsidRDefault="000954E5" w:rsidP="00016443">
            <w:pPr>
              <w:spacing w:before="0" w:after="0"/>
              <w:rPr>
                <w:rFonts w:ascii="Arial Narrow" w:hAnsi="Arial Narrow" w:cs="Arial"/>
                <w:sz w:val="20"/>
              </w:rPr>
            </w:pPr>
            <w:r w:rsidRPr="00016443">
              <w:rPr>
                <w:rFonts w:ascii="Arial Narrow" w:hAnsi="Arial Narrow" w:cs="Arial"/>
                <w:sz w:val="20"/>
              </w:rPr>
              <w:t>258913</w:t>
            </w:r>
          </w:p>
        </w:tc>
        <w:tc>
          <w:tcPr>
            <w:tcW w:w="731" w:type="pct"/>
          </w:tcPr>
          <w:p w:rsidR="000954E5" w:rsidRPr="00016443" w:rsidRDefault="000954E5" w:rsidP="00016443">
            <w:pPr>
              <w:spacing w:before="0" w:after="0"/>
              <w:rPr>
                <w:rFonts w:ascii="Arial Narrow" w:hAnsi="Arial Narrow" w:cs="Arial"/>
                <w:sz w:val="20"/>
              </w:rPr>
            </w:pPr>
            <w:r w:rsidRPr="00016443">
              <w:rPr>
                <w:rFonts w:ascii="Arial Narrow" w:hAnsi="Arial Narrow" w:cs="Arial"/>
                <w:sz w:val="20"/>
              </w:rPr>
              <w:t>MR-145038.01</w:t>
            </w:r>
          </w:p>
        </w:tc>
        <w:tc>
          <w:tcPr>
            <w:tcW w:w="1726" w:type="pct"/>
          </w:tcPr>
          <w:p w:rsidR="000954E5" w:rsidRPr="00016443" w:rsidRDefault="000954E5" w:rsidP="00016443">
            <w:pPr>
              <w:spacing w:before="0" w:after="0"/>
              <w:rPr>
                <w:rFonts w:ascii="Arial Narrow" w:hAnsi="Arial Narrow" w:cs="Arial"/>
                <w:sz w:val="20"/>
              </w:rPr>
            </w:pPr>
            <w:r w:rsidRPr="00016443">
              <w:rPr>
                <w:rFonts w:ascii="Arial Narrow" w:hAnsi="Arial Narrow" w:cs="Arial"/>
                <w:sz w:val="20"/>
              </w:rPr>
              <w:t xml:space="preserve">Promoting freedom of thought, association and movement in Gaza through support to Civil Society (EIDHR) </w:t>
            </w:r>
          </w:p>
        </w:tc>
        <w:tc>
          <w:tcPr>
            <w:tcW w:w="1996" w:type="pct"/>
          </w:tcPr>
          <w:p w:rsidR="000954E5" w:rsidRPr="00016443" w:rsidRDefault="000954E5" w:rsidP="00B54C8F">
            <w:pPr>
              <w:pStyle w:val="Paragrafoelenco"/>
              <w:numPr>
                <w:ilvl w:val="0"/>
                <w:numId w:val="98"/>
              </w:numPr>
              <w:spacing w:before="0" w:after="0"/>
              <w:jc w:val="left"/>
              <w:rPr>
                <w:rFonts w:ascii="Arial Narrow" w:hAnsi="Arial Narrow" w:cs="Arial"/>
                <w:sz w:val="20"/>
              </w:rPr>
            </w:pPr>
            <w:r w:rsidRPr="00016443">
              <w:rPr>
                <w:rFonts w:ascii="Arial Narrow" w:hAnsi="Arial Narrow" w:cs="Arial"/>
                <w:sz w:val="20"/>
              </w:rPr>
              <w:t>Capacity-building for Civil Society in Gaza</w:t>
            </w:r>
          </w:p>
        </w:tc>
      </w:tr>
      <w:tr w:rsidR="000954E5" w:rsidRPr="00016443" w:rsidTr="00016443">
        <w:tc>
          <w:tcPr>
            <w:tcW w:w="547" w:type="pct"/>
            <w:tcBorders>
              <w:bottom w:val="single" w:sz="4" w:space="0" w:color="000000"/>
            </w:tcBorders>
          </w:tcPr>
          <w:p w:rsidR="000954E5" w:rsidRPr="00016443" w:rsidRDefault="000954E5" w:rsidP="00016443">
            <w:pPr>
              <w:spacing w:before="0" w:after="0"/>
              <w:rPr>
                <w:rFonts w:ascii="Arial Narrow" w:hAnsi="Arial Narrow" w:cs="Arial"/>
                <w:sz w:val="20"/>
              </w:rPr>
            </w:pPr>
            <w:r w:rsidRPr="00016443">
              <w:rPr>
                <w:rFonts w:ascii="Arial Narrow" w:hAnsi="Arial Narrow" w:cs="Arial"/>
                <w:sz w:val="20"/>
              </w:rPr>
              <w:t>266673</w:t>
            </w:r>
          </w:p>
        </w:tc>
        <w:tc>
          <w:tcPr>
            <w:tcW w:w="731" w:type="pct"/>
            <w:tcBorders>
              <w:bottom w:val="single" w:sz="4" w:space="0" w:color="000000"/>
            </w:tcBorders>
          </w:tcPr>
          <w:p w:rsidR="000954E5" w:rsidRPr="00016443" w:rsidRDefault="000954E5" w:rsidP="00016443">
            <w:pPr>
              <w:spacing w:before="0" w:after="0"/>
              <w:rPr>
                <w:rFonts w:ascii="Arial Narrow" w:hAnsi="Arial Narrow" w:cs="Arial"/>
                <w:sz w:val="20"/>
              </w:rPr>
            </w:pPr>
            <w:r w:rsidRPr="00016443">
              <w:rPr>
                <w:rFonts w:ascii="Arial Narrow" w:hAnsi="Arial Narrow" w:cs="Arial"/>
                <w:sz w:val="20"/>
              </w:rPr>
              <w:t>MR-144276.01</w:t>
            </w:r>
          </w:p>
        </w:tc>
        <w:tc>
          <w:tcPr>
            <w:tcW w:w="1726" w:type="pct"/>
            <w:tcBorders>
              <w:bottom w:val="single" w:sz="4" w:space="0" w:color="000000"/>
            </w:tcBorders>
          </w:tcPr>
          <w:p w:rsidR="000954E5" w:rsidRPr="00016443" w:rsidRDefault="000954E5" w:rsidP="00016443">
            <w:pPr>
              <w:spacing w:before="0" w:after="0"/>
              <w:rPr>
                <w:rFonts w:ascii="Arial Narrow" w:hAnsi="Arial Narrow" w:cs="Arial"/>
                <w:sz w:val="20"/>
              </w:rPr>
            </w:pPr>
            <w:r w:rsidRPr="00016443">
              <w:rPr>
                <w:rFonts w:ascii="Arial Narrow" w:hAnsi="Arial Narrow" w:cs="Arial"/>
                <w:sz w:val="20"/>
              </w:rPr>
              <w:t>Provision of Advisors to the Justice Sector, West Bank and Gaza</w:t>
            </w:r>
          </w:p>
        </w:tc>
        <w:tc>
          <w:tcPr>
            <w:tcW w:w="1996" w:type="pct"/>
            <w:tcBorders>
              <w:bottom w:val="single" w:sz="4" w:space="0" w:color="000000"/>
            </w:tcBorders>
          </w:tcPr>
          <w:p w:rsidR="000954E5" w:rsidRPr="00016443" w:rsidRDefault="000954E5" w:rsidP="00B54C8F">
            <w:pPr>
              <w:pStyle w:val="Paragrafoelenco"/>
              <w:numPr>
                <w:ilvl w:val="0"/>
                <w:numId w:val="98"/>
              </w:numPr>
              <w:spacing w:before="0" w:after="0"/>
              <w:jc w:val="left"/>
              <w:rPr>
                <w:rFonts w:ascii="Arial Narrow" w:hAnsi="Arial Narrow" w:cs="Arial"/>
                <w:sz w:val="20"/>
              </w:rPr>
            </w:pPr>
            <w:r w:rsidRPr="00016443">
              <w:rPr>
                <w:rFonts w:ascii="Arial Narrow" w:hAnsi="Arial Narrow" w:cs="Arial"/>
                <w:sz w:val="20"/>
              </w:rPr>
              <w:t>As in SEYADA II, positive contributions to capacity-building in Ministry of Justice</w:t>
            </w:r>
          </w:p>
        </w:tc>
      </w:tr>
    </w:tbl>
    <w:p w:rsidR="000349CD" w:rsidRDefault="000349CD" w:rsidP="00016443">
      <w:pPr>
        <w:spacing w:before="0" w:after="0"/>
        <w:rPr>
          <w:rFonts w:ascii="Times New Roman" w:hAnsi="Times New Roman"/>
        </w:rPr>
      </w:pPr>
    </w:p>
    <w:p w:rsidR="000954E5" w:rsidRPr="00016443" w:rsidRDefault="000954E5" w:rsidP="00016443">
      <w:pPr>
        <w:shd w:val="clear" w:color="auto" w:fill="DBE5F1" w:themeFill="accent1" w:themeFillTint="33"/>
        <w:spacing w:before="0" w:after="0"/>
        <w:rPr>
          <w:rFonts w:ascii="Arial" w:hAnsi="Arial" w:cs="Arial"/>
          <w:sz w:val="22"/>
          <w:szCs w:val="22"/>
        </w:rPr>
      </w:pPr>
      <w:r w:rsidRPr="00016443">
        <w:rPr>
          <w:rFonts w:ascii="Arial" w:hAnsi="Arial" w:cs="Arial"/>
          <w:b/>
          <w:sz w:val="22"/>
          <w:szCs w:val="22"/>
        </w:rPr>
        <w:t>EQ6/ JC4</w:t>
      </w:r>
      <w:r w:rsidRPr="00016443">
        <w:rPr>
          <w:rFonts w:ascii="Arial" w:hAnsi="Arial" w:cs="Arial"/>
          <w:sz w:val="22"/>
          <w:szCs w:val="22"/>
        </w:rPr>
        <w:t>. EU – Palestine Cooperation effectively supports goals of good governance, democracy, and respect for human rights and rule of law, contributing to a viable and democratic Palestinian state.</w:t>
      </w:r>
    </w:p>
    <w:p w:rsidR="000954E5" w:rsidRDefault="000954E5" w:rsidP="00016443">
      <w:pPr>
        <w:spacing w:before="0" w:after="0"/>
        <w:rPr>
          <w:rFonts w:ascii="Arial" w:hAnsi="Arial" w:cs="Arial"/>
          <w:sz w:val="22"/>
          <w:szCs w:val="22"/>
        </w:rPr>
      </w:pPr>
      <w:r w:rsidRPr="00016443">
        <w:rPr>
          <w:rFonts w:ascii="Arial" w:hAnsi="Arial" w:cs="Arial"/>
          <w:sz w:val="22"/>
          <w:szCs w:val="22"/>
        </w:rPr>
        <w:t xml:space="preserve">Four monitoring reports were reviewed to appraise the effectiveness, sustainability and impact of governance sector interventions, see table 10. </w:t>
      </w:r>
    </w:p>
    <w:p w:rsidR="00016443" w:rsidRDefault="00016443" w:rsidP="00016443">
      <w:pPr>
        <w:spacing w:before="0" w:after="0"/>
        <w:rPr>
          <w:rFonts w:ascii="Arial" w:hAnsi="Arial" w:cs="Arial"/>
          <w:sz w:val="22"/>
          <w:szCs w:val="22"/>
        </w:rPr>
      </w:pPr>
    </w:p>
    <w:p w:rsidR="00016443" w:rsidRDefault="00016443" w:rsidP="00016443">
      <w:pPr>
        <w:spacing w:before="0" w:after="0"/>
        <w:rPr>
          <w:rFonts w:ascii="Arial" w:hAnsi="Arial" w:cs="Arial"/>
          <w:sz w:val="22"/>
          <w:szCs w:val="22"/>
        </w:rPr>
      </w:pPr>
    </w:p>
    <w:p w:rsidR="00016443" w:rsidRDefault="00016443" w:rsidP="00016443">
      <w:pPr>
        <w:spacing w:before="0" w:after="0"/>
        <w:rPr>
          <w:rFonts w:ascii="Arial" w:hAnsi="Arial" w:cs="Arial"/>
          <w:sz w:val="22"/>
          <w:szCs w:val="22"/>
        </w:rPr>
      </w:pPr>
    </w:p>
    <w:p w:rsidR="00016443" w:rsidRDefault="00016443" w:rsidP="00016443">
      <w:pPr>
        <w:spacing w:before="0" w:after="0"/>
        <w:rPr>
          <w:rFonts w:ascii="Arial" w:hAnsi="Arial" w:cs="Arial"/>
          <w:sz w:val="22"/>
          <w:szCs w:val="22"/>
        </w:rPr>
      </w:pPr>
    </w:p>
    <w:p w:rsidR="00016443" w:rsidRDefault="00016443" w:rsidP="00016443">
      <w:pPr>
        <w:spacing w:before="0" w:after="0"/>
        <w:rPr>
          <w:rFonts w:ascii="Arial" w:hAnsi="Arial" w:cs="Arial"/>
          <w:sz w:val="22"/>
          <w:szCs w:val="22"/>
        </w:rPr>
      </w:pPr>
    </w:p>
    <w:p w:rsidR="00016443" w:rsidRPr="00016443" w:rsidRDefault="00016443" w:rsidP="00016443">
      <w:pPr>
        <w:spacing w:before="0" w:after="0"/>
        <w:rPr>
          <w:rFonts w:ascii="Arial" w:hAnsi="Arial" w:cs="Arial"/>
          <w:sz w:val="22"/>
          <w:szCs w:val="22"/>
        </w:rPr>
      </w:pPr>
    </w:p>
    <w:p w:rsidR="000954E5" w:rsidRPr="000D5C93" w:rsidRDefault="000954E5" w:rsidP="00D714DB">
      <w:pPr>
        <w:pStyle w:val="Didascalia"/>
        <w:framePr w:wrap="around"/>
      </w:pPr>
      <w:bookmarkStart w:id="120" w:name="_Toc373334850"/>
      <w:r w:rsidRPr="000D5C93">
        <w:lastRenderedPageBreak/>
        <w:t xml:space="preserve">Table </w:t>
      </w:r>
      <w:r w:rsidR="00016443">
        <w:t>5</w:t>
      </w:r>
      <w:fldSimple w:instr=" SEQ Table \* ARABIC "/>
      <w:r w:rsidRPr="000D5C93">
        <w:t>: ROM Scoring of selected project under Governance</w:t>
      </w:r>
      <w:bookmarkEnd w:id="120"/>
      <w:r w:rsidRPr="000D5C93">
        <w:t xml:space="preserve"> for effectiveness, impact and sustainability criteria</w:t>
      </w:r>
    </w:p>
    <w:tbl>
      <w:tblPr>
        <w:tblStyle w:val="Grigliatabella"/>
        <w:tblW w:w="5000" w:type="pct"/>
        <w:tblLayout w:type="fixed"/>
        <w:tblLook w:val="04A0"/>
      </w:tblPr>
      <w:tblGrid>
        <w:gridCol w:w="1169"/>
        <w:gridCol w:w="1350"/>
        <w:gridCol w:w="4367"/>
        <w:gridCol w:w="1052"/>
        <w:gridCol w:w="903"/>
        <w:gridCol w:w="1013"/>
      </w:tblGrid>
      <w:tr w:rsidR="000954E5" w:rsidRPr="00016443" w:rsidTr="00016443">
        <w:tc>
          <w:tcPr>
            <w:tcW w:w="593" w:type="pct"/>
            <w:shd w:val="clear" w:color="auto" w:fill="808080" w:themeFill="background1" w:themeFillShade="80"/>
          </w:tcPr>
          <w:p w:rsidR="000954E5" w:rsidRPr="00016443" w:rsidRDefault="000954E5" w:rsidP="00016443">
            <w:pPr>
              <w:spacing w:before="0" w:after="0"/>
              <w:jc w:val="center"/>
              <w:rPr>
                <w:rFonts w:ascii="Arial Narrow" w:eastAsiaTheme="minorHAnsi" w:hAnsi="Arial Narrow"/>
                <w:b/>
                <w:color w:val="FFFFFF" w:themeColor="background1"/>
                <w:sz w:val="20"/>
              </w:rPr>
            </w:pPr>
            <w:r w:rsidRPr="00016443">
              <w:rPr>
                <w:rFonts w:ascii="Arial Narrow" w:eastAsiaTheme="minorHAnsi" w:hAnsi="Arial Narrow"/>
                <w:b/>
                <w:color w:val="FFFFFF" w:themeColor="background1"/>
                <w:sz w:val="20"/>
              </w:rPr>
              <w:t>Contract Number</w:t>
            </w:r>
          </w:p>
        </w:tc>
        <w:tc>
          <w:tcPr>
            <w:tcW w:w="685" w:type="pct"/>
            <w:shd w:val="clear" w:color="auto" w:fill="808080" w:themeFill="background1" w:themeFillShade="80"/>
          </w:tcPr>
          <w:p w:rsidR="000954E5" w:rsidRPr="00016443" w:rsidRDefault="000954E5" w:rsidP="00016443">
            <w:pPr>
              <w:spacing w:before="0" w:after="0"/>
              <w:jc w:val="center"/>
              <w:rPr>
                <w:rFonts w:ascii="Arial Narrow" w:eastAsiaTheme="minorHAnsi" w:hAnsi="Arial Narrow"/>
                <w:b/>
                <w:color w:val="FFFFFF" w:themeColor="background1"/>
                <w:sz w:val="20"/>
              </w:rPr>
            </w:pPr>
            <w:r w:rsidRPr="00016443">
              <w:rPr>
                <w:rFonts w:ascii="Arial Narrow" w:eastAsiaTheme="minorHAnsi" w:hAnsi="Arial Narrow"/>
                <w:b/>
                <w:color w:val="FFFFFF" w:themeColor="background1"/>
                <w:sz w:val="20"/>
              </w:rPr>
              <w:t>ROM reference</w:t>
            </w:r>
          </w:p>
        </w:tc>
        <w:tc>
          <w:tcPr>
            <w:tcW w:w="2216" w:type="pct"/>
            <w:shd w:val="clear" w:color="auto" w:fill="808080" w:themeFill="background1" w:themeFillShade="80"/>
          </w:tcPr>
          <w:p w:rsidR="000954E5" w:rsidRPr="00016443" w:rsidRDefault="000954E5" w:rsidP="00016443">
            <w:pPr>
              <w:spacing w:before="0" w:after="0"/>
              <w:jc w:val="center"/>
              <w:rPr>
                <w:rFonts w:ascii="Arial Narrow" w:eastAsiaTheme="minorHAnsi" w:hAnsi="Arial Narrow"/>
                <w:b/>
                <w:color w:val="FFFFFF" w:themeColor="background1"/>
                <w:sz w:val="20"/>
              </w:rPr>
            </w:pPr>
            <w:r w:rsidRPr="00016443">
              <w:rPr>
                <w:rFonts w:ascii="Arial Narrow" w:eastAsiaTheme="minorHAnsi" w:hAnsi="Arial Narrow"/>
                <w:b/>
                <w:color w:val="FFFFFF" w:themeColor="background1"/>
                <w:sz w:val="20"/>
              </w:rPr>
              <w:t>Project</w:t>
            </w:r>
          </w:p>
        </w:tc>
        <w:tc>
          <w:tcPr>
            <w:tcW w:w="534" w:type="pct"/>
            <w:shd w:val="clear" w:color="auto" w:fill="808080" w:themeFill="background1" w:themeFillShade="80"/>
          </w:tcPr>
          <w:p w:rsidR="000954E5" w:rsidRPr="00016443" w:rsidRDefault="000954E5" w:rsidP="00016443">
            <w:pPr>
              <w:spacing w:before="0" w:after="0"/>
              <w:jc w:val="center"/>
              <w:rPr>
                <w:rFonts w:ascii="Arial Narrow" w:eastAsiaTheme="minorHAnsi" w:hAnsi="Arial Narrow"/>
                <w:b/>
                <w:color w:val="FFFFFF" w:themeColor="background1"/>
                <w:sz w:val="20"/>
              </w:rPr>
            </w:pPr>
            <w:r w:rsidRPr="00016443">
              <w:rPr>
                <w:rFonts w:ascii="Arial Narrow" w:eastAsiaTheme="minorHAnsi" w:hAnsi="Arial Narrow"/>
                <w:b/>
                <w:color w:val="FFFFFF" w:themeColor="background1"/>
                <w:sz w:val="20"/>
              </w:rPr>
              <w:t>Effectiveness</w:t>
            </w:r>
          </w:p>
        </w:tc>
        <w:tc>
          <w:tcPr>
            <w:tcW w:w="458" w:type="pct"/>
            <w:shd w:val="clear" w:color="auto" w:fill="808080" w:themeFill="background1" w:themeFillShade="80"/>
          </w:tcPr>
          <w:p w:rsidR="000954E5" w:rsidRPr="00016443" w:rsidRDefault="000954E5" w:rsidP="00016443">
            <w:pPr>
              <w:spacing w:before="0" w:after="0"/>
              <w:jc w:val="center"/>
              <w:rPr>
                <w:rFonts w:ascii="Arial Narrow" w:eastAsiaTheme="minorHAnsi" w:hAnsi="Arial Narrow"/>
                <w:b/>
                <w:color w:val="FFFFFF" w:themeColor="background1"/>
                <w:sz w:val="20"/>
              </w:rPr>
            </w:pPr>
            <w:r w:rsidRPr="00016443">
              <w:rPr>
                <w:rFonts w:ascii="Arial Narrow" w:eastAsiaTheme="minorHAnsi" w:hAnsi="Arial Narrow"/>
                <w:b/>
                <w:color w:val="FFFFFF" w:themeColor="background1"/>
                <w:sz w:val="20"/>
              </w:rPr>
              <w:t>Impact</w:t>
            </w:r>
          </w:p>
        </w:tc>
        <w:tc>
          <w:tcPr>
            <w:tcW w:w="514" w:type="pct"/>
            <w:shd w:val="clear" w:color="auto" w:fill="808080" w:themeFill="background1" w:themeFillShade="80"/>
          </w:tcPr>
          <w:p w:rsidR="000954E5" w:rsidRPr="00016443" w:rsidRDefault="000954E5" w:rsidP="00016443">
            <w:pPr>
              <w:spacing w:before="0" w:after="0"/>
              <w:jc w:val="center"/>
              <w:rPr>
                <w:rFonts w:ascii="Arial Narrow" w:eastAsiaTheme="minorHAnsi" w:hAnsi="Arial Narrow"/>
                <w:b/>
                <w:color w:val="FFFFFF" w:themeColor="background1"/>
                <w:sz w:val="20"/>
              </w:rPr>
            </w:pPr>
            <w:r w:rsidRPr="00016443">
              <w:rPr>
                <w:rFonts w:ascii="Arial Narrow" w:eastAsiaTheme="minorHAnsi" w:hAnsi="Arial Narrow"/>
                <w:b/>
                <w:color w:val="FFFFFF" w:themeColor="background1"/>
                <w:sz w:val="20"/>
              </w:rPr>
              <w:t>Sustainability</w:t>
            </w:r>
          </w:p>
        </w:tc>
      </w:tr>
      <w:tr w:rsidR="000954E5" w:rsidRPr="00016443" w:rsidTr="00016443">
        <w:tc>
          <w:tcPr>
            <w:tcW w:w="593" w:type="pct"/>
          </w:tcPr>
          <w:p w:rsidR="000954E5" w:rsidRPr="00016443" w:rsidRDefault="000954E5" w:rsidP="00016443">
            <w:pPr>
              <w:spacing w:before="0" w:after="0"/>
              <w:rPr>
                <w:rFonts w:ascii="Arial Narrow" w:hAnsi="Arial Narrow"/>
                <w:sz w:val="20"/>
              </w:rPr>
            </w:pPr>
            <w:r w:rsidRPr="00016443">
              <w:rPr>
                <w:rFonts w:ascii="Arial Narrow" w:hAnsi="Arial Narrow"/>
                <w:sz w:val="20"/>
              </w:rPr>
              <w:t>271613</w:t>
            </w:r>
          </w:p>
        </w:tc>
        <w:tc>
          <w:tcPr>
            <w:tcW w:w="685" w:type="pct"/>
          </w:tcPr>
          <w:p w:rsidR="000954E5" w:rsidRPr="00016443" w:rsidRDefault="000954E5" w:rsidP="00016443">
            <w:pPr>
              <w:spacing w:before="0" w:after="0"/>
              <w:rPr>
                <w:rFonts w:ascii="Arial Narrow" w:hAnsi="Arial Narrow"/>
                <w:sz w:val="20"/>
              </w:rPr>
            </w:pPr>
            <w:r w:rsidRPr="00016443">
              <w:rPr>
                <w:rFonts w:ascii="Arial Narrow" w:hAnsi="Arial Narrow"/>
                <w:sz w:val="20"/>
              </w:rPr>
              <w:t>MR-145102.01</w:t>
            </w:r>
          </w:p>
        </w:tc>
        <w:tc>
          <w:tcPr>
            <w:tcW w:w="2216" w:type="pct"/>
          </w:tcPr>
          <w:p w:rsidR="000954E5" w:rsidRPr="00016443" w:rsidRDefault="000954E5" w:rsidP="00016443">
            <w:pPr>
              <w:spacing w:before="0" w:after="0"/>
              <w:rPr>
                <w:rFonts w:ascii="Arial Narrow" w:hAnsi="Arial Narrow"/>
                <w:sz w:val="20"/>
              </w:rPr>
            </w:pPr>
            <w:r w:rsidRPr="00016443">
              <w:rPr>
                <w:rFonts w:ascii="Arial Narrow" w:hAnsi="Arial Narrow"/>
                <w:sz w:val="20"/>
              </w:rPr>
              <w:t xml:space="preserve">Enhancing capacity and professionalism of lawyer community in </w:t>
            </w:r>
            <w:proofErr w:type="spellStart"/>
            <w:r w:rsidRPr="00016443">
              <w:rPr>
                <w:rFonts w:ascii="Arial Narrow" w:hAnsi="Arial Narrow"/>
                <w:sz w:val="20"/>
              </w:rPr>
              <w:t>oPt</w:t>
            </w:r>
            <w:proofErr w:type="spellEnd"/>
          </w:p>
        </w:tc>
        <w:tc>
          <w:tcPr>
            <w:tcW w:w="534" w:type="pct"/>
            <w:vAlign w:val="center"/>
          </w:tcPr>
          <w:p w:rsidR="000954E5" w:rsidRPr="00016443" w:rsidRDefault="000954E5" w:rsidP="00016443">
            <w:pPr>
              <w:spacing w:before="0" w:after="0"/>
              <w:jc w:val="center"/>
              <w:rPr>
                <w:rFonts w:ascii="Arial Narrow" w:hAnsi="Arial Narrow"/>
                <w:sz w:val="20"/>
              </w:rPr>
            </w:pPr>
            <w:r w:rsidRPr="00016443">
              <w:rPr>
                <w:rFonts w:ascii="Arial Narrow" w:hAnsi="Arial Narrow"/>
                <w:sz w:val="20"/>
              </w:rPr>
              <w:t>D</w:t>
            </w:r>
          </w:p>
        </w:tc>
        <w:tc>
          <w:tcPr>
            <w:tcW w:w="458" w:type="pct"/>
            <w:vAlign w:val="center"/>
          </w:tcPr>
          <w:p w:rsidR="000954E5" w:rsidRPr="00016443" w:rsidRDefault="000954E5" w:rsidP="00016443">
            <w:pPr>
              <w:spacing w:before="0" w:after="0"/>
              <w:jc w:val="center"/>
              <w:rPr>
                <w:rFonts w:ascii="Arial Narrow" w:hAnsi="Arial Narrow"/>
                <w:sz w:val="20"/>
              </w:rPr>
            </w:pPr>
            <w:r w:rsidRPr="00016443">
              <w:rPr>
                <w:rFonts w:ascii="Arial Narrow" w:hAnsi="Arial Narrow"/>
                <w:sz w:val="20"/>
              </w:rPr>
              <w:t>D</w:t>
            </w:r>
          </w:p>
        </w:tc>
        <w:tc>
          <w:tcPr>
            <w:tcW w:w="514" w:type="pct"/>
            <w:vAlign w:val="center"/>
          </w:tcPr>
          <w:p w:rsidR="000954E5" w:rsidRPr="00016443" w:rsidRDefault="000954E5" w:rsidP="00016443">
            <w:pPr>
              <w:spacing w:before="0" w:after="0"/>
              <w:jc w:val="center"/>
              <w:rPr>
                <w:rFonts w:ascii="Arial Narrow" w:hAnsi="Arial Narrow"/>
                <w:sz w:val="20"/>
              </w:rPr>
            </w:pPr>
            <w:r w:rsidRPr="00016443">
              <w:rPr>
                <w:rFonts w:ascii="Arial Narrow" w:hAnsi="Arial Narrow"/>
                <w:sz w:val="20"/>
              </w:rPr>
              <w:t>C</w:t>
            </w:r>
          </w:p>
        </w:tc>
      </w:tr>
      <w:tr w:rsidR="000954E5" w:rsidRPr="00016443" w:rsidTr="00016443">
        <w:tc>
          <w:tcPr>
            <w:tcW w:w="593" w:type="pct"/>
          </w:tcPr>
          <w:p w:rsidR="000954E5" w:rsidRPr="00016443" w:rsidRDefault="000954E5" w:rsidP="00016443">
            <w:pPr>
              <w:spacing w:before="0" w:after="0"/>
              <w:rPr>
                <w:rFonts w:ascii="Arial Narrow" w:hAnsi="Arial Narrow"/>
                <w:sz w:val="20"/>
              </w:rPr>
            </w:pPr>
            <w:r w:rsidRPr="00016443">
              <w:rPr>
                <w:rFonts w:ascii="Arial Narrow" w:hAnsi="Arial Narrow"/>
                <w:sz w:val="20"/>
              </w:rPr>
              <w:t>215524</w:t>
            </w:r>
          </w:p>
        </w:tc>
        <w:tc>
          <w:tcPr>
            <w:tcW w:w="685" w:type="pct"/>
          </w:tcPr>
          <w:p w:rsidR="000954E5" w:rsidRPr="00016443" w:rsidRDefault="000954E5" w:rsidP="00016443">
            <w:pPr>
              <w:spacing w:before="0" w:after="0"/>
              <w:rPr>
                <w:rFonts w:ascii="Arial Narrow" w:hAnsi="Arial Narrow"/>
                <w:sz w:val="20"/>
              </w:rPr>
            </w:pPr>
            <w:r w:rsidRPr="00016443">
              <w:rPr>
                <w:rFonts w:ascii="Arial Narrow" w:hAnsi="Arial Narrow"/>
                <w:sz w:val="20"/>
              </w:rPr>
              <w:t>MR-124580.03</w:t>
            </w:r>
          </w:p>
        </w:tc>
        <w:tc>
          <w:tcPr>
            <w:tcW w:w="2216" w:type="pct"/>
          </w:tcPr>
          <w:p w:rsidR="000954E5" w:rsidRPr="00016443" w:rsidRDefault="000954E5" w:rsidP="00016443">
            <w:pPr>
              <w:spacing w:before="0" w:after="0"/>
              <w:rPr>
                <w:rFonts w:ascii="Arial Narrow" w:hAnsi="Arial Narrow"/>
                <w:sz w:val="20"/>
              </w:rPr>
            </w:pPr>
            <w:r w:rsidRPr="00016443">
              <w:rPr>
                <w:rFonts w:ascii="Arial Narrow" w:hAnsi="Arial Narrow"/>
                <w:sz w:val="20"/>
              </w:rPr>
              <w:t>SEYADA II, Empowering the Palestinian Judicial system</w:t>
            </w:r>
          </w:p>
        </w:tc>
        <w:tc>
          <w:tcPr>
            <w:tcW w:w="534" w:type="pct"/>
            <w:vAlign w:val="center"/>
          </w:tcPr>
          <w:p w:rsidR="000954E5" w:rsidRPr="00016443" w:rsidRDefault="000954E5" w:rsidP="00016443">
            <w:pPr>
              <w:spacing w:before="0" w:after="0"/>
              <w:jc w:val="center"/>
              <w:rPr>
                <w:rFonts w:ascii="Arial Narrow" w:hAnsi="Arial Narrow"/>
                <w:sz w:val="20"/>
              </w:rPr>
            </w:pPr>
            <w:r w:rsidRPr="00016443">
              <w:rPr>
                <w:rFonts w:ascii="Arial Narrow" w:hAnsi="Arial Narrow"/>
                <w:sz w:val="20"/>
              </w:rPr>
              <w:t>C</w:t>
            </w:r>
          </w:p>
        </w:tc>
        <w:tc>
          <w:tcPr>
            <w:tcW w:w="458" w:type="pct"/>
            <w:vAlign w:val="center"/>
          </w:tcPr>
          <w:p w:rsidR="000954E5" w:rsidRPr="00016443" w:rsidRDefault="000954E5" w:rsidP="00016443">
            <w:pPr>
              <w:spacing w:before="0" w:after="0"/>
              <w:jc w:val="center"/>
              <w:rPr>
                <w:rFonts w:ascii="Arial Narrow" w:hAnsi="Arial Narrow"/>
                <w:sz w:val="20"/>
              </w:rPr>
            </w:pPr>
            <w:r w:rsidRPr="00016443">
              <w:rPr>
                <w:rFonts w:ascii="Arial Narrow" w:hAnsi="Arial Narrow"/>
                <w:sz w:val="20"/>
              </w:rPr>
              <w:t>C</w:t>
            </w:r>
          </w:p>
        </w:tc>
        <w:tc>
          <w:tcPr>
            <w:tcW w:w="514" w:type="pct"/>
            <w:vAlign w:val="center"/>
          </w:tcPr>
          <w:p w:rsidR="000954E5" w:rsidRPr="00016443" w:rsidRDefault="000954E5" w:rsidP="00016443">
            <w:pPr>
              <w:spacing w:before="0" w:after="0"/>
              <w:jc w:val="center"/>
              <w:rPr>
                <w:rFonts w:ascii="Arial Narrow" w:hAnsi="Arial Narrow"/>
                <w:sz w:val="20"/>
              </w:rPr>
            </w:pPr>
            <w:r w:rsidRPr="00016443">
              <w:rPr>
                <w:rFonts w:ascii="Arial Narrow" w:hAnsi="Arial Narrow"/>
                <w:sz w:val="20"/>
              </w:rPr>
              <w:t>C</w:t>
            </w:r>
          </w:p>
        </w:tc>
      </w:tr>
      <w:tr w:rsidR="000954E5" w:rsidRPr="00016443" w:rsidTr="00016443">
        <w:tc>
          <w:tcPr>
            <w:tcW w:w="593" w:type="pct"/>
          </w:tcPr>
          <w:p w:rsidR="000954E5" w:rsidRPr="00016443" w:rsidRDefault="000954E5" w:rsidP="00016443">
            <w:pPr>
              <w:spacing w:before="0" w:after="0"/>
              <w:rPr>
                <w:rFonts w:ascii="Arial Narrow" w:hAnsi="Arial Narrow"/>
                <w:sz w:val="20"/>
              </w:rPr>
            </w:pPr>
            <w:r w:rsidRPr="00016443">
              <w:rPr>
                <w:rFonts w:ascii="Arial Narrow" w:hAnsi="Arial Narrow"/>
                <w:sz w:val="20"/>
              </w:rPr>
              <w:t>258913</w:t>
            </w:r>
          </w:p>
        </w:tc>
        <w:tc>
          <w:tcPr>
            <w:tcW w:w="685" w:type="pct"/>
          </w:tcPr>
          <w:p w:rsidR="000954E5" w:rsidRPr="00016443" w:rsidRDefault="000954E5" w:rsidP="00016443">
            <w:pPr>
              <w:spacing w:before="0" w:after="0"/>
              <w:rPr>
                <w:rFonts w:ascii="Arial Narrow" w:hAnsi="Arial Narrow"/>
                <w:sz w:val="20"/>
              </w:rPr>
            </w:pPr>
            <w:r w:rsidRPr="00016443">
              <w:rPr>
                <w:rFonts w:ascii="Arial Narrow" w:hAnsi="Arial Narrow"/>
                <w:sz w:val="20"/>
              </w:rPr>
              <w:t>MR-145038.01</w:t>
            </w:r>
          </w:p>
        </w:tc>
        <w:tc>
          <w:tcPr>
            <w:tcW w:w="2216" w:type="pct"/>
          </w:tcPr>
          <w:p w:rsidR="000954E5" w:rsidRPr="00016443" w:rsidRDefault="000954E5" w:rsidP="00016443">
            <w:pPr>
              <w:spacing w:before="0" w:after="0"/>
              <w:rPr>
                <w:rFonts w:ascii="Arial Narrow" w:hAnsi="Arial Narrow"/>
                <w:sz w:val="20"/>
              </w:rPr>
            </w:pPr>
            <w:r w:rsidRPr="00016443">
              <w:rPr>
                <w:rFonts w:ascii="Arial Narrow" w:hAnsi="Arial Narrow"/>
                <w:sz w:val="20"/>
              </w:rPr>
              <w:t xml:space="preserve">Promoting freedom of thought, association and movement in Gaza through support to Civil Society; (EIDHR) </w:t>
            </w:r>
          </w:p>
        </w:tc>
        <w:tc>
          <w:tcPr>
            <w:tcW w:w="534" w:type="pct"/>
            <w:vAlign w:val="center"/>
          </w:tcPr>
          <w:p w:rsidR="000954E5" w:rsidRPr="00016443" w:rsidRDefault="000954E5" w:rsidP="00016443">
            <w:pPr>
              <w:spacing w:before="0" w:after="0"/>
              <w:jc w:val="center"/>
              <w:rPr>
                <w:rFonts w:ascii="Arial Narrow" w:hAnsi="Arial Narrow"/>
                <w:sz w:val="20"/>
              </w:rPr>
            </w:pPr>
            <w:r w:rsidRPr="00016443">
              <w:rPr>
                <w:rFonts w:ascii="Arial Narrow" w:hAnsi="Arial Narrow"/>
                <w:sz w:val="20"/>
              </w:rPr>
              <w:t>B</w:t>
            </w:r>
          </w:p>
        </w:tc>
        <w:tc>
          <w:tcPr>
            <w:tcW w:w="458" w:type="pct"/>
            <w:vAlign w:val="center"/>
          </w:tcPr>
          <w:p w:rsidR="000954E5" w:rsidRPr="00016443" w:rsidRDefault="000954E5" w:rsidP="00016443">
            <w:pPr>
              <w:spacing w:before="0" w:after="0"/>
              <w:jc w:val="center"/>
              <w:rPr>
                <w:rFonts w:ascii="Arial Narrow" w:hAnsi="Arial Narrow"/>
                <w:sz w:val="20"/>
              </w:rPr>
            </w:pPr>
            <w:r w:rsidRPr="00016443">
              <w:rPr>
                <w:rFonts w:ascii="Arial Narrow" w:hAnsi="Arial Narrow"/>
                <w:sz w:val="20"/>
              </w:rPr>
              <w:t>B</w:t>
            </w:r>
          </w:p>
        </w:tc>
        <w:tc>
          <w:tcPr>
            <w:tcW w:w="514" w:type="pct"/>
            <w:vAlign w:val="center"/>
          </w:tcPr>
          <w:p w:rsidR="000954E5" w:rsidRPr="00016443" w:rsidRDefault="000954E5" w:rsidP="00016443">
            <w:pPr>
              <w:spacing w:before="0" w:after="0"/>
              <w:jc w:val="center"/>
              <w:rPr>
                <w:rFonts w:ascii="Arial Narrow" w:hAnsi="Arial Narrow"/>
                <w:sz w:val="20"/>
              </w:rPr>
            </w:pPr>
            <w:r w:rsidRPr="00016443">
              <w:rPr>
                <w:rFonts w:ascii="Arial Narrow" w:hAnsi="Arial Narrow"/>
                <w:sz w:val="20"/>
              </w:rPr>
              <w:t>B</w:t>
            </w:r>
          </w:p>
        </w:tc>
      </w:tr>
      <w:tr w:rsidR="000954E5" w:rsidRPr="00016443" w:rsidTr="00016443">
        <w:tc>
          <w:tcPr>
            <w:tcW w:w="593" w:type="pct"/>
            <w:tcBorders>
              <w:bottom w:val="single" w:sz="4" w:space="0" w:color="000000"/>
            </w:tcBorders>
          </w:tcPr>
          <w:p w:rsidR="000954E5" w:rsidRPr="00016443" w:rsidRDefault="000954E5" w:rsidP="00016443">
            <w:pPr>
              <w:spacing w:before="0" w:after="0"/>
              <w:rPr>
                <w:rFonts w:ascii="Arial Narrow" w:hAnsi="Arial Narrow"/>
                <w:sz w:val="20"/>
              </w:rPr>
            </w:pPr>
            <w:r w:rsidRPr="00016443">
              <w:rPr>
                <w:rFonts w:ascii="Arial Narrow" w:hAnsi="Arial Narrow"/>
                <w:sz w:val="20"/>
              </w:rPr>
              <w:t>266673</w:t>
            </w:r>
          </w:p>
        </w:tc>
        <w:tc>
          <w:tcPr>
            <w:tcW w:w="685" w:type="pct"/>
            <w:tcBorders>
              <w:bottom w:val="single" w:sz="4" w:space="0" w:color="000000"/>
            </w:tcBorders>
          </w:tcPr>
          <w:p w:rsidR="000954E5" w:rsidRPr="00016443" w:rsidRDefault="000954E5" w:rsidP="00016443">
            <w:pPr>
              <w:spacing w:before="0" w:after="0"/>
              <w:rPr>
                <w:rFonts w:ascii="Arial Narrow" w:hAnsi="Arial Narrow"/>
                <w:sz w:val="20"/>
              </w:rPr>
            </w:pPr>
            <w:r w:rsidRPr="00016443">
              <w:rPr>
                <w:rFonts w:ascii="Arial Narrow" w:hAnsi="Arial Narrow"/>
                <w:sz w:val="20"/>
              </w:rPr>
              <w:t>MR-144276.01</w:t>
            </w:r>
          </w:p>
        </w:tc>
        <w:tc>
          <w:tcPr>
            <w:tcW w:w="2216" w:type="pct"/>
            <w:tcBorders>
              <w:bottom w:val="single" w:sz="4" w:space="0" w:color="000000"/>
            </w:tcBorders>
          </w:tcPr>
          <w:p w:rsidR="000954E5" w:rsidRPr="00016443" w:rsidRDefault="000954E5" w:rsidP="00016443">
            <w:pPr>
              <w:spacing w:before="0" w:after="0"/>
              <w:rPr>
                <w:rFonts w:ascii="Arial Narrow" w:hAnsi="Arial Narrow"/>
                <w:sz w:val="20"/>
              </w:rPr>
            </w:pPr>
            <w:r w:rsidRPr="00016443">
              <w:rPr>
                <w:rFonts w:ascii="Arial Narrow" w:hAnsi="Arial Narrow"/>
                <w:sz w:val="20"/>
              </w:rPr>
              <w:t>Provision of Advisors to the Justice Sector, West Bank and Gaza</w:t>
            </w:r>
          </w:p>
        </w:tc>
        <w:tc>
          <w:tcPr>
            <w:tcW w:w="534" w:type="pct"/>
            <w:tcBorders>
              <w:bottom w:val="single" w:sz="4" w:space="0" w:color="000000"/>
            </w:tcBorders>
            <w:vAlign w:val="center"/>
          </w:tcPr>
          <w:p w:rsidR="000954E5" w:rsidRPr="00016443" w:rsidRDefault="000954E5" w:rsidP="00016443">
            <w:pPr>
              <w:spacing w:before="0" w:after="0"/>
              <w:jc w:val="center"/>
              <w:rPr>
                <w:rFonts w:ascii="Arial Narrow" w:hAnsi="Arial Narrow"/>
                <w:sz w:val="20"/>
              </w:rPr>
            </w:pPr>
            <w:r w:rsidRPr="00016443">
              <w:rPr>
                <w:rFonts w:ascii="Arial Narrow" w:hAnsi="Arial Narrow"/>
                <w:sz w:val="20"/>
              </w:rPr>
              <w:t>B</w:t>
            </w:r>
          </w:p>
        </w:tc>
        <w:tc>
          <w:tcPr>
            <w:tcW w:w="458" w:type="pct"/>
            <w:tcBorders>
              <w:bottom w:val="single" w:sz="4" w:space="0" w:color="000000"/>
            </w:tcBorders>
            <w:vAlign w:val="center"/>
          </w:tcPr>
          <w:p w:rsidR="000954E5" w:rsidRPr="00016443" w:rsidRDefault="000954E5" w:rsidP="00016443">
            <w:pPr>
              <w:spacing w:before="0" w:after="0"/>
              <w:jc w:val="center"/>
              <w:rPr>
                <w:rFonts w:ascii="Arial Narrow" w:hAnsi="Arial Narrow"/>
                <w:sz w:val="20"/>
              </w:rPr>
            </w:pPr>
            <w:r w:rsidRPr="00016443">
              <w:rPr>
                <w:rFonts w:ascii="Arial Narrow" w:hAnsi="Arial Narrow"/>
                <w:sz w:val="20"/>
              </w:rPr>
              <w:t>B</w:t>
            </w:r>
          </w:p>
        </w:tc>
        <w:tc>
          <w:tcPr>
            <w:tcW w:w="514" w:type="pct"/>
            <w:tcBorders>
              <w:bottom w:val="single" w:sz="4" w:space="0" w:color="000000"/>
            </w:tcBorders>
            <w:vAlign w:val="center"/>
          </w:tcPr>
          <w:p w:rsidR="000954E5" w:rsidRPr="00016443" w:rsidRDefault="000954E5" w:rsidP="00016443">
            <w:pPr>
              <w:spacing w:before="0" w:after="0"/>
              <w:jc w:val="center"/>
              <w:rPr>
                <w:rFonts w:ascii="Arial Narrow" w:hAnsi="Arial Narrow"/>
                <w:sz w:val="20"/>
              </w:rPr>
            </w:pPr>
            <w:r w:rsidRPr="00016443">
              <w:rPr>
                <w:rFonts w:ascii="Arial Narrow" w:hAnsi="Arial Narrow"/>
                <w:sz w:val="20"/>
              </w:rPr>
              <w:t>C</w:t>
            </w:r>
          </w:p>
        </w:tc>
      </w:tr>
    </w:tbl>
    <w:p w:rsidR="000954E5" w:rsidRDefault="000954E5" w:rsidP="00016443">
      <w:pPr>
        <w:spacing w:before="0" w:after="0"/>
        <w:rPr>
          <w:rFonts w:ascii="Times New Roman" w:hAnsi="Times New Roman"/>
        </w:rPr>
      </w:pPr>
    </w:p>
    <w:p w:rsidR="000954E5" w:rsidRDefault="00016443" w:rsidP="00016443">
      <w:pPr>
        <w:spacing w:before="0" w:after="0"/>
        <w:rPr>
          <w:rFonts w:ascii="Arial" w:hAnsi="Arial" w:cs="Arial"/>
          <w:b/>
          <w:color w:val="1F497D" w:themeColor="text2"/>
          <w:sz w:val="22"/>
          <w:szCs w:val="22"/>
        </w:rPr>
      </w:pPr>
      <w:r>
        <w:rPr>
          <w:rFonts w:ascii="Arial" w:hAnsi="Arial" w:cs="Arial"/>
          <w:b/>
          <w:color w:val="1F497D" w:themeColor="text2"/>
          <w:sz w:val="22"/>
          <w:szCs w:val="22"/>
        </w:rPr>
        <w:t xml:space="preserve">EQ7. </w:t>
      </w:r>
      <w:r w:rsidR="000954E5" w:rsidRPr="00016443">
        <w:rPr>
          <w:rFonts w:ascii="Arial" w:hAnsi="Arial" w:cs="Arial"/>
          <w:b/>
          <w:color w:val="1F497D" w:themeColor="text2"/>
          <w:sz w:val="22"/>
          <w:szCs w:val="22"/>
        </w:rPr>
        <w:t xml:space="preserve">SOCIAL SECTOR </w:t>
      </w:r>
    </w:p>
    <w:p w:rsidR="00016443" w:rsidRPr="00016443" w:rsidRDefault="00016443" w:rsidP="00016443">
      <w:pPr>
        <w:spacing w:before="0" w:after="0"/>
        <w:rPr>
          <w:rFonts w:ascii="Arial" w:hAnsi="Arial" w:cs="Arial"/>
          <w:b/>
          <w:color w:val="1F497D" w:themeColor="text2"/>
          <w:sz w:val="22"/>
          <w:szCs w:val="22"/>
        </w:rPr>
      </w:pPr>
    </w:p>
    <w:p w:rsidR="000954E5" w:rsidRPr="00016443" w:rsidRDefault="00D714DB" w:rsidP="00016443">
      <w:pPr>
        <w:shd w:val="clear" w:color="auto" w:fill="DBE5F1" w:themeFill="accent1" w:themeFillTint="33"/>
        <w:spacing w:before="0" w:after="0"/>
        <w:rPr>
          <w:rFonts w:ascii="Arial" w:hAnsi="Arial" w:cs="Arial"/>
          <w:sz w:val="22"/>
          <w:szCs w:val="22"/>
        </w:rPr>
      </w:pPr>
      <w:r>
        <w:rPr>
          <w:rFonts w:ascii="Arial" w:hAnsi="Arial" w:cs="Arial"/>
          <w:b/>
          <w:sz w:val="22"/>
          <w:szCs w:val="22"/>
        </w:rPr>
        <w:t>EQ7 / JC</w:t>
      </w:r>
      <w:r w:rsidR="000954E5" w:rsidRPr="00016443">
        <w:rPr>
          <w:rFonts w:ascii="Arial" w:hAnsi="Arial" w:cs="Arial"/>
          <w:b/>
          <w:sz w:val="22"/>
          <w:szCs w:val="22"/>
        </w:rPr>
        <w:t>2</w:t>
      </w:r>
      <w:r w:rsidR="000954E5" w:rsidRPr="00016443">
        <w:rPr>
          <w:rFonts w:ascii="Arial" w:hAnsi="Arial" w:cs="Arial"/>
          <w:sz w:val="22"/>
          <w:szCs w:val="22"/>
        </w:rPr>
        <w:t xml:space="preserve"> Cooperation Interventions respond to needs and demands of the Palestinian people.</w:t>
      </w:r>
    </w:p>
    <w:p w:rsidR="000954E5" w:rsidRDefault="000954E5" w:rsidP="00016443">
      <w:pPr>
        <w:spacing w:before="0" w:after="0"/>
        <w:rPr>
          <w:rFonts w:ascii="Arial" w:hAnsi="Arial" w:cs="Arial"/>
          <w:sz w:val="22"/>
          <w:szCs w:val="22"/>
        </w:rPr>
      </w:pPr>
      <w:r w:rsidRPr="00016443">
        <w:rPr>
          <w:rFonts w:ascii="Arial" w:hAnsi="Arial" w:cs="Arial"/>
          <w:sz w:val="22"/>
          <w:szCs w:val="22"/>
        </w:rPr>
        <w:t>At a more detailed level, relevance has been checked through the review of five Monitoring Reports for the social sector; these reports unanimously assess positively the relevance of EU-funded interventions to beneficiaries’ needs; the following table summarizes the findings.</w:t>
      </w:r>
    </w:p>
    <w:p w:rsidR="00D714DB" w:rsidRPr="00016443" w:rsidRDefault="00D714DB" w:rsidP="00016443">
      <w:pPr>
        <w:spacing w:before="0" w:after="0"/>
        <w:rPr>
          <w:rFonts w:ascii="Arial" w:hAnsi="Arial" w:cs="Arial"/>
          <w:sz w:val="22"/>
          <w:szCs w:val="22"/>
        </w:rPr>
      </w:pPr>
    </w:p>
    <w:p w:rsidR="000954E5" w:rsidRPr="00D714DB" w:rsidRDefault="00D714DB" w:rsidP="00D714DB">
      <w:pPr>
        <w:spacing w:before="0" w:after="0"/>
        <w:jc w:val="center"/>
        <w:rPr>
          <w:rFonts w:ascii="Arial" w:hAnsi="Arial" w:cs="Arial"/>
          <w:b/>
          <w:color w:val="1F497D" w:themeColor="text2"/>
          <w:sz w:val="18"/>
          <w:szCs w:val="18"/>
        </w:rPr>
      </w:pPr>
      <w:r w:rsidRPr="00D714DB">
        <w:rPr>
          <w:rFonts w:ascii="Arial" w:hAnsi="Arial" w:cs="Arial"/>
          <w:b/>
          <w:color w:val="1F497D" w:themeColor="text2"/>
          <w:sz w:val="18"/>
          <w:szCs w:val="18"/>
        </w:rPr>
        <w:t>Table 6: Conclusions of ROM of selected projects under Social Sector (relevance criteria</w:t>
      </w:r>
    </w:p>
    <w:tbl>
      <w:tblPr>
        <w:tblStyle w:val="Grigliatabella"/>
        <w:tblW w:w="5000" w:type="pct"/>
        <w:tblLook w:val="04A0"/>
      </w:tblPr>
      <w:tblGrid>
        <w:gridCol w:w="1079"/>
        <w:gridCol w:w="1298"/>
        <w:gridCol w:w="2694"/>
        <w:gridCol w:w="4783"/>
      </w:tblGrid>
      <w:tr w:rsidR="000954E5" w:rsidRPr="00016443" w:rsidTr="00016443">
        <w:tc>
          <w:tcPr>
            <w:tcW w:w="547" w:type="pct"/>
            <w:shd w:val="clear" w:color="auto" w:fill="808080" w:themeFill="background1" w:themeFillShade="80"/>
          </w:tcPr>
          <w:p w:rsidR="000954E5" w:rsidRPr="00016443" w:rsidRDefault="000954E5" w:rsidP="00016443">
            <w:pPr>
              <w:spacing w:before="0" w:after="0"/>
              <w:jc w:val="center"/>
              <w:rPr>
                <w:rFonts w:ascii="Arial Narrow" w:eastAsiaTheme="minorHAnsi" w:hAnsi="Arial Narrow"/>
                <w:b/>
                <w:color w:val="FFFFFF" w:themeColor="background1"/>
                <w:sz w:val="20"/>
              </w:rPr>
            </w:pPr>
            <w:r w:rsidRPr="00016443">
              <w:rPr>
                <w:rFonts w:ascii="Arial Narrow" w:eastAsiaTheme="minorHAnsi" w:hAnsi="Arial Narrow"/>
                <w:b/>
                <w:color w:val="FFFFFF" w:themeColor="background1"/>
                <w:sz w:val="20"/>
              </w:rPr>
              <w:t>Contract Number</w:t>
            </w:r>
          </w:p>
        </w:tc>
        <w:tc>
          <w:tcPr>
            <w:tcW w:w="658" w:type="pct"/>
            <w:shd w:val="clear" w:color="auto" w:fill="808080" w:themeFill="background1" w:themeFillShade="80"/>
          </w:tcPr>
          <w:p w:rsidR="000954E5" w:rsidRPr="00016443" w:rsidRDefault="000954E5" w:rsidP="00016443">
            <w:pPr>
              <w:spacing w:before="0" w:after="0"/>
              <w:jc w:val="center"/>
              <w:rPr>
                <w:rFonts w:ascii="Arial Narrow" w:eastAsiaTheme="minorHAnsi" w:hAnsi="Arial Narrow"/>
                <w:b/>
                <w:color w:val="FFFFFF" w:themeColor="background1"/>
                <w:sz w:val="20"/>
              </w:rPr>
            </w:pPr>
            <w:r w:rsidRPr="00016443">
              <w:rPr>
                <w:rFonts w:ascii="Arial Narrow" w:eastAsiaTheme="minorHAnsi" w:hAnsi="Arial Narrow"/>
                <w:b/>
                <w:color w:val="FFFFFF" w:themeColor="background1"/>
                <w:sz w:val="20"/>
              </w:rPr>
              <w:t>ROM reference</w:t>
            </w:r>
          </w:p>
        </w:tc>
        <w:tc>
          <w:tcPr>
            <w:tcW w:w="1367" w:type="pct"/>
            <w:shd w:val="clear" w:color="auto" w:fill="808080" w:themeFill="background1" w:themeFillShade="80"/>
          </w:tcPr>
          <w:p w:rsidR="000954E5" w:rsidRPr="00016443" w:rsidRDefault="000954E5" w:rsidP="00016443">
            <w:pPr>
              <w:spacing w:before="0" w:after="0"/>
              <w:rPr>
                <w:rFonts w:ascii="Arial Narrow" w:eastAsiaTheme="minorHAnsi" w:hAnsi="Arial Narrow"/>
                <w:b/>
                <w:color w:val="FFFFFF" w:themeColor="background1"/>
                <w:sz w:val="20"/>
              </w:rPr>
            </w:pPr>
            <w:r w:rsidRPr="00016443">
              <w:rPr>
                <w:rFonts w:ascii="Arial Narrow" w:eastAsiaTheme="minorHAnsi" w:hAnsi="Arial Narrow"/>
                <w:b/>
                <w:color w:val="FFFFFF" w:themeColor="background1"/>
                <w:sz w:val="20"/>
              </w:rPr>
              <w:t>Project</w:t>
            </w:r>
          </w:p>
        </w:tc>
        <w:tc>
          <w:tcPr>
            <w:tcW w:w="2427" w:type="pct"/>
            <w:shd w:val="clear" w:color="auto" w:fill="808080" w:themeFill="background1" w:themeFillShade="80"/>
          </w:tcPr>
          <w:p w:rsidR="000954E5" w:rsidRPr="00016443" w:rsidRDefault="000954E5" w:rsidP="00016443">
            <w:pPr>
              <w:spacing w:before="0" w:after="0"/>
              <w:rPr>
                <w:rFonts w:ascii="Arial Narrow" w:eastAsiaTheme="minorHAnsi" w:hAnsi="Arial Narrow"/>
                <w:b/>
                <w:color w:val="FFFFFF" w:themeColor="background1"/>
                <w:sz w:val="20"/>
              </w:rPr>
            </w:pPr>
            <w:r w:rsidRPr="00016443">
              <w:rPr>
                <w:rFonts w:ascii="Arial Narrow" w:eastAsiaTheme="minorHAnsi" w:hAnsi="Arial Narrow"/>
                <w:b/>
                <w:color w:val="FFFFFF" w:themeColor="background1"/>
                <w:sz w:val="20"/>
              </w:rPr>
              <w:t>Assessment on relevance to needs</w:t>
            </w:r>
          </w:p>
        </w:tc>
      </w:tr>
      <w:tr w:rsidR="000954E5" w:rsidRPr="00016443" w:rsidTr="00016443">
        <w:tc>
          <w:tcPr>
            <w:tcW w:w="547" w:type="pct"/>
          </w:tcPr>
          <w:p w:rsidR="000954E5" w:rsidRPr="00016443" w:rsidRDefault="000954E5" w:rsidP="00016443">
            <w:pPr>
              <w:spacing w:before="0" w:after="0"/>
              <w:rPr>
                <w:rFonts w:ascii="Arial Narrow" w:hAnsi="Arial Narrow"/>
                <w:sz w:val="20"/>
              </w:rPr>
            </w:pPr>
            <w:r w:rsidRPr="00016443">
              <w:rPr>
                <w:rFonts w:ascii="Arial Narrow" w:hAnsi="Arial Narrow"/>
                <w:sz w:val="20"/>
              </w:rPr>
              <w:t>270253</w:t>
            </w:r>
          </w:p>
        </w:tc>
        <w:tc>
          <w:tcPr>
            <w:tcW w:w="658" w:type="pct"/>
          </w:tcPr>
          <w:p w:rsidR="000954E5" w:rsidRPr="00016443" w:rsidRDefault="000954E5" w:rsidP="00016443">
            <w:pPr>
              <w:spacing w:before="0" w:after="0"/>
              <w:rPr>
                <w:rFonts w:ascii="Arial Narrow" w:hAnsi="Arial Narrow"/>
                <w:sz w:val="20"/>
              </w:rPr>
            </w:pPr>
            <w:r w:rsidRPr="00016443">
              <w:rPr>
                <w:rFonts w:ascii="Arial Narrow" w:hAnsi="Arial Narrow"/>
                <w:sz w:val="20"/>
              </w:rPr>
              <w:t>MR-145033.01</w:t>
            </w:r>
          </w:p>
        </w:tc>
        <w:tc>
          <w:tcPr>
            <w:tcW w:w="1367" w:type="pct"/>
          </w:tcPr>
          <w:p w:rsidR="000954E5" w:rsidRPr="00016443" w:rsidRDefault="000954E5" w:rsidP="00016443">
            <w:pPr>
              <w:spacing w:before="0" w:after="0"/>
              <w:rPr>
                <w:rFonts w:ascii="Arial Narrow" w:hAnsi="Arial Narrow"/>
                <w:sz w:val="20"/>
              </w:rPr>
            </w:pPr>
            <w:r w:rsidRPr="00016443">
              <w:rPr>
                <w:rFonts w:ascii="Arial Narrow" w:hAnsi="Arial Narrow"/>
                <w:sz w:val="20"/>
              </w:rPr>
              <w:t>EU  support for TVET development in Palestine</w:t>
            </w:r>
          </w:p>
        </w:tc>
        <w:tc>
          <w:tcPr>
            <w:tcW w:w="2427" w:type="pct"/>
          </w:tcPr>
          <w:p w:rsidR="000954E5" w:rsidRPr="00016443" w:rsidRDefault="000954E5" w:rsidP="00B54C8F">
            <w:pPr>
              <w:pStyle w:val="Paragrafoelenco"/>
              <w:numPr>
                <w:ilvl w:val="0"/>
                <w:numId w:val="98"/>
              </w:numPr>
              <w:spacing w:before="0" w:after="0"/>
              <w:jc w:val="left"/>
              <w:rPr>
                <w:rFonts w:ascii="Arial Narrow" w:hAnsi="Arial Narrow"/>
                <w:sz w:val="20"/>
              </w:rPr>
            </w:pPr>
            <w:r w:rsidRPr="00016443">
              <w:rPr>
                <w:rFonts w:ascii="Arial Narrow" w:hAnsi="Arial Narrow"/>
                <w:sz w:val="20"/>
              </w:rPr>
              <w:t>High relevance to development of a standardized TVET system in Palestine;</w:t>
            </w:r>
          </w:p>
          <w:p w:rsidR="000954E5" w:rsidRPr="00016443" w:rsidRDefault="000954E5" w:rsidP="00B54C8F">
            <w:pPr>
              <w:pStyle w:val="Paragrafoelenco"/>
              <w:numPr>
                <w:ilvl w:val="0"/>
                <w:numId w:val="98"/>
              </w:numPr>
              <w:spacing w:before="0" w:after="0"/>
              <w:jc w:val="left"/>
              <w:rPr>
                <w:rFonts w:ascii="Arial Narrow" w:hAnsi="Arial Narrow"/>
                <w:sz w:val="20"/>
              </w:rPr>
            </w:pPr>
            <w:r w:rsidRPr="00016443">
              <w:rPr>
                <w:rFonts w:ascii="Arial Narrow" w:hAnsi="Arial Narrow"/>
                <w:sz w:val="20"/>
              </w:rPr>
              <w:t>Labor-market-driven training relevant to demand;</w:t>
            </w:r>
          </w:p>
        </w:tc>
      </w:tr>
      <w:tr w:rsidR="000954E5" w:rsidRPr="00016443" w:rsidTr="00016443">
        <w:tc>
          <w:tcPr>
            <w:tcW w:w="547" w:type="pct"/>
          </w:tcPr>
          <w:p w:rsidR="000954E5" w:rsidRPr="00016443" w:rsidRDefault="000954E5" w:rsidP="00016443">
            <w:pPr>
              <w:spacing w:before="0" w:after="0"/>
              <w:rPr>
                <w:rFonts w:ascii="Arial Narrow" w:hAnsi="Arial Narrow"/>
                <w:sz w:val="20"/>
              </w:rPr>
            </w:pPr>
            <w:r w:rsidRPr="00016443">
              <w:rPr>
                <w:rFonts w:ascii="Arial Narrow" w:hAnsi="Arial Narrow"/>
                <w:sz w:val="20"/>
              </w:rPr>
              <w:t>268270</w:t>
            </w:r>
          </w:p>
        </w:tc>
        <w:tc>
          <w:tcPr>
            <w:tcW w:w="658" w:type="pct"/>
          </w:tcPr>
          <w:p w:rsidR="000954E5" w:rsidRPr="00016443" w:rsidRDefault="000954E5" w:rsidP="00016443">
            <w:pPr>
              <w:spacing w:before="0" w:after="0"/>
              <w:rPr>
                <w:rFonts w:ascii="Arial Narrow" w:hAnsi="Arial Narrow"/>
                <w:sz w:val="20"/>
              </w:rPr>
            </w:pPr>
            <w:r w:rsidRPr="00016443">
              <w:rPr>
                <w:rFonts w:ascii="Arial Narrow" w:hAnsi="Arial Narrow"/>
                <w:sz w:val="20"/>
              </w:rPr>
              <w:t>MR-145669.01</w:t>
            </w:r>
          </w:p>
        </w:tc>
        <w:tc>
          <w:tcPr>
            <w:tcW w:w="1367" w:type="pct"/>
          </w:tcPr>
          <w:p w:rsidR="000954E5" w:rsidRPr="00016443" w:rsidRDefault="000954E5" w:rsidP="00016443">
            <w:pPr>
              <w:spacing w:before="0" w:after="0"/>
              <w:rPr>
                <w:rFonts w:ascii="Arial Narrow" w:hAnsi="Arial Narrow"/>
                <w:sz w:val="20"/>
              </w:rPr>
            </w:pPr>
            <w:r w:rsidRPr="00016443">
              <w:rPr>
                <w:rFonts w:ascii="Arial Narrow" w:hAnsi="Arial Narrow"/>
                <w:sz w:val="20"/>
              </w:rPr>
              <w:t>Supporting food security and livelihoods of poor families through improving water harvesting and water demand management for agriculture;</w:t>
            </w:r>
          </w:p>
        </w:tc>
        <w:tc>
          <w:tcPr>
            <w:tcW w:w="2427" w:type="pct"/>
          </w:tcPr>
          <w:p w:rsidR="000954E5" w:rsidRPr="00016443" w:rsidRDefault="000954E5" w:rsidP="00B54C8F">
            <w:pPr>
              <w:pStyle w:val="Paragrafoelenco"/>
              <w:numPr>
                <w:ilvl w:val="0"/>
                <w:numId w:val="98"/>
              </w:numPr>
              <w:spacing w:before="0" w:after="0"/>
              <w:jc w:val="left"/>
              <w:rPr>
                <w:rFonts w:ascii="Arial Narrow" w:hAnsi="Arial Narrow"/>
                <w:sz w:val="20"/>
              </w:rPr>
            </w:pPr>
            <w:r w:rsidRPr="00016443">
              <w:rPr>
                <w:rFonts w:ascii="Arial Narrow" w:hAnsi="Arial Narrow"/>
                <w:sz w:val="20"/>
              </w:rPr>
              <w:t>The project (building 450 storage cisterns) is highly relevant, fully in line with NDP (which fosters building of cisterns)</w:t>
            </w:r>
          </w:p>
          <w:p w:rsidR="000954E5" w:rsidRPr="00016443" w:rsidRDefault="000954E5" w:rsidP="00B54C8F">
            <w:pPr>
              <w:pStyle w:val="Paragrafoelenco"/>
              <w:numPr>
                <w:ilvl w:val="0"/>
                <w:numId w:val="98"/>
              </w:numPr>
              <w:spacing w:before="0" w:after="0"/>
              <w:jc w:val="left"/>
              <w:rPr>
                <w:rFonts w:ascii="Arial Narrow" w:hAnsi="Arial Narrow"/>
                <w:sz w:val="20"/>
              </w:rPr>
            </w:pPr>
            <w:r w:rsidRPr="00016443">
              <w:rPr>
                <w:rFonts w:ascii="Arial Narrow" w:hAnsi="Arial Narrow"/>
                <w:sz w:val="20"/>
              </w:rPr>
              <w:t>Responds to findings of the needs analysis framework for food security and agriculture;</w:t>
            </w:r>
          </w:p>
        </w:tc>
      </w:tr>
      <w:tr w:rsidR="000954E5" w:rsidRPr="00016443" w:rsidTr="00016443">
        <w:tc>
          <w:tcPr>
            <w:tcW w:w="547" w:type="pct"/>
          </w:tcPr>
          <w:p w:rsidR="000954E5" w:rsidRPr="00016443" w:rsidRDefault="000954E5" w:rsidP="00016443">
            <w:pPr>
              <w:spacing w:before="0" w:after="0"/>
              <w:rPr>
                <w:rFonts w:ascii="Arial Narrow" w:hAnsi="Arial Narrow"/>
                <w:sz w:val="20"/>
              </w:rPr>
            </w:pPr>
            <w:r w:rsidRPr="00016443">
              <w:rPr>
                <w:rFonts w:ascii="Arial Narrow" w:hAnsi="Arial Narrow"/>
                <w:sz w:val="20"/>
              </w:rPr>
              <w:t>237071</w:t>
            </w:r>
          </w:p>
        </w:tc>
        <w:tc>
          <w:tcPr>
            <w:tcW w:w="658" w:type="pct"/>
          </w:tcPr>
          <w:p w:rsidR="000954E5" w:rsidRPr="00016443" w:rsidRDefault="000954E5" w:rsidP="00016443">
            <w:pPr>
              <w:spacing w:before="0" w:after="0"/>
              <w:rPr>
                <w:rFonts w:ascii="Arial Narrow" w:hAnsi="Arial Narrow"/>
                <w:sz w:val="20"/>
              </w:rPr>
            </w:pPr>
            <w:r w:rsidRPr="00016443">
              <w:rPr>
                <w:rFonts w:ascii="Arial Narrow" w:hAnsi="Arial Narrow"/>
                <w:sz w:val="20"/>
              </w:rPr>
              <w:t>MR-145077.01</w:t>
            </w:r>
          </w:p>
        </w:tc>
        <w:tc>
          <w:tcPr>
            <w:tcW w:w="1367" w:type="pct"/>
          </w:tcPr>
          <w:p w:rsidR="000954E5" w:rsidRPr="00016443" w:rsidRDefault="000954E5" w:rsidP="00016443">
            <w:pPr>
              <w:spacing w:before="0" w:after="0"/>
              <w:rPr>
                <w:rFonts w:ascii="Arial Narrow" w:hAnsi="Arial Narrow"/>
                <w:sz w:val="20"/>
              </w:rPr>
            </w:pPr>
            <w:r w:rsidRPr="00016443">
              <w:rPr>
                <w:rFonts w:ascii="Arial Narrow" w:hAnsi="Arial Narrow"/>
                <w:sz w:val="20"/>
              </w:rPr>
              <w:t xml:space="preserve">Enhancement of food security in </w:t>
            </w:r>
            <w:proofErr w:type="spellStart"/>
            <w:r w:rsidRPr="00016443">
              <w:rPr>
                <w:rFonts w:ascii="Arial Narrow" w:hAnsi="Arial Narrow"/>
                <w:sz w:val="20"/>
              </w:rPr>
              <w:t>Taybeh</w:t>
            </w:r>
            <w:proofErr w:type="spellEnd"/>
            <w:r w:rsidRPr="00016443">
              <w:rPr>
                <w:rFonts w:ascii="Arial Narrow" w:hAnsi="Arial Narrow"/>
                <w:sz w:val="20"/>
              </w:rPr>
              <w:t xml:space="preserve"> and </w:t>
            </w:r>
            <w:proofErr w:type="spellStart"/>
            <w:r w:rsidRPr="00016443">
              <w:rPr>
                <w:rFonts w:ascii="Arial Narrow" w:hAnsi="Arial Narrow"/>
                <w:sz w:val="20"/>
              </w:rPr>
              <w:t>Ramoun</w:t>
            </w:r>
            <w:proofErr w:type="spellEnd"/>
            <w:r w:rsidRPr="00016443">
              <w:rPr>
                <w:rFonts w:ascii="Arial Narrow" w:hAnsi="Arial Narrow"/>
                <w:sz w:val="20"/>
              </w:rPr>
              <w:t xml:space="preserve"> through rural development and agricultural extension;</w:t>
            </w:r>
          </w:p>
        </w:tc>
        <w:tc>
          <w:tcPr>
            <w:tcW w:w="2427" w:type="pct"/>
          </w:tcPr>
          <w:p w:rsidR="000954E5" w:rsidRPr="00016443" w:rsidRDefault="000954E5" w:rsidP="00B54C8F">
            <w:pPr>
              <w:pStyle w:val="Paragrafoelenco"/>
              <w:numPr>
                <w:ilvl w:val="0"/>
                <w:numId w:val="98"/>
              </w:numPr>
              <w:spacing w:before="0" w:after="0"/>
              <w:jc w:val="left"/>
              <w:rPr>
                <w:rFonts w:ascii="Arial Narrow" w:hAnsi="Arial Narrow"/>
                <w:sz w:val="20"/>
              </w:rPr>
            </w:pPr>
            <w:r w:rsidRPr="00016443">
              <w:rPr>
                <w:rFonts w:ascii="Arial Narrow" w:hAnsi="Arial Narrow"/>
                <w:sz w:val="20"/>
              </w:rPr>
              <w:t>The project is highly relevant and clearly addresses the issues of food insecurity in the villages;</w:t>
            </w:r>
          </w:p>
          <w:p w:rsidR="000954E5" w:rsidRPr="00016443" w:rsidRDefault="000954E5" w:rsidP="00016443">
            <w:pPr>
              <w:spacing w:before="0" w:after="0"/>
              <w:rPr>
                <w:rFonts w:ascii="Arial Narrow" w:hAnsi="Arial Narrow"/>
                <w:i/>
                <w:sz w:val="20"/>
              </w:rPr>
            </w:pPr>
            <w:r w:rsidRPr="00016443">
              <w:rPr>
                <w:rFonts w:ascii="Arial Narrow" w:hAnsi="Arial Narrow"/>
                <w:i/>
                <w:sz w:val="20"/>
              </w:rPr>
              <w:t xml:space="preserve"> Note by the Evaluation Team: the report however mentions the cancellation of 170 onsite residents who considered connection charges too high; this may raise questions of relevance to the context and capacities /willingness to pay for services.</w:t>
            </w:r>
          </w:p>
        </w:tc>
      </w:tr>
      <w:tr w:rsidR="000954E5" w:rsidRPr="00016443" w:rsidTr="00016443">
        <w:tc>
          <w:tcPr>
            <w:tcW w:w="547" w:type="pct"/>
          </w:tcPr>
          <w:p w:rsidR="000954E5" w:rsidRPr="00016443" w:rsidRDefault="000954E5" w:rsidP="00016443">
            <w:pPr>
              <w:spacing w:before="0" w:after="0"/>
              <w:rPr>
                <w:rFonts w:ascii="Arial Narrow" w:hAnsi="Arial Narrow"/>
                <w:sz w:val="20"/>
              </w:rPr>
            </w:pPr>
            <w:r w:rsidRPr="00016443">
              <w:rPr>
                <w:rFonts w:ascii="Arial Narrow" w:hAnsi="Arial Narrow"/>
                <w:sz w:val="20"/>
              </w:rPr>
              <w:t>233062</w:t>
            </w:r>
          </w:p>
        </w:tc>
        <w:tc>
          <w:tcPr>
            <w:tcW w:w="658" w:type="pct"/>
          </w:tcPr>
          <w:p w:rsidR="000954E5" w:rsidRPr="00016443" w:rsidRDefault="000954E5" w:rsidP="00016443">
            <w:pPr>
              <w:spacing w:before="0" w:after="0"/>
              <w:rPr>
                <w:rFonts w:ascii="Arial Narrow" w:hAnsi="Arial Narrow"/>
                <w:sz w:val="20"/>
              </w:rPr>
            </w:pPr>
            <w:r w:rsidRPr="00016443">
              <w:rPr>
                <w:rFonts w:ascii="Arial Narrow" w:hAnsi="Arial Narrow"/>
                <w:sz w:val="20"/>
              </w:rPr>
              <w:t>MR-142461.02</w:t>
            </w:r>
          </w:p>
        </w:tc>
        <w:tc>
          <w:tcPr>
            <w:tcW w:w="1367" w:type="pct"/>
          </w:tcPr>
          <w:p w:rsidR="000954E5" w:rsidRPr="00016443" w:rsidRDefault="000954E5" w:rsidP="00016443">
            <w:pPr>
              <w:spacing w:before="0" w:after="0"/>
              <w:rPr>
                <w:rFonts w:ascii="Arial Narrow" w:hAnsi="Arial Narrow"/>
                <w:sz w:val="20"/>
              </w:rPr>
            </w:pPr>
            <w:r w:rsidRPr="00016443">
              <w:rPr>
                <w:rFonts w:ascii="Arial Narrow" w:hAnsi="Arial Narrow"/>
                <w:sz w:val="20"/>
              </w:rPr>
              <w:t>East Jerusalem Hospitals network for quality</w:t>
            </w:r>
          </w:p>
        </w:tc>
        <w:tc>
          <w:tcPr>
            <w:tcW w:w="2427" w:type="pct"/>
          </w:tcPr>
          <w:p w:rsidR="000954E5" w:rsidRPr="00016443" w:rsidRDefault="000954E5" w:rsidP="00B54C8F">
            <w:pPr>
              <w:pStyle w:val="Paragrafoelenco"/>
              <w:numPr>
                <w:ilvl w:val="0"/>
                <w:numId w:val="98"/>
              </w:numPr>
              <w:spacing w:before="0" w:after="0"/>
              <w:jc w:val="left"/>
              <w:rPr>
                <w:rFonts w:ascii="Arial Narrow" w:hAnsi="Arial Narrow"/>
                <w:sz w:val="20"/>
              </w:rPr>
            </w:pPr>
            <w:r w:rsidRPr="00016443">
              <w:rPr>
                <w:rFonts w:ascii="Arial Narrow" w:hAnsi="Arial Narrow"/>
                <w:sz w:val="20"/>
              </w:rPr>
              <w:t>The report does not address the score of relevance to needs, but a score “B” for “relevance and design” suggests that no major relevance issues were raised;</w:t>
            </w:r>
          </w:p>
        </w:tc>
      </w:tr>
      <w:tr w:rsidR="000954E5" w:rsidRPr="00016443" w:rsidTr="00016443">
        <w:tc>
          <w:tcPr>
            <w:tcW w:w="547" w:type="pct"/>
          </w:tcPr>
          <w:p w:rsidR="000954E5" w:rsidRPr="00016443" w:rsidRDefault="000954E5" w:rsidP="00016443">
            <w:pPr>
              <w:spacing w:before="0" w:after="0"/>
              <w:rPr>
                <w:rFonts w:ascii="Arial Narrow" w:hAnsi="Arial Narrow"/>
                <w:sz w:val="20"/>
              </w:rPr>
            </w:pPr>
            <w:r w:rsidRPr="00016443">
              <w:rPr>
                <w:rFonts w:ascii="Arial Narrow" w:hAnsi="Arial Narrow"/>
                <w:sz w:val="20"/>
              </w:rPr>
              <w:t>237072</w:t>
            </w:r>
          </w:p>
        </w:tc>
        <w:tc>
          <w:tcPr>
            <w:tcW w:w="658" w:type="pct"/>
          </w:tcPr>
          <w:p w:rsidR="000954E5" w:rsidRPr="00016443" w:rsidRDefault="000954E5" w:rsidP="00016443">
            <w:pPr>
              <w:spacing w:before="0" w:after="0"/>
              <w:rPr>
                <w:rFonts w:ascii="Arial Narrow" w:hAnsi="Arial Narrow"/>
                <w:sz w:val="20"/>
              </w:rPr>
            </w:pPr>
            <w:r w:rsidRPr="00016443">
              <w:rPr>
                <w:rFonts w:ascii="Arial Narrow" w:hAnsi="Arial Narrow"/>
                <w:sz w:val="20"/>
              </w:rPr>
              <w:t>MR-145099.01</w:t>
            </w:r>
          </w:p>
        </w:tc>
        <w:tc>
          <w:tcPr>
            <w:tcW w:w="1367" w:type="pct"/>
          </w:tcPr>
          <w:p w:rsidR="000954E5" w:rsidRPr="00016443" w:rsidRDefault="000954E5" w:rsidP="00016443">
            <w:pPr>
              <w:spacing w:before="0" w:after="0"/>
              <w:rPr>
                <w:rFonts w:ascii="Arial Narrow" w:hAnsi="Arial Narrow"/>
                <w:sz w:val="20"/>
              </w:rPr>
            </w:pPr>
            <w:proofErr w:type="spellStart"/>
            <w:r w:rsidRPr="00016443">
              <w:rPr>
                <w:rFonts w:ascii="Arial Narrow" w:hAnsi="Arial Narrow"/>
                <w:sz w:val="20"/>
              </w:rPr>
              <w:t>Beit</w:t>
            </w:r>
            <w:proofErr w:type="spellEnd"/>
            <w:r w:rsidRPr="00016443">
              <w:rPr>
                <w:rFonts w:ascii="Arial Narrow" w:hAnsi="Arial Narrow"/>
                <w:sz w:val="20"/>
              </w:rPr>
              <w:t xml:space="preserve"> </w:t>
            </w:r>
            <w:proofErr w:type="spellStart"/>
            <w:r w:rsidRPr="00016443">
              <w:rPr>
                <w:rFonts w:ascii="Arial Narrow" w:hAnsi="Arial Narrow"/>
                <w:sz w:val="20"/>
              </w:rPr>
              <w:t>Dahjan</w:t>
            </w:r>
            <w:proofErr w:type="spellEnd"/>
            <w:r w:rsidRPr="00016443">
              <w:rPr>
                <w:rFonts w:ascii="Arial Narrow" w:hAnsi="Arial Narrow"/>
                <w:sz w:val="20"/>
              </w:rPr>
              <w:t xml:space="preserve"> and </w:t>
            </w:r>
            <w:proofErr w:type="spellStart"/>
            <w:r w:rsidRPr="00016443">
              <w:rPr>
                <w:rFonts w:ascii="Arial Narrow" w:hAnsi="Arial Narrow"/>
                <w:sz w:val="20"/>
              </w:rPr>
              <w:t>Anzah</w:t>
            </w:r>
            <w:proofErr w:type="spellEnd"/>
            <w:r w:rsidRPr="00016443">
              <w:rPr>
                <w:rFonts w:ascii="Arial Narrow" w:hAnsi="Arial Narrow"/>
                <w:sz w:val="20"/>
              </w:rPr>
              <w:t xml:space="preserve"> villages produce more food through sustainable and safe use of reclaimed waste water for agriculture;</w:t>
            </w:r>
          </w:p>
        </w:tc>
        <w:tc>
          <w:tcPr>
            <w:tcW w:w="2427" w:type="pct"/>
          </w:tcPr>
          <w:p w:rsidR="000954E5" w:rsidRPr="00016443" w:rsidRDefault="000954E5" w:rsidP="00B54C8F">
            <w:pPr>
              <w:pStyle w:val="Paragrafoelenco"/>
              <w:numPr>
                <w:ilvl w:val="0"/>
                <w:numId w:val="98"/>
              </w:numPr>
              <w:spacing w:before="0" w:after="0"/>
              <w:jc w:val="left"/>
              <w:rPr>
                <w:rFonts w:ascii="Arial Narrow" w:hAnsi="Arial Narrow"/>
                <w:sz w:val="20"/>
              </w:rPr>
            </w:pPr>
            <w:r w:rsidRPr="00016443">
              <w:rPr>
                <w:rFonts w:ascii="Arial Narrow" w:hAnsi="Arial Narrow"/>
                <w:sz w:val="20"/>
              </w:rPr>
              <w:t>The project is high relevant and clearly addresses the issues of food insecurity and lack of household sanitation systems in the two villages;</w:t>
            </w:r>
          </w:p>
        </w:tc>
      </w:tr>
    </w:tbl>
    <w:p w:rsidR="000954E5" w:rsidRPr="00016443" w:rsidRDefault="000954E5" w:rsidP="00016443">
      <w:pPr>
        <w:spacing w:before="0" w:after="0"/>
        <w:rPr>
          <w:rFonts w:ascii="Arial" w:hAnsi="Arial" w:cs="Arial"/>
        </w:rPr>
      </w:pPr>
    </w:p>
    <w:p w:rsidR="000954E5" w:rsidRPr="00D714DB" w:rsidRDefault="00D714DB" w:rsidP="00016443">
      <w:pPr>
        <w:shd w:val="clear" w:color="auto" w:fill="DBE5F1" w:themeFill="accent1" w:themeFillTint="33"/>
        <w:spacing w:before="0" w:after="0"/>
        <w:rPr>
          <w:rFonts w:ascii="Arial" w:hAnsi="Arial" w:cs="Arial"/>
          <w:sz w:val="22"/>
          <w:szCs w:val="22"/>
        </w:rPr>
      </w:pPr>
      <w:r w:rsidRPr="00D714DB">
        <w:rPr>
          <w:rFonts w:ascii="Arial" w:hAnsi="Arial" w:cs="Arial"/>
          <w:b/>
          <w:sz w:val="22"/>
          <w:szCs w:val="22"/>
        </w:rPr>
        <w:t>Q7 / JC</w:t>
      </w:r>
      <w:r w:rsidR="000954E5" w:rsidRPr="00D714DB">
        <w:rPr>
          <w:rFonts w:ascii="Arial" w:hAnsi="Arial" w:cs="Arial"/>
          <w:b/>
          <w:sz w:val="22"/>
          <w:szCs w:val="22"/>
        </w:rPr>
        <w:t>3</w:t>
      </w:r>
      <w:r w:rsidR="000954E5" w:rsidRPr="00D714DB">
        <w:rPr>
          <w:rFonts w:ascii="Arial" w:hAnsi="Arial" w:cs="Arial"/>
          <w:sz w:val="22"/>
          <w:szCs w:val="22"/>
        </w:rPr>
        <w:t xml:space="preserve"> Cooperation efforts contribute to institutional capacity-building and good governance in the sector institutions</w:t>
      </w:r>
    </w:p>
    <w:p w:rsidR="000954E5" w:rsidRPr="00D714DB" w:rsidRDefault="000954E5" w:rsidP="00016443">
      <w:pPr>
        <w:spacing w:before="0" w:after="0"/>
        <w:rPr>
          <w:rFonts w:ascii="Arial" w:hAnsi="Arial" w:cs="Arial"/>
          <w:sz w:val="22"/>
          <w:szCs w:val="22"/>
        </w:rPr>
      </w:pPr>
      <w:r w:rsidRPr="00D714DB">
        <w:rPr>
          <w:rFonts w:ascii="Arial" w:hAnsi="Arial" w:cs="Arial"/>
          <w:sz w:val="22"/>
          <w:szCs w:val="22"/>
        </w:rPr>
        <w:t>Analysis of contributions to capacity-building have been cross-checked through the review of the five Monitoring Reports for the social sector, see below table.</w:t>
      </w:r>
    </w:p>
    <w:p w:rsidR="000954E5" w:rsidRPr="00D714DB" w:rsidRDefault="000954E5" w:rsidP="00016443">
      <w:pPr>
        <w:spacing w:before="0" w:after="0"/>
        <w:rPr>
          <w:rFonts w:ascii="Arial" w:hAnsi="Arial" w:cs="Arial"/>
          <w:sz w:val="22"/>
          <w:szCs w:val="22"/>
        </w:rPr>
      </w:pPr>
    </w:p>
    <w:p w:rsidR="00016443" w:rsidRDefault="00016443" w:rsidP="00016443">
      <w:pPr>
        <w:spacing w:before="0" w:after="0"/>
        <w:rPr>
          <w:rFonts w:ascii="Arial" w:hAnsi="Arial" w:cs="Arial"/>
        </w:rPr>
      </w:pPr>
    </w:p>
    <w:p w:rsidR="00016443" w:rsidRDefault="00016443" w:rsidP="00016443">
      <w:pPr>
        <w:spacing w:before="0" w:after="0"/>
        <w:rPr>
          <w:rFonts w:ascii="Arial" w:hAnsi="Arial" w:cs="Arial"/>
        </w:rPr>
      </w:pPr>
    </w:p>
    <w:p w:rsidR="00016443" w:rsidRDefault="00016443" w:rsidP="00016443">
      <w:pPr>
        <w:spacing w:before="0" w:after="0"/>
        <w:rPr>
          <w:rFonts w:ascii="Arial" w:hAnsi="Arial" w:cs="Arial"/>
        </w:rPr>
      </w:pPr>
    </w:p>
    <w:p w:rsidR="00016443" w:rsidRDefault="00016443" w:rsidP="00016443">
      <w:pPr>
        <w:spacing w:before="0" w:after="0"/>
        <w:rPr>
          <w:rFonts w:ascii="Arial" w:hAnsi="Arial" w:cs="Arial"/>
        </w:rPr>
      </w:pPr>
    </w:p>
    <w:p w:rsidR="00016443" w:rsidRDefault="00016443" w:rsidP="00016443">
      <w:pPr>
        <w:spacing w:before="0" w:after="0"/>
        <w:rPr>
          <w:rFonts w:ascii="Arial" w:hAnsi="Arial" w:cs="Arial"/>
        </w:rPr>
      </w:pPr>
    </w:p>
    <w:p w:rsidR="00016443" w:rsidRDefault="00016443" w:rsidP="00016443">
      <w:pPr>
        <w:spacing w:before="0" w:after="0"/>
        <w:rPr>
          <w:rFonts w:ascii="Arial" w:hAnsi="Arial" w:cs="Arial"/>
        </w:rPr>
      </w:pPr>
    </w:p>
    <w:p w:rsidR="00016443" w:rsidRDefault="00016443" w:rsidP="00016443">
      <w:pPr>
        <w:spacing w:before="0" w:after="0"/>
        <w:rPr>
          <w:rFonts w:ascii="Arial" w:hAnsi="Arial" w:cs="Arial"/>
        </w:rPr>
      </w:pPr>
    </w:p>
    <w:p w:rsidR="00016443" w:rsidRPr="00016443" w:rsidRDefault="00016443" w:rsidP="00016443">
      <w:pPr>
        <w:spacing w:before="0" w:after="0"/>
        <w:rPr>
          <w:rFonts w:ascii="Arial" w:hAnsi="Arial" w:cs="Arial"/>
        </w:rPr>
      </w:pPr>
    </w:p>
    <w:p w:rsidR="000954E5" w:rsidRPr="00016443" w:rsidRDefault="000954E5" w:rsidP="00D714DB">
      <w:pPr>
        <w:spacing w:before="0" w:after="0"/>
        <w:jc w:val="center"/>
        <w:rPr>
          <w:rFonts w:ascii="Arial" w:hAnsi="Arial" w:cs="Arial"/>
          <w:b/>
          <w:color w:val="1F497D" w:themeColor="text2"/>
          <w:sz w:val="20"/>
        </w:rPr>
      </w:pPr>
      <w:bookmarkStart w:id="121" w:name="_Toc373334852"/>
      <w:r w:rsidRPr="00016443">
        <w:rPr>
          <w:rFonts w:ascii="Arial" w:hAnsi="Arial" w:cs="Arial"/>
          <w:b/>
          <w:color w:val="1F497D" w:themeColor="text2"/>
          <w:sz w:val="20"/>
        </w:rPr>
        <w:lastRenderedPageBreak/>
        <w:t xml:space="preserve">Table </w:t>
      </w:r>
      <w:r w:rsidR="00016443">
        <w:rPr>
          <w:rFonts w:ascii="Arial" w:hAnsi="Arial" w:cs="Arial"/>
          <w:b/>
          <w:color w:val="1F497D" w:themeColor="text2"/>
          <w:sz w:val="20"/>
        </w:rPr>
        <w:t>7</w:t>
      </w:r>
      <w:r w:rsidR="00A43E18" w:rsidRPr="00016443">
        <w:rPr>
          <w:rFonts w:ascii="Arial" w:hAnsi="Arial" w:cs="Arial"/>
          <w:b/>
          <w:color w:val="1F497D" w:themeColor="text2"/>
          <w:sz w:val="20"/>
        </w:rPr>
        <w:fldChar w:fldCharType="begin"/>
      </w:r>
      <w:r w:rsidRPr="00016443">
        <w:rPr>
          <w:rFonts w:ascii="Arial" w:hAnsi="Arial" w:cs="Arial"/>
          <w:b/>
          <w:color w:val="1F497D" w:themeColor="text2"/>
          <w:sz w:val="20"/>
        </w:rPr>
        <w:instrText xml:space="preserve"> SEQ Table \* ARABIC </w:instrText>
      </w:r>
      <w:r w:rsidR="00A43E18" w:rsidRPr="00016443">
        <w:rPr>
          <w:rFonts w:ascii="Arial" w:hAnsi="Arial" w:cs="Arial"/>
          <w:b/>
          <w:color w:val="1F497D" w:themeColor="text2"/>
          <w:sz w:val="20"/>
        </w:rPr>
        <w:fldChar w:fldCharType="end"/>
      </w:r>
      <w:r w:rsidRPr="00016443">
        <w:rPr>
          <w:rFonts w:ascii="Arial" w:hAnsi="Arial" w:cs="Arial"/>
          <w:b/>
          <w:color w:val="1F497D" w:themeColor="text2"/>
          <w:sz w:val="20"/>
        </w:rPr>
        <w:t>:</w:t>
      </w:r>
      <w:r w:rsidRPr="00016443">
        <w:rPr>
          <w:rFonts w:ascii="Arial" w:hAnsi="Arial" w:cs="Arial"/>
        </w:rPr>
        <w:t xml:space="preserve"> </w:t>
      </w:r>
      <w:r w:rsidRPr="00016443">
        <w:rPr>
          <w:rFonts w:ascii="Arial" w:hAnsi="Arial" w:cs="Arial"/>
          <w:b/>
          <w:color w:val="1F497D" w:themeColor="text2"/>
          <w:sz w:val="20"/>
        </w:rPr>
        <w:t>Results on capacity building from ROM on selected projects under Governance</w:t>
      </w:r>
      <w:bookmarkEnd w:id="121"/>
    </w:p>
    <w:tbl>
      <w:tblPr>
        <w:tblStyle w:val="Grigliatabella"/>
        <w:tblW w:w="5000" w:type="pct"/>
        <w:tblLook w:val="04A0"/>
      </w:tblPr>
      <w:tblGrid>
        <w:gridCol w:w="1066"/>
        <w:gridCol w:w="1673"/>
        <w:gridCol w:w="3197"/>
        <w:gridCol w:w="3918"/>
      </w:tblGrid>
      <w:tr w:rsidR="000954E5" w:rsidRPr="00016443" w:rsidTr="00016443">
        <w:tc>
          <w:tcPr>
            <w:tcW w:w="541" w:type="pct"/>
            <w:shd w:val="clear" w:color="auto" w:fill="808080" w:themeFill="background1" w:themeFillShade="80"/>
          </w:tcPr>
          <w:p w:rsidR="000954E5" w:rsidRPr="00016443" w:rsidRDefault="000954E5" w:rsidP="00016443">
            <w:pPr>
              <w:spacing w:before="0" w:after="0"/>
              <w:jc w:val="center"/>
              <w:rPr>
                <w:rFonts w:ascii="Arial Narrow" w:eastAsiaTheme="minorHAnsi" w:hAnsi="Arial Narrow" w:cs="Arial"/>
                <w:b/>
                <w:color w:val="FFFFFF" w:themeColor="background1"/>
                <w:sz w:val="20"/>
              </w:rPr>
            </w:pPr>
            <w:r w:rsidRPr="00016443">
              <w:rPr>
                <w:rFonts w:ascii="Arial Narrow" w:eastAsiaTheme="minorHAnsi" w:hAnsi="Arial Narrow" w:cs="Arial"/>
                <w:b/>
                <w:color w:val="FFFFFF" w:themeColor="background1"/>
                <w:sz w:val="20"/>
              </w:rPr>
              <w:t>Contract Number</w:t>
            </w:r>
          </w:p>
        </w:tc>
        <w:tc>
          <w:tcPr>
            <w:tcW w:w="849" w:type="pct"/>
            <w:shd w:val="clear" w:color="auto" w:fill="808080" w:themeFill="background1" w:themeFillShade="80"/>
          </w:tcPr>
          <w:p w:rsidR="000954E5" w:rsidRPr="00016443" w:rsidRDefault="000954E5" w:rsidP="00016443">
            <w:pPr>
              <w:spacing w:before="0" w:after="0"/>
              <w:jc w:val="center"/>
              <w:rPr>
                <w:rFonts w:ascii="Arial Narrow" w:eastAsiaTheme="minorHAnsi" w:hAnsi="Arial Narrow" w:cs="Arial"/>
                <w:b/>
                <w:color w:val="FFFFFF" w:themeColor="background1"/>
                <w:sz w:val="20"/>
              </w:rPr>
            </w:pPr>
            <w:r w:rsidRPr="00016443">
              <w:rPr>
                <w:rFonts w:ascii="Arial Narrow" w:eastAsiaTheme="minorHAnsi" w:hAnsi="Arial Narrow" w:cs="Arial"/>
                <w:b/>
                <w:color w:val="FFFFFF" w:themeColor="background1"/>
                <w:sz w:val="20"/>
              </w:rPr>
              <w:t>ROM reference</w:t>
            </w:r>
          </w:p>
        </w:tc>
        <w:tc>
          <w:tcPr>
            <w:tcW w:w="1622" w:type="pct"/>
            <w:shd w:val="clear" w:color="auto" w:fill="808080" w:themeFill="background1" w:themeFillShade="80"/>
          </w:tcPr>
          <w:p w:rsidR="000954E5" w:rsidRPr="00016443" w:rsidRDefault="000954E5" w:rsidP="00016443">
            <w:pPr>
              <w:spacing w:before="0" w:after="0"/>
              <w:jc w:val="center"/>
              <w:rPr>
                <w:rFonts w:ascii="Arial Narrow" w:eastAsiaTheme="minorHAnsi" w:hAnsi="Arial Narrow" w:cs="Arial"/>
                <w:b/>
                <w:color w:val="FFFFFF" w:themeColor="background1"/>
                <w:sz w:val="20"/>
              </w:rPr>
            </w:pPr>
            <w:r w:rsidRPr="00016443">
              <w:rPr>
                <w:rFonts w:ascii="Arial Narrow" w:eastAsiaTheme="minorHAnsi" w:hAnsi="Arial Narrow" w:cs="Arial"/>
                <w:b/>
                <w:color w:val="FFFFFF" w:themeColor="background1"/>
                <w:sz w:val="20"/>
              </w:rPr>
              <w:t>Project</w:t>
            </w:r>
          </w:p>
        </w:tc>
        <w:tc>
          <w:tcPr>
            <w:tcW w:w="1988" w:type="pct"/>
            <w:shd w:val="clear" w:color="auto" w:fill="808080" w:themeFill="background1" w:themeFillShade="80"/>
          </w:tcPr>
          <w:p w:rsidR="000954E5" w:rsidRPr="00016443" w:rsidRDefault="000954E5" w:rsidP="00016443">
            <w:pPr>
              <w:spacing w:before="0" w:after="0"/>
              <w:jc w:val="center"/>
              <w:rPr>
                <w:rFonts w:ascii="Arial Narrow" w:eastAsiaTheme="minorHAnsi" w:hAnsi="Arial Narrow" w:cs="Arial"/>
                <w:b/>
                <w:color w:val="FFFFFF" w:themeColor="background1"/>
                <w:sz w:val="20"/>
              </w:rPr>
            </w:pPr>
            <w:r w:rsidRPr="00016443">
              <w:rPr>
                <w:rFonts w:ascii="Arial Narrow" w:eastAsiaTheme="minorHAnsi" w:hAnsi="Arial Narrow" w:cs="Arial"/>
                <w:b/>
                <w:color w:val="FFFFFF" w:themeColor="background1"/>
                <w:sz w:val="20"/>
              </w:rPr>
              <w:t>Findings on contributions to capacity building</w:t>
            </w:r>
          </w:p>
        </w:tc>
      </w:tr>
      <w:tr w:rsidR="000954E5" w:rsidRPr="00016443" w:rsidTr="00016443">
        <w:tc>
          <w:tcPr>
            <w:tcW w:w="541" w:type="pct"/>
          </w:tcPr>
          <w:p w:rsidR="000954E5" w:rsidRPr="00016443" w:rsidRDefault="000954E5" w:rsidP="00016443">
            <w:pPr>
              <w:spacing w:before="0" w:after="0"/>
              <w:rPr>
                <w:rFonts w:ascii="Arial Narrow" w:hAnsi="Arial Narrow" w:cs="Arial"/>
                <w:sz w:val="20"/>
              </w:rPr>
            </w:pPr>
            <w:r w:rsidRPr="00016443">
              <w:rPr>
                <w:rFonts w:ascii="Arial Narrow" w:hAnsi="Arial Narrow" w:cs="Arial"/>
                <w:sz w:val="20"/>
              </w:rPr>
              <w:t>270253</w:t>
            </w:r>
          </w:p>
        </w:tc>
        <w:tc>
          <w:tcPr>
            <w:tcW w:w="849" w:type="pct"/>
          </w:tcPr>
          <w:p w:rsidR="000954E5" w:rsidRPr="00016443" w:rsidRDefault="000954E5" w:rsidP="00016443">
            <w:pPr>
              <w:spacing w:before="0" w:after="0"/>
              <w:rPr>
                <w:rFonts w:ascii="Arial Narrow" w:hAnsi="Arial Narrow" w:cs="Arial"/>
                <w:sz w:val="20"/>
              </w:rPr>
            </w:pPr>
            <w:r w:rsidRPr="00016443">
              <w:rPr>
                <w:rFonts w:ascii="Arial Narrow" w:hAnsi="Arial Narrow" w:cs="Arial"/>
                <w:sz w:val="20"/>
              </w:rPr>
              <w:t>MR-145033.01</w:t>
            </w:r>
          </w:p>
        </w:tc>
        <w:tc>
          <w:tcPr>
            <w:tcW w:w="1622" w:type="pct"/>
          </w:tcPr>
          <w:p w:rsidR="000954E5" w:rsidRPr="00016443" w:rsidRDefault="000954E5" w:rsidP="00016443">
            <w:pPr>
              <w:spacing w:before="0" w:after="0"/>
              <w:rPr>
                <w:rFonts w:ascii="Arial Narrow" w:hAnsi="Arial Narrow" w:cs="Arial"/>
                <w:sz w:val="20"/>
              </w:rPr>
            </w:pPr>
            <w:r w:rsidRPr="00016443">
              <w:rPr>
                <w:rFonts w:ascii="Arial Narrow" w:hAnsi="Arial Narrow" w:cs="Arial"/>
                <w:sz w:val="20"/>
              </w:rPr>
              <w:t>EU  support for TVET development in OPT</w:t>
            </w:r>
          </w:p>
        </w:tc>
        <w:tc>
          <w:tcPr>
            <w:tcW w:w="1988" w:type="pct"/>
          </w:tcPr>
          <w:p w:rsidR="000954E5" w:rsidRPr="00016443" w:rsidRDefault="000954E5" w:rsidP="00B54C8F">
            <w:pPr>
              <w:pStyle w:val="Paragrafoelenco"/>
              <w:numPr>
                <w:ilvl w:val="0"/>
                <w:numId w:val="98"/>
              </w:numPr>
              <w:spacing w:before="0" w:after="0"/>
              <w:jc w:val="left"/>
              <w:rPr>
                <w:rFonts w:ascii="Arial Narrow" w:hAnsi="Arial Narrow" w:cs="Arial"/>
                <w:sz w:val="20"/>
              </w:rPr>
            </w:pPr>
            <w:r w:rsidRPr="00016443">
              <w:rPr>
                <w:rFonts w:ascii="Arial Narrow" w:hAnsi="Arial Narrow" w:cs="Arial"/>
                <w:sz w:val="20"/>
              </w:rPr>
              <w:t>Contributions to empowerment of training services</w:t>
            </w:r>
          </w:p>
          <w:p w:rsidR="000954E5" w:rsidRPr="00016443" w:rsidRDefault="000954E5" w:rsidP="00B54C8F">
            <w:pPr>
              <w:pStyle w:val="Paragrafoelenco"/>
              <w:numPr>
                <w:ilvl w:val="0"/>
                <w:numId w:val="98"/>
              </w:numPr>
              <w:spacing w:before="0" w:after="0"/>
              <w:jc w:val="left"/>
              <w:rPr>
                <w:rFonts w:ascii="Arial Narrow" w:hAnsi="Arial Narrow" w:cs="Arial"/>
                <w:sz w:val="20"/>
              </w:rPr>
            </w:pPr>
            <w:r w:rsidRPr="00016443">
              <w:rPr>
                <w:rFonts w:ascii="Arial Narrow" w:hAnsi="Arial Narrow" w:cs="Arial"/>
                <w:sz w:val="20"/>
              </w:rPr>
              <w:t>Improved availability of human resources matching labor market demands</w:t>
            </w:r>
          </w:p>
        </w:tc>
      </w:tr>
      <w:tr w:rsidR="000954E5" w:rsidRPr="00016443" w:rsidTr="00016443">
        <w:tc>
          <w:tcPr>
            <w:tcW w:w="541" w:type="pct"/>
          </w:tcPr>
          <w:p w:rsidR="000954E5" w:rsidRPr="00016443" w:rsidRDefault="000954E5" w:rsidP="00016443">
            <w:pPr>
              <w:spacing w:before="0" w:after="0"/>
              <w:rPr>
                <w:rFonts w:ascii="Arial Narrow" w:hAnsi="Arial Narrow" w:cs="Arial"/>
                <w:sz w:val="20"/>
              </w:rPr>
            </w:pPr>
            <w:r w:rsidRPr="00016443">
              <w:rPr>
                <w:rFonts w:ascii="Arial Narrow" w:hAnsi="Arial Narrow" w:cs="Arial"/>
                <w:sz w:val="20"/>
              </w:rPr>
              <w:t>268270</w:t>
            </w:r>
          </w:p>
        </w:tc>
        <w:tc>
          <w:tcPr>
            <w:tcW w:w="849" w:type="pct"/>
          </w:tcPr>
          <w:p w:rsidR="000954E5" w:rsidRPr="00016443" w:rsidRDefault="000954E5" w:rsidP="00016443">
            <w:pPr>
              <w:spacing w:before="0" w:after="0"/>
              <w:rPr>
                <w:rFonts w:ascii="Arial Narrow" w:hAnsi="Arial Narrow" w:cs="Arial"/>
                <w:sz w:val="20"/>
              </w:rPr>
            </w:pPr>
            <w:r w:rsidRPr="00016443">
              <w:rPr>
                <w:rFonts w:ascii="Arial Narrow" w:hAnsi="Arial Narrow" w:cs="Arial"/>
                <w:sz w:val="20"/>
              </w:rPr>
              <w:t>MR-145669.01</w:t>
            </w:r>
          </w:p>
        </w:tc>
        <w:tc>
          <w:tcPr>
            <w:tcW w:w="1622" w:type="pct"/>
          </w:tcPr>
          <w:p w:rsidR="000954E5" w:rsidRPr="00016443" w:rsidRDefault="000954E5" w:rsidP="00016443">
            <w:pPr>
              <w:spacing w:before="0" w:after="0"/>
              <w:rPr>
                <w:rFonts w:ascii="Arial Narrow" w:hAnsi="Arial Narrow" w:cs="Arial"/>
                <w:sz w:val="20"/>
              </w:rPr>
            </w:pPr>
            <w:r w:rsidRPr="00016443">
              <w:rPr>
                <w:rFonts w:ascii="Arial Narrow" w:hAnsi="Arial Narrow" w:cs="Arial"/>
                <w:sz w:val="20"/>
              </w:rPr>
              <w:t>Supporting food security and livelihoods of poor families through improving water harvesting and water demand management for agriculture</w:t>
            </w:r>
          </w:p>
        </w:tc>
        <w:tc>
          <w:tcPr>
            <w:tcW w:w="1988" w:type="pct"/>
          </w:tcPr>
          <w:p w:rsidR="000954E5" w:rsidRPr="00016443" w:rsidRDefault="000954E5" w:rsidP="00B54C8F">
            <w:pPr>
              <w:pStyle w:val="Paragrafoelenco"/>
              <w:numPr>
                <w:ilvl w:val="0"/>
                <w:numId w:val="98"/>
              </w:numPr>
              <w:spacing w:before="0" w:after="0"/>
              <w:jc w:val="left"/>
              <w:rPr>
                <w:rFonts w:ascii="Arial Narrow" w:hAnsi="Arial Narrow" w:cs="Arial"/>
                <w:sz w:val="20"/>
              </w:rPr>
            </w:pPr>
            <w:r w:rsidRPr="00016443">
              <w:rPr>
                <w:rFonts w:ascii="Arial Narrow" w:hAnsi="Arial Narrow" w:cs="Arial"/>
                <w:sz w:val="20"/>
              </w:rPr>
              <w:t>The intervention was mostly about infrastructures and the report does not point to a capacity-building component; It  also reveals the existence of local capacity to manage the cisterns</w:t>
            </w:r>
          </w:p>
        </w:tc>
      </w:tr>
      <w:tr w:rsidR="000954E5" w:rsidRPr="00016443" w:rsidTr="00016443">
        <w:tc>
          <w:tcPr>
            <w:tcW w:w="541" w:type="pct"/>
          </w:tcPr>
          <w:p w:rsidR="000954E5" w:rsidRPr="00016443" w:rsidRDefault="000954E5" w:rsidP="00016443">
            <w:pPr>
              <w:spacing w:before="0" w:after="0"/>
              <w:rPr>
                <w:rFonts w:ascii="Arial Narrow" w:hAnsi="Arial Narrow" w:cs="Arial"/>
                <w:sz w:val="20"/>
              </w:rPr>
            </w:pPr>
            <w:r w:rsidRPr="00016443">
              <w:rPr>
                <w:rFonts w:ascii="Arial Narrow" w:hAnsi="Arial Narrow" w:cs="Arial"/>
                <w:sz w:val="20"/>
              </w:rPr>
              <w:t>237071</w:t>
            </w:r>
          </w:p>
        </w:tc>
        <w:tc>
          <w:tcPr>
            <w:tcW w:w="849" w:type="pct"/>
          </w:tcPr>
          <w:p w:rsidR="000954E5" w:rsidRPr="00016443" w:rsidRDefault="000954E5" w:rsidP="00016443">
            <w:pPr>
              <w:spacing w:before="0" w:after="0"/>
              <w:rPr>
                <w:rFonts w:ascii="Arial Narrow" w:hAnsi="Arial Narrow" w:cs="Arial"/>
                <w:sz w:val="20"/>
              </w:rPr>
            </w:pPr>
            <w:r w:rsidRPr="00016443">
              <w:rPr>
                <w:rFonts w:ascii="Arial Narrow" w:hAnsi="Arial Narrow" w:cs="Arial"/>
                <w:sz w:val="20"/>
              </w:rPr>
              <w:t>MR-145077.01</w:t>
            </w:r>
          </w:p>
        </w:tc>
        <w:tc>
          <w:tcPr>
            <w:tcW w:w="1622" w:type="pct"/>
          </w:tcPr>
          <w:p w:rsidR="000954E5" w:rsidRPr="00016443" w:rsidRDefault="000954E5" w:rsidP="00016443">
            <w:pPr>
              <w:spacing w:before="0" w:after="0"/>
              <w:rPr>
                <w:rFonts w:ascii="Arial Narrow" w:hAnsi="Arial Narrow" w:cs="Arial"/>
                <w:sz w:val="20"/>
              </w:rPr>
            </w:pPr>
            <w:r w:rsidRPr="00016443">
              <w:rPr>
                <w:rFonts w:ascii="Arial Narrow" w:hAnsi="Arial Narrow" w:cs="Arial"/>
                <w:sz w:val="20"/>
              </w:rPr>
              <w:t xml:space="preserve">Enhancement of food security in </w:t>
            </w:r>
            <w:proofErr w:type="spellStart"/>
            <w:r w:rsidRPr="00016443">
              <w:rPr>
                <w:rFonts w:ascii="Arial Narrow" w:hAnsi="Arial Narrow" w:cs="Arial"/>
                <w:sz w:val="20"/>
              </w:rPr>
              <w:t>Taybeh</w:t>
            </w:r>
            <w:proofErr w:type="spellEnd"/>
            <w:r w:rsidRPr="00016443">
              <w:rPr>
                <w:rFonts w:ascii="Arial Narrow" w:hAnsi="Arial Narrow" w:cs="Arial"/>
                <w:sz w:val="20"/>
              </w:rPr>
              <w:t xml:space="preserve"> and </w:t>
            </w:r>
            <w:proofErr w:type="spellStart"/>
            <w:r w:rsidRPr="00016443">
              <w:rPr>
                <w:rFonts w:ascii="Arial Narrow" w:hAnsi="Arial Narrow" w:cs="Arial"/>
                <w:sz w:val="20"/>
              </w:rPr>
              <w:t>Ramoun</w:t>
            </w:r>
            <w:proofErr w:type="spellEnd"/>
            <w:r w:rsidRPr="00016443">
              <w:rPr>
                <w:rFonts w:ascii="Arial Narrow" w:hAnsi="Arial Narrow" w:cs="Arial"/>
                <w:sz w:val="20"/>
              </w:rPr>
              <w:t xml:space="preserve"> through rural development and agricultural extension</w:t>
            </w:r>
          </w:p>
        </w:tc>
        <w:tc>
          <w:tcPr>
            <w:tcW w:w="1988" w:type="pct"/>
          </w:tcPr>
          <w:p w:rsidR="000954E5" w:rsidRPr="00016443" w:rsidRDefault="000954E5" w:rsidP="00B54C8F">
            <w:pPr>
              <w:pStyle w:val="Paragrafoelenco"/>
              <w:numPr>
                <w:ilvl w:val="0"/>
                <w:numId w:val="99"/>
              </w:numPr>
              <w:spacing w:before="0" w:after="0"/>
              <w:ind w:left="175" w:hanging="218"/>
              <w:jc w:val="left"/>
              <w:rPr>
                <w:rFonts w:ascii="Arial Narrow" w:hAnsi="Arial Narrow" w:cs="Arial"/>
                <w:i/>
                <w:caps/>
                <w:spacing w:val="10"/>
                <w:sz w:val="20"/>
              </w:rPr>
            </w:pPr>
            <w:r w:rsidRPr="00016443">
              <w:rPr>
                <w:rFonts w:ascii="Arial Narrow" w:hAnsi="Arial Narrow" w:cs="Arial"/>
                <w:sz w:val="20"/>
              </w:rPr>
              <w:t>The MR does not highlight any contributions to institutional capacity-building</w:t>
            </w:r>
          </w:p>
        </w:tc>
      </w:tr>
      <w:tr w:rsidR="000954E5" w:rsidRPr="00016443" w:rsidTr="00016443">
        <w:tc>
          <w:tcPr>
            <w:tcW w:w="541" w:type="pct"/>
          </w:tcPr>
          <w:p w:rsidR="000954E5" w:rsidRPr="00016443" w:rsidRDefault="000954E5" w:rsidP="00016443">
            <w:pPr>
              <w:spacing w:before="0" w:after="0"/>
              <w:rPr>
                <w:rFonts w:ascii="Arial Narrow" w:hAnsi="Arial Narrow" w:cs="Arial"/>
                <w:sz w:val="20"/>
              </w:rPr>
            </w:pPr>
            <w:r w:rsidRPr="00016443">
              <w:rPr>
                <w:rFonts w:ascii="Arial Narrow" w:hAnsi="Arial Narrow" w:cs="Arial"/>
                <w:sz w:val="20"/>
              </w:rPr>
              <w:t>233062</w:t>
            </w:r>
          </w:p>
        </w:tc>
        <w:tc>
          <w:tcPr>
            <w:tcW w:w="849" w:type="pct"/>
          </w:tcPr>
          <w:p w:rsidR="000954E5" w:rsidRPr="00016443" w:rsidRDefault="000954E5" w:rsidP="00016443">
            <w:pPr>
              <w:spacing w:before="0" w:after="0"/>
              <w:rPr>
                <w:rFonts w:ascii="Arial Narrow" w:hAnsi="Arial Narrow" w:cs="Arial"/>
                <w:sz w:val="20"/>
              </w:rPr>
            </w:pPr>
            <w:r w:rsidRPr="00016443">
              <w:rPr>
                <w:rFonts w:ascii="Arial Narrow" w:hAnsi="Arial Narrow" w:cs="Arial"/>
                <w:sz w:val="20"/>
              </w:rPr>
              <w:t>MR-142461.02</w:t>
            </w:r>
          </w:p>
        </w:tc>
        <w:tc>
          <w:tcPr>
            <w:tcW w:w="1622" w:type="pct"/>
          </w:tcPr>
          <w:p w:rsidR="000954E5" w:rsidRPr="00016443" w:rsidRDefault="000954E5" w:rsidP="00016443">
            <w:pPr>
              <w:spacing w:before="0" w:after="0"/>
              <w:rPr>
                <w:rFonts w:ascii="Arial Narrow" w:hAnsi="Arial Narrow" w:cs="Arial"/>
                <w:sz w:val="20"/>
              </w:rPr>
            </w:pPr>
            <w:r w:rsidRPr="00016443">
              <w:rPr>
                <w:rFonts w:ascii="Arial Narrow" w:hAnsi="Arial Narrow" w:cs="Arial"/>
                <w:sz w:val="20"/>
              </w:rPr>
              <w:t>East Jerusalem Hospitals network for quality</w:t>
            </w:r>
          </w:p>
        </w:tc>
        <w:tc>
          <w:tcPr>
            <w:tcW w:w="1988" w:type="pct"/>
          </w:tcPr>
          <w:p w:rsidR="000954E5" w:rsidRPr="00016443" w:rsidRDefault="000954E5" w:rsidP="00B54C8F">
            <w:pPr>
              <w:pStyle w:val="Paragrafoelenco"/>
              <w:numPr>
                <w:ilvl w:val="0"/>
                <w:numId w:val="98"/>
              </w:numPr>
              <w:spacing w:before="0" w:after="0"/>
              <w:jc w:val="left"/>
              <w:rPr>
                <w:rFonts w:ascii="Arial Narrow" w:hAnsi="Arial Narrow" w:cs="Arial"/>
                <w:sz w:val="20"/>
              </w:rPr>
            </w:pPr>
            <w:r w:rsidRPr="00016443">
              <w:rPr>
                <w:rFonts w:ascii="Arial Narrow" w:hAnsi="Arial Narrow" w:cs="Arial"/>
                <w:sz w:val="20"/>
              </w:rPr>
              <w:t>Project consistent with EU policies on “investing in people” and institution-building</w:t>
            </w:r>
          </w:p>
        </w:tc>
      </w:tr>
      <w:tr w:rsidR="000954E5" w:rsidRPr="00016443" w:rsidTr="00016443">
        <w:tc>
          <w:tcPr>
            <w:tcW w:w="541" w:type="pct"/>
          </w:tcPr>
          <w:p w:rsidR="000954E5" w:rsidRPr="00016443" w:rsidRDefault="000954E5" w:rsidP="00016443">
            <w:pPr>
              <w:spacing w:before="0" w:after="0"/>
              <w:rPr>
                <w:rFonts w:ascii="Arial Narrow" w:hAnsi="Arial Narrow" w:cs="Arial"/>
                <w:sz w:val="22"/>
                <w:szCs w:val="22"/>
              </w:rPr>
            </w:pPr>
            <w:r w:rsidRPr="00016443">
              <w:rPr>
                <w:rFonts w:ascii="Arial Narrow" w:hAnsi="Arial Narrow" w:cs="Arial"/>
                <w:sz w:val="22"/>
                <w:szCs w:val="22"/>
              </w:rPr>
              <w:t>237072</w:t>
            </w:r>
          </w:p>
        </w:tc>
        <w:tc>
          <w:tcPr>
            <w:tcW w:w="849" w:type="pct"/>
          </w:tcPr>
          <w:p w:rsidR="000954E5" w:rsidRPr="00016443" w:rsidRDefault="000954E5" w:rsidP="00016443">
            <w:pPr>
              <w:spacing w:before="0" w:after="0"/>
              <w:rPr>
                <w:rFonts w:ascii="Arial Narrow" w:hAnsi="Arial Narrow" w:cs="Arial"/>
                <w:sz w:val="22"/>
                <w:szCs w:val="22"/>
              </w:rPr>
            </w:pPr>
            <w:r w:rsidRPr="00016443">
              <w:rPr>
                <w:rFonts w:ascii="Arial Narrow" w:hAnsi="Arial Narrow" w:cs="Arial"/>
                <w:sz w:val="22"/>
                <w:szCs w:val="22"/>
              </w:rPr>
              <w:t>MR-145099.01</w:t>
            </w:r>
          </w:p>
        </w:tc>
        <w:tc>
          <w:tcPr>
            <w:tcW w:w="1622" w:type="pct"/>
          </w:tcPr>
          <w:p w:rsidR="000954E5" w:rsidRPr="00016443" w:rsidRDefault="000954E5" w:rsidP="00016443">
            <w:pPr>
              <w:spacing w:before="0" w:after="0"/>
              <w:rPr>
                <w:rFonts w:ascii="Arial Narrow" w:hAnsi="Arial Narrow" w:cs="Arial"/>
                <w:sz w:val="20"/>
              </w:rPr>
            </w:pPr>
            <w:proofErr w:type="spellStart"/>
            <w:r w:rsidRPr="00016443">
              <w:rPr>
                <w:rFonts w:ascii="Arial Narrow" w:hAnsi="Arial Narrow" w:cs="Arial"/>
                <w:sz w:val="20"/>
              </w:rPr>
              <w:t>Beit</w:t>
            </w:r>
            <w:proofErr w:type="spellEnd"/>
            <w:r w:rsidRPr="00016443">
              <w:rPr>
                <w:rFonts w:ascii="Arial Narrow" w:hAnsi="Arial Narrow" w:cs="Arial"/>
                <w:sz w:val="20"/>
              </w:rPr>
              <w:t xml:space="preserve"> </w:t>
            </w:r>
            <w:proofErr w:type="spellStart"/>
            <w:r w:rsidRPr="00016443">
              <w:rPr>
                <w:rFonts w:ascii="Arial Narrow" w:hAnsi="Arial Narrow" w:cs="Arial"/>
                <w:sz w:val="20"/>
              </w:rPr>
              <w:t>Dahjan</w:t>
            </w:r>
            <w:proofErr w:type="spellEnd"/>
            <w:r w:rsidRPr="00016443">
              <w:rPr>
                <w:rFonts w:ascii="Arial Narrow" w:hAnsi="Arial Narrow" w:cs="Arial"/>
                <w:sz w:val="20"/>
              </w:rPr>
              <w:t xml:space="preserve"> and </w:t>
            </w:r>
            <w:proofErr w:type="spellStart"/>
            <w:r w:rsidRPr="00016443">
              <w:rPr>
                <w:rFonts w:ascii="Arial Narrow" w:hAnsi="Arial Narrow" w:cs="Arial"/>
                <w:sz w:val="20"/>
              </w:rPr>
              <w:t>Anzah</w:t>
            </w:r>
            <w:proofErr w:type="spellEnd"/>
            <w:r w:rsidRPr="00016443">
              <w:rPr>
                <w:rFonts w:ascii="Arial Narrow" w:hAnsi="Arial Narrow" w:cs="Arial"/>
                <w:sz w:val="20"/>
              </w:rPr>
              <w:t xml:space="preserve"> villages produce more food through sustainable and safe use of reclaimed waste water for agriculture</w:t>
            </w:r>
          </w:p>
        </w:tc>
        <w:tc>
          <w:tcPr>
            <w:tcW w:w="1988" w:type="pct"/>
          </w:tcPr>
          <w:p w:rsidR="000954E5" w:rsidRPr="00016443" w:rsidRDefault="000954E5" w:rsidP="00B54C8F">
            <w:pPr>
              <w:pStyle w:val="Paragrafoelenco"/>
              <w:numPr>
                <w:ilvl w:val="0"/>
                <w:numId w:val="98"/>
              </w:numPr>
              <w:spacing w:before="0" w:after="0"/>
              <w:jc w:val="left"/>
              <w:rPr>
                <w:rFonts w:ascii="Arial Narrow" w:hAnsi="Arial Narrow" w:cs="Arial"/>
                <w:sz w:val="20"/>
              </w:rPr>
            </w:pPr>
            <w:r w:rsidRPr="00016443">
              <w:rPr>
                <w:rFonts w:ascii="Arial Narrow" w:hAnsi="Arial Narrow" w:cs="Arial"/>
                <w:sz w:val="20"/>
              </w:rPr>
              <w:t>Limited relevance of the project to institutional capacity-building; aspect not addressed by the Monitoring Report</w:t>
            </w:r>
          </w:p>
        </w:tc>
      </w:tr>
    </w:tbl>
    <w:p w:rsidR="000954E5" w:rsidRPr="00016443" w:rsidRDefault="000954E5" w:rsidP="00016443">
      <w:pPr>
        <w:spacing w:before="0" w:after="0"/>
        <w:rPr>
          <w:rFonts w:ascii="Arial" w:hAnsi="Arial" w:cs="Arial"/>
        </w:rPr>
      </w:pPr>
    </w:p>
    <w:p w:rsidR="000954E5" w:rsidRPr="00D714DB" w:rsidRDefault="000954E5" w:rsidP="00016443">
      <w:pPr>
        <w:spacing w:before="0" w:after="0"/>
        <w:rPr>
          <w:rFonts w:ascii="Arial" w:hAnsi="Arial" w:cs="Arial"/>
          <w:sz w:val="22"/>
          <w:szCs w:val="22"/>
        </w:rPr>
      </w:pPr>
      <w:r w:rsidRPr="00D714DB">
        <w:rPr>
          <w:rFonts w:ascii="Arial" w:hAnsi="Arial" w:cs="Arial"/>
          <w:sz w:val="22"/>
          <w:szCs w:val="22"/>
        </w:rPr>
        <w:t xml:space="preserve">For the two large “institutional projects” (TVET and East Jerusalem Hospital network) reports confirm significant contributions to institutional capacity-building. </w:t>
      </w:r>
    </w:p>
    <w:p w:rsidR="000954E5" w:rsidRPr="00D714DB" w:rsidRDefault="000954E5" w:rsidP="00016443">
      <w:pPr>
        <w:spacing w:before="0" w:after="0"/>
        <w:rPr>
          <w:rFonts w:ascii="Arial" w:hAnsi="Arial" w:cs="Arial"/>
          <w:sz w:val="22"/>
          <w:szCs w:val="22"/>
        </w:rPr>
      </w:pPr>
    </w:p>
    <w:p w:rsidR="000954E5" w:rsidRPr="00D714DB" w:rsidRDefault="000954E5" w:rsidP="00016443">
      <w:pPr>
        <w:spacing w:before="0" w:after="0"/>
        <w:rPr>
          <w:rFonts w:ascii="Arial" w:hAnsi="Arial" w:cs="Arial"/>
          <w:sz w:val="22"/>
          <w:szCs w:val="22"/>
        </w:rPr>
      </w:pPr>
      <w:r w:rsidRPr="00D714DB">
        <w:rPr>
          <w:rFonts w:ascii="Arial" w:hAnsi="Arial" w:cs="Arial"/>
          <w:sz w:val="22"/>
          <w:szCs w:val="22"/>
        </w:rPr>
        <w:t>The issue is less relevant for food security grass root interventions; Monitoring Reports for food security do not support meaningful findings in respect of institutional capacity building.</w:t>
      </w:r>
    </w:p>
    <w:p w:rsidR="000954E5" w:rsidRPr="00D714DB" w:rsidRDefault="000954E5" w:rsidP="00016443">
      <w:pPr>
        <w:spacing w:before="0" w:after="0"/>
        <w:rPr>
          <w:rFonts w:ascii="Arial" w:hAnsi="Arial" w:cs="Arial"/>
          <w:sz w:val="22"/>
          <w:szCs w:val="22"/>
        </w:rPr>
      </w:pPr>
    </w:p>
    <w:p w:rsidR="000954E5" w:rsidRPr="00D714DB" w:rsidRDefault="00D714DB" w:rsidP="00016443">
      <w:pPr>
        <w:shd w:val="clear" w:color="auto" w:fill="DBE5F1" w:themeFill="accent1" w:themeFillTint="33"/>
        <w:spacing w:before="0" w:after="0"/>
        <w:rPr>
          <w:rFonts w:ascii="Arial" w:hAnsi="Arial" w:cs="Arial"/>
          <w:sz w:val="22"/>
          <w:szCs w:val="22"/>
        </w:rPr>
      </w:pPr>
      <w:r w:rsidRPr="00D714DB">
        <w:rPr>
          <w:rFonts w:ascii="Arial" w:hAnsi="Arial" w:cs="Arial"/>
          <w:b/>
          <w:sz w:val="22"/>
          <w:szCs w:val="22"/>
        </w:rPr>
        <w:t>EQ7 / JC</w:t>
      </w:r>
      <w:r w:rsidR="000954E5" w:rsidRPr="00D714DB">
        <w:rPr>
          <w:rFonts w:ascii="Arial" w:hAnsi="Arial" w:cs="Arial"/>
          <w:b/>
          <w:sz w:val="22"/>
          <w:szCs w:val="22"/>
        </w:rPr>
        <w:t>4</w:t>
      </w:r>
      <w:r w:rsidR="000954E5" w:rsidRPr="00D714DB">
        <w:rPr>
          <w:rFonts w:ascii="Arial" w:hAnsi="Arial" w:cs="Arial"/>
          <w:sz w:val="22"/>
          <w:szCs w:val="22"/>
        </w:rPr>
        <w:t xml:space="preserve"> EU-Palestinian cooperation effectively supports goals of a socially viable sustainable Palestinian state</w:t>
      </w:r>
    </w:p>
    <w:p w:rsidR="000954E5" w:rsidRPr="00D714DB" w:rsidRDefault="000954E5" w:rsidP="00016443">
      <w:pPr>
        <w:spacing w:before="0" w:after="0"/>
        <w:rPr>
          <w:rFonts w:ascii="Arial" w:hAnsi="Arial" w:cs="Arial"/>
          <w:sz w:val="22"/>
          <w:szCs w:val="22"/>
        </w:rPr>
      </w:pPr>
      <w:r w:rsidRPr="00D714DB">
        <w:rPr>
          <w:rFonts w:ascii="Arial" w:hAnsi="Arial" w:cs="Arial"/>
          <w:sz w:val="22"/>
          <w:szCs w:val="22"/>
        </w:rPr>
        <w:t xml:space="preserve">Five Monitoring Reports were reviewed to appraise effectiveness, sustainability and impact of social sector interventions: 1 education (TVET), 1 health and 3 food security, see below table. </w:t>
      </w:r>
    </w:p>
    <w:p w:rsidR="000954E5" w:rsidRPr="00D714DB" w:rsidRDefault="000954E5" w:rsidP="00016443">
      <w:pPr>
        <w:spacing w:before="0" w:after="0"/>
        <w:rPr>
          <w:sz w:val="22"/>
          <w:szCs w:val="22"/>
        </w:rPr>
      </w:pPr>
    </w:p>
    <w:p w:rsidR="000954E5" w:rsidRPr="000D5C93" w:rsidRDefault="000954E5" w:rsidP="00D714DB">
      <w:pPr>
        <w:pStyle w:val="Didascalia"/>
        <w:framePr w:wrap="around"/>
      </w:pPr>
      <w:bookmarkStart w:id="122" w:name="_Toc373334853"/>
      <w:r w:rsidRPr="000D5C93">
        <w:t>Table</w:t>
      </w:r>
      <w:r w:rsidR="00D714DB">
        <w:t xml:space="preserve"> 8</w:t>
      </w:r>
      <w:r w:rsidRPr="000D5C93">
        <w:t>: ROM Scoring of selected project under Social for effectiveness, impact and sustainability criteria</w:t>
      </w:r>
      <w:bookmarkEnd w:id="122"/>
    </w:p>
    <w:tbl>
      <w:tblPr>
        <w:tblStyle w:val="Grigliatabella"/>
        <w:tblW w:w="5000" w:type="pct"/>
        <w:tblLook w:val="04A0"/>
      </w:tblPr>
      <w:tblGrid>
        <w:gridCol w:w="1022"/>
        <w:gridCol w:w="1410"/>
        <w:gridCol w:w="3955"/>
        <w:gridCol w:w="1274"/>
        <w:gridCol w:w="910"/>
        <w:gridCol w:w="1283"/>
      </w:tblGrid>
      <w:tr w:rsidR="000954E5" w:rsidRPr="00016443" w:rsidTr="00D714DB">
        <w:tc>
          <w:tcPr>
            <w:tcW w:w="597" w:type="pct"/>
            <w:shd w:val="clear" w:color="auto" w:fill="808080" w:themeFill="background1" w:themeFillShade="80"/>
          </w:tcPr>
          <w:p w:rsidR="000954E5" w:rsidRPr="00016443" w:rsidRDefault="000954E5" w:rsidP="00016443">
            <w:pPr>
              <w:spacing w:before="0" w:after="0"/>
              <w:jc w:val="center"/>
              <w:rPr>
                <w:rFonts w:ascii="Arial Narrow" w:eastAsiaTheme="minorHAnsi" w:hAnsi="Arial Narrow"/>
                <w:b/>
                <w:color w:val="FFFFFF" w:themeColor="background1"/>
                <w:sz w:val="20"/>
              </w:rPr>
            </w:pPr>
            <w:r w:rsidRPr="00016443">
              <w:rPr>
                <w:rFonts w:ascii="Arial Narrow" w:eastAsiaTheme="minorHAnsi" w:hAnsi="Arial Narrow"/>
                <w:b/>
                <w:color w:val="FFFFFF" w:themeColor="background1"/>
                <w:sz w:val="20"/>
              </w:rPr>
              <w:t>Contract Number</w:t>
            </w:r>
          </w:p>
        </w:tc>
        <w:tc>
          <w:tcPr>
            <w:tcW w:w="794" w:type="pct"/>
            <w:shd w:val="clear" w:color="auto" w:fill="808080" w:themeFill="background1" w:themeFillShade="80"/>
          </w:tcPr>
          <w:p w:rsidR="000954E5" w:rsidRPr="00016443" w:rsidRDefault="000954E5" w:rsidP="00016443">
            <w:pPr>
              <w:spacing w:before="0" w:after="0"/>
              <w:jc w:val="center"/>
              <w:rPr>
                <w:rFonts w:ascii="Arial Narrow" w:eastAsiaTheme="minorHAnsi" w:hAnsi="Arial Narrow"/>
                <w:b/>
                <w:color w:val="FFFFFF" w:themeColor="background1"/>
                <w:sz w:val="20"/>
              </w:rPr>
            </w:pPr>
            <w:r w:rsidRPr="00016443">
              <w:rPr>
                <w:rFonts w:ascii="Arial Narrow" w:eastAsiaTheme="minorHAnsi" w:hAnsi="Arial Narrow"/>
                <w:b/>
                <w:color w:val="FFFFFF" w:themeColor="background1"/>
                <w:sz w:val="20"/>
              </w:rPr>
              <w:t>ROM Number</w:t>
            </w:r>
          </w:p>
        </w:tc>
        <w:tc>
          <w:tcPr>
            <w:tcW w:w="2085" w:type="pct"/>
            <w:shd w:val="clear" w:color="auto" w:fill="808080" w:themeFill="background1" w:themeFillShade="80"/>
          </w:tcPr>
          <w:p w:rsidR="000954E5" w:rsidRPr="00016443" w:rsidRDefault="000954E5" w:rsidP="00016443">
            <w:pPr>
              <w:spacing w:before="0" w:after="0"/>
              <w:jc w:val="center"/>
              <w:rPr>
                <w:rFonts w:ascii="Arial Narrow" w:eastAsiaTheme="minorHAnsi" w:hAnsi="Arial Narrow"/>
                <w:b/>
                <w:color w:val="FFFFFF" w:themeColor="background1"/>
                <w:sz w:val="20"/>
              </w:rPr>
            </w:pPr>
            <w:r w:rsidRPr="00016443">
              <w:rPr>
                <w:rFonts w:ascii="Arial Narrow" w:eastAsiaTheme="minorHAnsi" w:hAnsi="Arial Narrow"/>
                <w:b/>
                <w:color w:val="FFFFFF" w:themeColor="background1"/>
                <w:sz w:val="20"/>
              </w:rPr>
              <w:t>Project</w:t>
            </w:r>
          </w:p>
        </w:tc>
        <w:tc>
          <w:tcPr>
            <w:tcW w:w="464" w:type="pct"/>
            <w:shd w:val="clear" w:color="auto" w:fill="808080" w:themeFill="background1" w:themeFillShade="80"/>
          </w:tcPr>
          <w:p w:rsidR="000954E5" w:rsidRPr="00016443" w:rsidRDefault="000954E5" w:rsidP="00016443">
            <w:pPr>
              <w:spacing w:before="0" w:after="0"/>
              <w:jc w:val="center"/>
              <w:rPr>
                <w:rFonts w:ascii="Arial Narrow" w:eastAsiaTheme="minorHAnsi" w:hAnsi="Arial Narrow"/>
                <w:b/>
                <w:color w:val="FFFFFF" w:themeColor="background1"/>
                <w:sz w:val="20"/>
              </w:rPr>
            </w:pPr>
            <w:r w:rsidRPr="00016443">
              <w:rPr>
                <w:rFonts w:ascii="Arial Narrow" w:eastAsiaTheme="minorHAnsi" w:hAnsi="Arial Narrow"/>
                <w:b/>
                <w:color w:val="FFFFFF" w:themeColor="background1"/>
                <w:sz w:val="20"/>
              </w:rPr>
              <w:t>Effectiveness</w:t>
            </w:r>
          </w:p>
        </w:tc>
        <w:tc>
          <w:tcPr>
            <w:tcW w:w="540" w:type="pct"/>
            <w:shd w:val="clear" w:color="auto" w:fill="808080" w:themeFill="background1" w:themeFillShade="80"/>
          </w:tcPr>
          <w:p w:rsidR="000954E5" w:rsidRPr="00016443" w:rsidRDefault="000954E5" w:rsidP="00016443">
            <w:pPr>
              <w:spacing w:before="0" w:after="0"/>
              <w:jc w:val="center"/>
              <w:rPr>
                <w:rFonts w:ascii="Arial Narrow" w:eastAsiaTheme="minorHAnsi" w:hAnsi="Arial Narrow"/>
                <w:b/>
                <w:color w:val="FFFFFF" w:themeColor="background1"/>
                <w:sz w:val="20"/>
              </w:rPr>
            </w:pPr>
            <w:r w:rsidRPr="00016443">
              <w:rPr>
                <w:rFonts w:ascii="Arial Narrow" w:hAnsi="Arial Narrow"/>
                <w:b/>
                <w:color w:val="FFFFFF" w:themeColor="background1"/>
                <w:sz w:val="20"/>
              </w:rPr>
              <w:t>Impact</w:t>
            </w:r>
          </w:p>
        </w:tc>
        <w:tc>
          <w:tcPr>
            <w:tcW w:w="520" w:type="pct"/>
            <w:shd w:val="clear" w:color="auto" w:fill="808080" w:themeFill="background1" w:themeFillShade="80"/>
          </w:tcPr>
          <w:p w:rsidR="000954E5" w:rsidRPr="00016443" w:rsidRDefault="000954E5" w:rsidP="00016443">
            <w:pPr>
              <w:spacing w:before="0" w:after="0"/>
              <w:jc w:val="center"/>
              <w:rPr>
                <w:rFonts w:ascii="Arial Narrow" w:eastAsiaTheme="minorHAnsi" w:hAnsi="Arial Narrow"/>
                <w:b/>
                <w:color w:val="FFFFFF" w:themeColor="background1"/>
                <w:sz w:val="20"/>
              </w:rPr>
            </w:pPr>
            <w:r w:rsidRPr="00016443">
              <w:rPr>
                <w:rFonts w:ascii="Arial Narrow" w:hAnsi="Arial Narrow"/>
                <w:b/>
                <w:color w:val="FFFFFF" w:themeColor="background1"/>
                <w:sz w:val="20"/>
              </w:rPr>
              <w:t>Sustainability</w:t>
            </w:r>
          </w:p>
        </w:tc>
      </w:tr>
      <w:tr w:rsidR="000954E5" w:rsidRPr="00016443" w:rsidTr="00D714DB">
        <w:tc>
          <w:tcPr>
            <w:tcW w:w="597" w:type="pct"/>
          </w:tcPr>
          <w:p w:rsidR="000954E5" w:rsidRPr="00016443" w:rsidRDefault="000954E5" w:rsidP="00016443">
            <w:pPr>
              <w:spacing w:before="0" w:after="0"/>
              <w:rPr>
                <w:rFonts w:ascii="Arial Narrow" w:hAnsi="Arial Narrow"/>
                <w:sz w:val="20"/>
              </w:rPr>
            </w:pPr>
            <w:r w:rsidRPr="00016443">
              <w:rPr>
                <w:rFonts w:ascii="Arial Narrow" w:hAnsi="Arial Narrow"/>
                <w:sz w:val="20"/>
              </w:rPr>
              <w:t>270253</w:t>
            </w:r>
          </w:p>
        </w:tc>
        <w:tc>
          <w:tcPr>
            <w:tcW w:w="794" w:type="pct"/>
          </w:tcPr>
          <w:p w:rsidR="000954E5" w:rsidRPr="00016443" w:rsidRDefault="000954E5" w:rsidP="00016443">
            <w:pPr>
              <w:spacing w:before="0" w:after="0"/>
              <w:rPr>
                <w:rFonts w:ascii="Arial Narrow" w:hAnsi="Arial Narrow"/>
                <w:sz w:val="20"/>
              </w:rPr>
            </w:pPr>
            <w:r w:rsidRPr="00016443">
              <w:rPr>
                <w:rFonts w:ascii="Arial Narrow" w:hAnsi="Arial Narrow"/>
                <w:sz w:val="20"/>
              </w:rPr>
              <w:t>MR-145033.01</w:t>
            </w:r>
          </w:p>
        </w:tc>
        <w:tc>
          <w:tcPr>
            <w:tcW w:w="2085" w:type="pct"/>
          </w:tcPr>
          <w:p w:rsidR="000954E5" w:rsidRPr="00016443" w:rsidRDefault="000954E5" w:rsidP="00016443">
            <w:pPr>
              <w:spacing w:before="0" w:after="0"/>
              <w:rPr>
                <w:rFonts w:ascii="Arial Narrow" w:hAnsi="Arial Narrow"/>
                <w:sz w:val="20"/>
              </w:rPr>
            </w:pPr>
            <w:r w:rsidRPr="00016443">
              <w:rPr>
                <w:rFonts w:ascii="Arial Narrow" w:hAnsi="Arial Narrow"/>
                <w:sz w:val="20"/>
              </w:rPr>
              <w:t xml:space="preserve">EU  support for TVET development in </w:t>
            </w:r>
            <w:proofErr w:type="spellStart"/>
            <w:r w:rsidRPr="00016443">
              <w:rPr>
                <w:rFonts w:ascii="Arial Narrow" w:hAnsi="Arial Narrow"/>
                <w:sz w:val="20"/>
              </w:rPr>
              <w:t>oPt</w:t>
            </w:r>
            <w:proofErr w:type="spellEnd"/>
          </w:p>
        </w:tc>
        <w:tc>
          <w:tcPr>
            <w:tcW w:w="464" w:type="pct"/>
            <w:vAlign w:val="center"/>
          </w:tcPr>
          <w:p w:rsidR="000954E5" w:rsidRPr="00016443" w:rsidRDefault="000954E5" w:rsidP="00016443">
            <w:pPr>
              <w:spacing w:before="0" w:after="0"/>
              <w:jc w:val="center"/>
              <w:rPr>
                <w:rFonts w:ascii="Arial Narrow" w:hAnsi="Arial Narrow"/>
                <w:sz w:val="20"/>
              </w:rPr>
            </w:pPr>
            <w:r w:rsidRPr="00016443">
              <w:rPr>
                <w:rFonts w:ascii="Arial Narrow" w:hAnsi="Arial Narrow"/>
                <w:sz w:val="20"/>
              </w:rPr>
              <w:t>A</w:t>
            </w:r>
          </w:p>
        </w:tc>
        <w:tc>
          <w:tcPr>
            <w:tcW w:w="540" w:type="pct"/>
            <w:vAlign w:val="center"/>
          </w:tcPr>
          <w:p w:rsidR="000954E5" w:rsidRPr="00016443" w:rsidRDefault="000954E5" w:rsidP="00016443">
            <w:pPr>
              <w:spacing w:before="0" w:after="0"/>
              <w:jc w:val="center"/>
              <w:rPr>
                <w:rFonts w:ascii="Arial Narrow" w:hAnsi="Arial Narrow"/>
                <w:sz w:val="20"/>
              </w:rPr>
            </w:pPr>
            <w:r w:rsidRPr="00016443">
              <w:rPr>
                <w:rFonts w:ascii="Arial Narrow" w:hAnsi="Arial Narrow"/>
                <w:sz w:val="20"/>
              </w:rPr>
              <w:t>A</w:t>
            </w:r>
          </w:p>
        </w:tc>
        <w:tc>
          <w:tcPr>
            <w:tcW w:w="520" w:type="pct"/>
            <w:vAlign w:val="center"/>
          </w:tcPr>
          <w:p w:rsidR="000954E5" w:rsidRPr="00016443" w:rsidRDefault="000954E5" w:rsidP="00016443">
            <w:pPr>
              <w:spacing w:before="0" w:after="0"/>
              <w:jc w:val="center"/>
              <w:rPr>
                <w:rFonts w:ascii="Arial Narrow" w:hAnsi="Arial Narrow"/>
                <w:sz w:val="20"/>
              </w:rPr>
            </w:pPr>
            <w:r w:rsidRPr="00016443">
              <w:rPr>
                <w:rFonts w:ascii="Arial Narrow" w:hAnsi="Arial Narrow"/>
                <w:sz w:val="20"/>
              </w:rPr>
              <w:t>A</w:t>
            </w:r>
          </w:p>
        </w:tc>
      </w:tr>
      <w:tr w:rsidR="000954E5" w:rsidRPr="00016443" w:rsidTr="00D714DB">
        <w:tc>
          <w:tcPr>
            <w:tcW w:w="597" w:type="pct"/>
          </w:tcPr>
          <w:p w:rsidR="000954E5" w:rsidRPr="00016443" w:rsidRDefault="000954E5" w:rsidP="00016443">
            <w:pPr>
              <w:spacing w:before="0" w:after="0"/>
              <w:rPr>
                <w:rFonts w:ascii="Arial Narrow" w:hAnsi="Arial Narrow"/>
                <w:sz w:val="20"/>
              </w:rPr>
            </w:pPr>
            <w:r w:rsidRPr="00016443">
              <w:rPr>
                <w:rFonts w:ascii="Arial Narrow" w:hAnsi="Arial Narrow"/>
                <w:sz w:val="20"/>
              </w:rPr>
              <w:t>268270</w:t>
            </w:r>
          </w:p>
        </w:tc>
        <w:tc>
          <w:tcPr>
            <w:tcW w:w="794" w:type="pct"/>
          </w:tcPr>
          <w:p w:rsidR="000954E5" w:rsidRPr="00016443" w:rsidRDefault="000954E5" w:rsidP="00016443">
            <w:pPr>
              <w:spacing w:before="0" w:after="0"/>
              <w:rPr>
                <w:rFonts w:ascii="Arial Narrow" w:hAnsi="Arial Narrow"/>
                <w:sz w:val="20"/>
              </w:rPr>
            </w:pPr>
            <w:r w:rsidRPr="00016443">
              <w:rPr>
                <w:rFonts w:ascii="Arial Narrow" w:hAnsi="Arial Narrow"/>
                <w:sz w:val="20"/>
              </w:rPr>
              <w:t>MR-145669.01</w:t>
            </w:r>
          </w:p>
        </w:tc>
        <w:tc>
          <w:tcPr>
            <w:tcW w:w="2085" w:type="pct"/>
          </w:tcPr>
          <w:p w:rsidR="000954E5" w:rsidRPr="00016443" w:rsidRDefault="000954E5" w:rsidP="00016443">
            <w:pPr>
              <w:spacing w:before="0" w:after="0"/>
              <w:rPr>
                <w:rFonts w:ascii="Arial Narrow" w:hAnsi="Arial Narrow"/>
                <w:sz w:val="20"/>
              </w:rPr>
            </w:pPr>
            <w:r w:rsidRPr="00016443">
              <w:rPr>
                <w:rFonts w:ascii="Arial Narrow" w:hAnsi="Arial Narrow"/>
                <w:sz w:val="20"/>
              </w:rPr>
              <w:t>Supporting food security and livelihoods of poor families through improving water harvesting and water demand management for agriculture;</w:t>
            </w:r>
          </w:p>
        </w:tc>
        <w:tc>
          <w:tcPr>
            <w:tcW w:w="464" w:type="pct"/>
            <w:vAlign w:val="center"/>
          </w:tcPr>
          <w:p w:rsidR="000954E5" w:rsidRPr="00016443" w:rsidRDefault="000954E5" w:rsidP="00016443">
            <w:pPr>
              <w:spacing w:before="0" w:after="0"/>
              <w:jc w:val="center"/>
              <w:rPr>
                <w:rFonts w:ascii="Arial Narrow" w:hAnsi="Arial Narrow"/>
                <w:sz w:val="20"/>
              </w:rPr>
            </w:pPr>
            <w:r w:rsidRPr="00016443">
              <w:rPr>
                <w:rFonts w:ascii="Arial Narrow" w:hAnsi="Arial Narrow"/>
                <w:sz w:val="20"/>
              </w:rPr>
              <w:t>B</w:t>
            </w:r>
          </w:p>
        </w:tc>
        <w:tc>
          <w:tcPr>
            <w:tcW w:w="540" w:type="pct"/>
            <w:vAlign w:val="center"/>
          </w:tcPr>
          <w:p w:rsidR="000954E5" w:rsidRPr="00016443" w:rsidRDefault="000954E5" w:rsidP="00016443">
            <w:pPr>
              <w:spacing w:before="0" w:after="0"/>
              <w:jc w:val="center"/>
              <w:rPr>
                <w:rFonts w:ascii="Arial Narrow" w:hAnsi="Arial Narrow"/>
                <w:sz w:val="20"/>
              </w:rPr>
            </w:pPr>
            <w:r w:rsidRPr="00016443">
              <w:rPr>
                <w:rFonts w:ascii="Arial Narrow" w:hAnsi="Arial Narrow"/>
                <w:sz w:val="20"/>
              </w:rPr>
              <w:t>A</w:t>
            </w:r>
          </w:p>
        </w:tc>
        <w:tc>
          <w:tcPr>
            <w:tcW w:w="520" w:type="pct"/>
            <w:vAlign w:val="center"/>
          </w:tcPr>
          <w:p w:rsidR="000954E5" w:rsidRPr="00016443" w:rsidRDefault="000954E5" w:rsidP="00016443">
            <w:pPr>
              <w:spacing w:before="0" w:after="0"/>
              <w:jc w:val="center"/>
              <w:rPr>
                <w:rFonts w:ascii="Arial Narrow" w:hAnsi="Arial Narrow"/>
                <w:sz w:val="20"/>
              </w:rPr>
            </w:pPr>
            <w:r w:rsidRPr="00016443">
              <w:rPr>
                <w:rFonts w:ascii="Arial Narrow" w:hAnsi="Arial Narrow"/>
                <w:sz w:val="20"/>
              </w:rPr>
              <w:t>A</w:t>
            </w:r>
          </w:p>
        </w:tc>
      </w:tr>
      <w:tr w:rsidR="000954E5" w:rsidRPr="00016443" w:rsidTr="00D714DB">
        <w:tc>
          <w:tcPr>
            <w:tcW w:w="597" w:type="pct"/>
          </w:tcPr>
          <w:p w:rsidR="000954E5" w:rsidRPr="00016443" w:rsidRDefault="000954E5" w:rsidP="00016443">
            <w:pPr>
              <w:spacing w:before="0" w:after="0"/>
              <w:rPr>
                <w:rFonts w:ascii="Arial Narrow" w:hAnsi="Arial Narrow"/>
                <w:sz w:val="20"/>
              </w:rPr>
            </w:pPr>
            <w:r w:rsidRPr="00016443">
              <w:rPr>
                <w:rFonts w:ascii="Arial Narrow" w:hAnsi="Arial Narrow"/>
                <w:sz w:val="20"/>
              </w:rPr>
              <w:t>237071</w:t>
            </w:r>
          </w:p>
        </w:tc>
        <w:tc>
          <w:tcPr>
            <w:tcW w:w="794" w:type="pct"/>
          </w:tcPr>
          <w:p w:rsidR="000954E5" w:rsidRPr="00016443" w:rsidRDefault="000954E5" w:rsidP="00016443">
            <w:pPr>
              <w:spacing w:before="0" w:after="0"/>
              <w:rPr>
                <w:rFonts w:ascii="Arial Narrow" w:hAnsi="Arial Narrow"/>
                <w:sz w:val="20"/>
              </w:rPr>
            </w:pPr>
            <w:r w:rsidRPr="00016443">
              <w:rPr>
                <w:rFonts w:ascii="Arial Narrow" w:hAnsi="Arial Narrow"/>
                <w:sz w:val="20"/>
              </w:rPr>
              <w:t>MR-145077.01</w:t>
            </w:r>
          </w:p>
        </w:tc>
        <w:tc>
          <w:tcPr>
            <w:tcW w:w="2085" w:type="pct"/>
          </w:tcPr>
          <w:p w:rsidR="000954E5" w:rsidRPr="00016443" w:rsidRDefault="000954E5" w:rsidP="00016443">
            <w:pPr>
              <w:spacing w:before="0" w:after="0"/>
              <w:rPr>
                <w:rFonts w:ascii="Arial Narrow" w:hAnsi="Arial Narrow"/>
                <w:sz w:val="20"/>
              </w:rPr>
            </w:pPr>
            <w:r w:rsidRPr="00016443">
              <w:rPr>
                <w:rFonts w:ascii="Arial Narrow" w:hAnsi="Arial Narrow"/>
                <w:sz w:val="20"/>
              </w:rPr>
              <w:t xml:space="preserve">Enhancement of food security in </w:t>
            </w:r>
            <w:proofErr w:type="spellStart"/>
            <w:r w:rsidRPr="00016443">
              <w:rPr>
                <w:rFonts w:ascii="Arial Narrow" w:hAnsi="Arial Narrow"/>
                <w:sz w:val="20"/>
              </w:rPr>
              <w:t>Taybeh</w:t>
            </w:r>
            <w:proofErr w:type="spellEnd"/>
            <w:r w:rsidRPr="00016443">
              <w:rPr>
                <w:rFonts w:ascii="Arial Narrow" w:hAnsi="Arial Narrow"/>
                <w:sz w:val="20"/>
              </w:rPr>
              <w:t xml:space="preserve"> and </w:t>
            </w:r>
            <w:proofErr w:type="spellStart"/>
            <w:r w:rsidRPr="00016443">
              <w:rPr>
                <w:rFonts w:ascii="Arial Narrow" w:hAnsi="Arial Narrow"/>
                <w:sz w:val="20"/>
              </w:rPr>
              <w:t>Ramoun</w:t>
            </w:r>
            <w:proofErr w:type="spellEnd"/>
            <w:r w:rsidRPr="00016443">
              <w:rPr>
                <w:rFonts w:ascii="Arial Narrow" w:hAnsi="Arial Narrow"/>
                <w:sz w:val="20"/>
              </w:rPr>
              <w:t xml:space="preserve"> through rural development and agricultural extension;</w:t>
            </w:r>
          </w:p>
        </w:tc>
        <w:tc>
          <w:tcPr>
            <w:tcW w:w="464" w:type="pct"/>
            <w:vAlign w:val="center"/>
          </w:tcPr>
          <w:p w:rsidR="000954E5" w:rsidRPr="00016443" w:rsidRDefault="000954E5" w:rsidP="00016443">
            <w:pPr>
              <w:spacing w:before="0" w:after="0"/>
              <w:jc w:val="center"/>
              <w:rPr>
                <w:rFonts w:ascii="Arial Narrow" w:hAnsi="Arial Narrow"/>
                <w:sz w:val="20"/>
              </w:rPr>
            </w:pPr>
            <w:r w:rsidRPr="00016443">
              <w:rPr>
                <w:rFonts w:ascii="Arial Narrow" w:hAnsi="Arial Narrow"/>
                <w:sz w:val="20"/>
              </w:rPr>
              <w:t>B</w:t>
            </w:r>
          </w:p>
        </w:tc>
        <w:tc>
          <w:tcPr>
            <w:tcW w:w="540" w:type="pct"/>
            <w:vAlign w:val="center"/>
          </w:tcPr>
          <w:p w:rsidR="000954E5" w:rsidRPr="00016443" w:rsidRDefault="000954E5" w:rsidP="00016443">
            <w:pPr>
              <w:pStyle w:val="Paragrafoelenco"/>
              <w:spacing w:before="0" w:after="0"/>
              <w:ind w:left="0"/>
              <w:jc w:val="center"/>
              <w:rPr>
                <w:rFonts w:ascii="Arial Narrow" w:hAnsi="Arial Narrow"/>
                <w:sz w:val="20"/>
              </w:rPr>
            </w:pPr>
            <w:r w:rsidRPr="00016443">
              <w:rPr>
                <w:rFonts w:ascii="Arial Narrow" w:hAnsi="Arial Narrow"/>
                <w:sz w:val="20"/>
              </w:rPr>
              <w:t>B</w:t>
            </w:r>
          </w:p>
        </w:tc>
        <w:tc>
          <w:tcPr>
            <w:tcW w:w="520" w:type="pct"/>
            <w:vAlign w:val="center"/>
          </w:tcPr>
          <w:p w:rsidR="000954E5" w:rsidRPr="00016443" w:rsidRDefault="000954E5" w:rsidP="00016443">
            <w:pPr>
              <w:pStyle w:val="Paragrafoelenco"/>
              <w:spacing w:before="0" w:after="0"/>
              <w:ind w:left="0"/>
              <w:jc w:val="center"/>
              <w:rPr>
                <w:rFonts w:ascii="Arial Narrow" w:hAnsi="Arial Narrow"/>
                <w:sz w:val="20"/>
              </w:rPr>
            </w:pPr>
            <w:r w:rsidRPr="00016443">
              <w:rPr>
                <w:rFonts w:ascii="Arial Narrow" w:hAnsi="Arial Narrow"/>
                <w:sz w:val="20"/>
              </w:rPr>
              <w:t>B</w:t>
            </w:r>
          </w:p>
        </w:tc>
      </w:tr>
      <w:tr w:rsidR="000954E5" w:rsidRPr="00016443" w:rsidTr="00D714DB">
        <w:tc>
          <w:tcPr>
            <w:tcW w:w="597" w:type="pct"/>
            <w:tcBorders>
              <w:bottom w:val="single" w:sz="4" w:space="0" w:color="000000"/>
            </w:tcBorders>
          </w:tcPr>
          <w:p w:rsidR="000954E5" w:rsidRPr="00016443" w:rsidRDefault="000954E5" w:rsidP="00016443">
            <w:pPr>
              <w:spacing w:before="0" w:after="0"/>
              <w:rPr>
                <w:rFonts w:ascii="Arial Narrow" w:hAnsi="Arial Narrow"/>
                <w:sz w:val="20"/>
              </w:rPr>
            </w:pPr>
            <w:r w:rsidRPr="00016443">
              <w:rPr>
                <w:rFonts w:ascii="Arial Narrow" w:hAnsi="Arial Narrow"/>
                <w:sz w:val="20"/>
              </w:rPr>
              <w:t>233062</w:t>
            </w:r>
          </w:p>
        </w:tc>
        <w:tc>
          <w:tcPr>
            <w:tcW w:w="794" w:type="pct"/>
            <w:tcBorders>
              <w:bottom w:val="single" w:sz="4" w:space="0" w:color="000000"/>
            </w:tcBorders>
          </w:tcPr>
          <w:p w:rsidR="000954E5" w:rsidRPr="00016443" w:rsidRDefault="000954E5" w:rsidP="00016443">
            <w:pPr>
              <w:spacing w:before="0" w:after="0"/>
              <w:rPr>
                <w:rFonts w:ascii="Arial Narrow" w:hAnsi="Arial Narrow"/>
                <w:sz w:val="20"/>
              </w:rPr>
            </w:pPr>
            <w:r w:rsidRPr="00016443">
              <w:rPr>
                <w:rFonts w:ascii="Arial Narrow" w:hAnsi="Arial Narrow"/>
                <w:sz w:val="20"/>
              </w:rPr>
              <w:t>MR-142461.02</w:t>
            </w:r>
          </w:p>
        </w:tc>
        <w:tc>
          <w:tcPr>
            <w:tcW w:w="2085" w:type="pct"/>
            <w:tcBorders>
              <w:bottom w:val="single" w:sz="4" w:space="0" w:color="000000"/>
            </w:tcBorders>
          </w:tcPr>
          <w:p w:rsidR="000954E5" w:rsidRPr="00016443" w:rsidRDefault="000954E5" w:rsidP="00016443">
            <w:pPr>
              <w:spacing w:before="0" w:after="0"/>
              <w:rPr>
                <w:rFonts w:ascii="Arial Narrow" w:hAnsi="Arial Narrow"/>
                <w:sz w:val="20"/>
              </w:rPr>
            </w:pPr>
            <w:r w:rsidRPr="00016443">
              <w:rPr>
                <w:rFonts w:ascii="Arial Narrow" w:hAnsi="Arial Narrow"/>
                <w:sz w:val="20"/>
              </w:rPr>
              <w:t>East Jerusalem Hospitals network for quality</w:t>
            </w:r>
          </w:p>
        </w:tc>
        <w:tc>
          <w:tcPr>
            <w:tcW w:w="464" w:type="pct"/>
            <w:tcBorders>
              <w:bottom w:val="single" w:sz="4" w:space="0" w:color="000000"/>
            </w:tcBorders>
            <w:vAlign w:val="center"/>
          </w:tcPr>
          <w:p w:rsidR="000954E5" w:rsidRPr="00016443" w:rsidRDefault="000954E5" w:rsidP="00016443">
            <w:pPr>
              <w:spacing w:before="0" w:after="0"/>
              <w:jc w:val="center"/>
              <w:rPr>
                <w:rFonts w:ascii="Arial Narrow" w:hAnsi="Arial Narrow"/>
                <w:sz w:val="20"/>
              </w:rPr>
            </w:pPr>
            <w:r w:rsidRPr="00016443">
              <w:rPr>
                <w:rFonts w:ascii="Arial Narrow" w:hAnsi="Arial Narrow"/>
                <w:sz w:val="20"/>
              </w:rPr>
              <w:t>B</w:t>
            </w:r>
          </w:p>
        </w:tc>
        <w:tc>
          <w:tcPr>
            <w:tcW w:w="540" w:type="pct"/>
            <w:tcBorders>
              <w:bottom w:val="single" w:sz="4" w:space="0" w:color="000000"/>
            </w:tcBorders>
            <w:vAlign w:val="center"/>
          </w:tcPr>
          <w:p w:rsidR="000954E5" w:rsidRPr="00016443" w:rsidRDefault="000954E5" w:rsidP="00016443">
            <w:pPr>
              <w:spacing w:before="0" w:after="0"/>
              <w:jc w:val="center"/>
              <w:rPr>
                <w:rFonts w:ascii="Arial Narrow" w:hAnsi="Arial Narrow"/>
                <w:sz w:val="20"/>
              </w:rPr>
            </w:pPr>
            <w:r w:rsidRPr="00016443">
              <w:rPr>
                <w:rFonts w:ascii="Arial Narrow" w:hAnsi="Arial Narrow"/>
                <w:sz w:val="20"/>
              </w:rPr>
              <w:t>B</w:t>
            </w:r>
          </w:p>
        </w:tc>
        <w:tc>
          <w:tcPr>
            <w:tcW w:w="520" w:type="pct"/>
            <w:tcBorders>
              <w:bottom w:val="single" w:sz="4" w:space="0" w:color="000000"/>
            </w:tcBorders>
            <w:vAlign w:val="center"/>
          </w:tcPr>
          <w:p w:rsidR="000954E5" w:rsidRPr="00016443" w:rsidRDefault="000954E5" w:rsidP="00016443">
            <w:pPr>
              <w:spacing w:before="0" w:after="0"/>
              <w:jc w:val="center"/>
              <w:rPr>
                <w:rFonts w:ascii="Arial Narrow" w:hAnsi="Arial Narrow"/>
                <w:sz w:val="20"/>
              </w:rPr>
            </w:pPr>
            <w:r w:rsidRPr="00016443">
              <w:rPr>
                <w:rFonts w:ascii="Arial Narrow" w:hAnsi="Arial Narrow"/>
                <w:sz w:val="20"/>
              </w:rPr>
              <w:t>C</w:t>
            </w:r>
          </w:p>
        </w:tc>
      </w:tr>
      <w:tr w:rsidR="000954E5" w:rsidRPr="00016443" w:rsidTr="00D714DB">
        <w:tc>
          <w:tcPr>
            <w:tcW w:w="597" w:type="pct"/>
            <w:tcBorders>
              <w:bottom w:val="single" w:sz="4" w:space="0" w:color="000000"/>
            </w:tcBorders>
          </w:tcPr>
          <w:p w:rsidR="000954E5" w:rsidRPr="00016443" w:rsidRDefault="000954E5" w:rsidP="00016443">
            <w:pPr>
              <w:spacing w:before="0" w:after="0"/>
              <w:rPr>
                <w:rFonts w:ascii="Arial Narrow" w:hAnsi="Arial Narrow"/>
                <w:sz w:val="20"/>
              </w:rPr>
            </w:pPr>
            <w:r w:rsidRPr="00016443">
              <w:rPr>
                <w:rFonts w:ascii="Arial Narrow" w:hAnsi="Arial Narrow"/>
                <w:sz w:val="20"/>
              </w:rPr>
              <w:t>237072</w:t>
            </w:r>
          </w:p>
        </w:tc>
        <w:tc>
          <w:tcPr>
            <w:tcW w:w="794" w:type="pct"/>
            <w:tcBorders>
              <w:bottom w:val="single" w:sz="4" w:space="0" w:color="000000"/>
            </w:tcBorders>
          </w:tcPr>
          <w:p w:rsidR="000954E5" w:rsidRPr="00016443" w:rsidRDefault="000954E5" w:rsidP="00016443">
            <w:pPr>
              <w:spacing w:before="0" w:after="0"/>
              <w:rPr>
                <w:rFonts w:ascii="Arial Narrow" w:hAnsi="Arial Narrow"/>
                <w:sz w:val="20"/>
              </w:rPr>
            </w:pPr>
            <w:r w:rsidRPr="00016443">
              <w:rPr>
                <w:rFonts w:ascii="Arial Narrow" w:hAnsi="Arial Narrow"/>
                <w:sz w:val="20"/>
              </w:rPr>
              <w:t>MR-145099.01</w:t>
            </w:r>
          </w:p>
        </w:tc>
        <w:tc>
          <w:tcPr>
            <w:tcW w:w="2085" w:type="pct"/>
            <w:tcBorders>
              <w:bottom w:val="single" w:sz="4" w:space="0" w:color="000000"/>
            </w:tcBorders>
          </w:tcPr>
          <w:p w:rsidR="000954E5" w:rsidRPr="00016443" w:rsidRDefault="000954E5" w:rsidP="00016443">
            <w:pPr>
              <w:spacing w:before="0" w:after="0"/>
              <w:rPr>
                <w:rFonts w:ascii="Arial Narrow" w:hAnsi="Arial Narrow"/>
                <w:sz w:val="20"/>
              </w:rPr>
            </w:pPr>
            <w:proofErr w:type="spellStart"/>
            <w:r w:rsidRPr="00016443">
              <w:rPr>
                <w:rFonts w:ascii="Arial Narrow" w:hAnsi="Arial Narrow"/>
                <w:sz w:val="20"/>
              </w:rPr>
              <w:t>Beit</w:t>
            </w:r>
            <w:proofErr w:type="spellEnd"/>
            <w:r w:rsidRPr="00016443">
              <w:rPr>
                <w:rFonts w:ascii="Arial Narrow" w:hAnsi="Arial Narrow"/>
                <w:sz w:val="20"/>
              </w:rPr>
              <w:t xml:space="preserve"> </w:t>
            </w:r>
            <w:proofErr w:type="spellStart"/>
            <w:r w:rsidRPr="00016443">
              <w:rPr>
                <w:rFonts w:ascii="Arial Narrow" w:hAnsi="Arial Narrow"/>
                <w:sz w:val="20"/>
              </w:rPr>
              <w:t>Dahjan</w:t>
            </w:r>
            <w:proofErr w:type="spellEnd"/>
            <w:r w:rsidRPr="00016443">
              <w:rPr>
                <w:rFonts w:ascii="Arial Narrow" w:hAnsi="Arial Narrow"/>
                <w:sz w:val="20"/>
              </w:rPr>
              <w:t xml:space="preserve"> and </w:t>
            </w:r>
            <w:proofErr w:type="spellStart"/>
            <w:r w:rsidRPr="00016443">
              <w:rPr>
                <w:rFonts w:ascii="Arial Narrow" w:hAnsi="Arial Narrow"/>
                <w:sz w:val="20"/>
              </w:rPr>
              <w:t>Anzah</w:t>
            </w:r>
            <w:proofErr w:type="spellEnd"/>
            <w:r w:rsidRPr="00016443">
              <w:rPr>
                <w:rFonts w:ascii="Arial Narrow" w:hAnsi="Arial Narrow"/>
                <w:sz w:val="20"/>
              </w:rPr>
              <w:t xml:space="preserve"> villages produce more food through sustainable and safe use of reclaimed waste water for agriculture;</w:t>
            </w:r>
          </w:p>
        </w:tc>
        <w:tc>
          <w:tcPr>
            <w:tcW w:w="464" w:type="pct"/>
            <w:tcBorders>
              <w:bottom w:val="single" w:sz="4" w:space="0" w:color="000000"/>
            </w:tcBorders>
            <w:vAlign w:val="center"/>
          </w:tcPr>
          <w:p w:rsidR="000954E5" w:rsidRPr="00016443" w:rsidRDefault="000954E5" w:rsidP="00016443">
            <w:pPr>
              <w:pStyle w:val="Paragrafoelenco"/>
              <w:spacing w:before="0" w:after="0"/>
              <w:ind w:left="0"/>
              <w:jc w:val="center"/>
              <w:rPr>
                <w:rFonts w:ascii="Arial Narrow" w:hAnsi="Arial Narrow"/>
                <w:sz w:val="20"/>
              </w:rPr>
            </w:pPr>
            <w:r w:rsidRPr="00016443">
              <w:rPr>
                <w:rFonts w:ascii="Arial Narrow" w:hAnsi="Arial Narrow"/>
                <w:sz w:val="20"/>
              </w:rPr>
              <w:t>C</w:t>
            </w:r>
          </w:p>
        </w:tc>
        <w:tc>
          <w:tcPr>
            <w:tcW w:w="540" w:type="pct"/>
            <w:tcBorders>
              <w:bottom w:val="single" w:sz="4" w:space="0" w:color="000000"/>
            </w:tcBorders>
            <w:vAlign w:val="center"/>
          </w:tcPr>
          <w:p w:rsidR="000954E5" w:rsidRPr="00016443" w:rsidRDefault="000954E5" w:rsidP="00016443">
            <w:pPr>
              <w:pStyle w:val="Paragrafoelenco"/>
              <w:spacing w:before="0" w:after="0"/>
              <w:ind w:left="0"/>
              <w:jc w:val="center"/>
              <w:rPr>
                <w:rFonts w:ascii="Arial Narrow" w:hAnsi="Arial Narrow"/>
                <w:sz w:val="20"/>
              </w:rPr>
            </w:pPr>
            <w:r w:rsidRPr="00016443">
              <w:rPr>
                <w:rFonts w:ascii="Arial Narrow" w:hAnsi="Arial Narrow"/>
                <w:sz w:val="20"/>
              </w:rPr>
              <w:t>B</w:t>
            </w:r>
          </w:p>
        </w:tc>
        <w:tc>
          <w:tcPr>
            <w:tcW w:w="520" w:type="pct"/>
            <w:tcBorders>
              <w:bottom w:val="single" w:sz="4" w:space="0" w:color="000000"/>
            </w:tcBorders>
            <w:vAlign w:val="center"/>
          </w:tcPr>
          <w:p w:rsidR="000954E5" w:rsidRPr="00016443" w:rsidRDefault="000954E5" w:rsidP="00016443">
            <w:pPr>
              <w:pStyle w:val="Paragrafoelenco"/>
              <w:spacing w:before="0" w:after="0"/>
              <w:ind w:left="0"/>
              <w:jc w:val="center"/>
              <w:rPr>
                <w:rFonts w:ascii="Arial Narrow" w:hAnsi="Arial Narrow"/>
                <w:sz w:val="20"/>
              </w:rPr>
            </w:pPr>
            <w:r w:rsidRPr="00016443">
              <w:rPr>
                <w:rFonts w:ascii="Arial Narrow" w:hAnsi="Arial Narrow"/>
                <w:sz w:val="20"/>
              </w:rPr>
              <w:t>B</w:t>
            </w:r>
          </w:p>
        </w:tc>
      </w:tr>
    </w:tbl>
    <w:p w:rsidR="000954E5" w:rsidRPr="000D5C93" w:rsidRDefault="000954E5" w:rsidP="00016443">
      <w:pPr>
        <w:spacing w:before="0" w:after="0"/>
        <w:rPr>
          <w:i/>
          <w:sz w:val="18"/>
          <w:szCs w:val="18"/>
        </w:rPr>
      </w:pPr>
      <w:r w:rsidRPr="000D5C93">
        <w:rPr>
          <w:i/>
          <w:sz w:val="18"/>
          <w:szCs w:val="18"/>
        </w:rPr>
        <w:t>(A = the best score; D = worst score)</w:t>
      </w:r>
    </w:p>
    <w:p w:rsidR="000954E5" w:rsidRPr="00016443" w:rsidRDefault="000954E5" w:rsidP="00016443">
      <w:pPr>
        <w:spacing w:before="0" w:after="0"/>
        <w:rPr>
          <w:rFonts w:ascii="Arial" w:hAnsi="Arial" w:cs="Arial"/>
          <w:sz w:val="22"/>
          <w:szCs w:val="22"/>
        </w:rPr>
      </w:pPr>
    </w:p>
    <w:p w:rsidR="000954E5" w:rsidRPr="00016443" w:rsidRDefault="000954E5" w:rsidP="00016443">
      <w:pPr>
        <w:spacing w:before="0" w:after="0"/>
        <w:rPr>
          <w:rFonts w:ascii="Arial" w:hAnsi="Arial" w:cs="Arial"/>
          <w:sz w:val="22"/>
          <w:szCs w:val="22"/>
        </w:rPr>
      </w:pPr>
      <w:r w:rsidRPr="00016443">
        <w:rPr>
          <w:rFonts w:ascii="Arial" w:hAnsi="Arial" w:cs="Arial"/>
          <w:sz w:val="22"/>
          <w:szCs w:val="22"/>
        </w:rPr>
        <w:t>The result of this random sample of projects shows remarkably positive assessments for aspects of effectiveness (capacity of the specific intervention to contribute to goal), sustainability (capacity to maintain benefits after the end of external assistance) and impact (long-term changes). We note however that Monitoring Reports do not necessarily assess projects against political cooperation goals, an aspect of which the Evaluation team t</w:t>
      </w:r>
      <w:r w:rsidR="00016443">
        <w:rPr>
          <w:rFonts w:ascii="Arial" w:hAnsi="Arial" w:cs="Arial"/>
          <w:sz w:val="22"/>
          <w:szCs w:val="22"/>
        </w:rPr>
        <w:t>oo</w:t>
      </w:r>
      <w:r w:rsidRPr="00016443">
        <w:rPr>
          <w:rFonts w:ascii="Arial" w:hAnsi="Arial" w:cs="Arial"/>
          <w:sz w:val="22"/>
          <w:szCs w:val="22"/>
        </w:rPr>
        <w:t xml:space="preserve">k </w:t>
      </w:r>
      <w:r w:rsidR="00016443">
        <w:rPr>
          <w:rFonts w:ascii="Arial" w:hAnsi="Arial" w:cs="Arial"/>
          <w:sz w:val="22"/>
          <w:szCs w:val="22"/>
        </w:rPr>
        <w:t>during the field visits.</w:t>
      </w:r>
    </w:p>
    <w:p w:rsidR="000954E5" w:rsidRDefault="000954E5" w:rsidP="00016443">
      <w:pPr>
        <w:spacing w:before="0" w:after="0"/>
        <w:rPr>
          <w:rFonts w:ascii="Arial" w:hAnsi="Arial" w:cs="Arial"/>
          <w:sz w:val="22"/>
          <w:szCs w:val="22"/>
        </w:rPr>
      </w:pPr>
    </w:p>
    <w:p w:rsidR="00016443" w:rsidRDefault="00016443" w:rsidP="00016443">
      <w:pPr>
        <w:spacing w:before="0" w:after="0"/>
        <w:rPr>
          <w:rFonts w:ascii="Arial" w:hAnsi="Arial" w:cs="Arial"/>
          <w:sz w:val="22"/>
          <w:szCs w:val="22"/>
        </w:rPr>
      </w:pPr>
    </w:p>
    <w:p w:rsidR="00016443" w:rsidRDefault="00016443" w:rsidP="00016443">
      <w:pPr>
        <w:spacing w:before="0" w:after="0"/>
        <w:rPr>
          <w:rFonts w:ascii="Arial" w:hAnsi="Arial" w:cs="Arial"/>
          <w:sz w:val="22"/>
          <w:szCs w:val="22"/>
        </w:rPr>
      </w:pPr>
    </w:p>
    <w:p w:rsidR="00016443" w:rsidRDefault="00016443" w:rsidP="00016443">
      <w:pPr>
        <w:spacing w:before="0" w:after="0"/>
        <w:rPr>
          <w:rFonts w:ascii="Arial" w:hAnsi="Arial" w:cs="Arial"/>
          <w:sz w:val="22"/>
          <w:szCs w:val="22"/>
        </w:rPr>
      </w:pPr>
    </w:p>
    <w:p w:rsidR="00016443" w:rsidRDefault="00016443" w:rsidP="00016443">
      <w:pPr>
        <w:spacing w:before="0" w:after="0"/>
        <w:rPr>
          <w:rFonts w:ascii="Arial" w:hAnsi="Arial" w:cs="Arial"/>
          <w:sz w:val="22"/>
          <w:szCs w:val="22"/>
        </w:rPr>
      </w:pPr>
    </w:p>
    <w:p w:rsidR="00016443" w:rsidRDefault="00016443" w:rsidP="00016443">
      <w:pPr>
        <w:spacing w:before="0" w:after="0"/>
        <w:rPr>
          <w:rFonts w:ascii="Arial" w:hAnsi="Arial" w:cs="Arial"/>
          <w:b/>
          <w:color w:val="1F497D" w:themeColor="text2"/>
          <w:sz w:val="22"/>
          <w:szCs w:val="22"/>
        </w:rPr>
      </w:pPr>
      <w:r>
        <w:rPr>
          <w:rFonts w:ascii="Arial" w:hAnsi="Arial" w:cs="Arial"/>
          <w:b/>
          <w:color w:val="1F497D" w:themeColor="text2"/>
          <w:sz w:val="22"/>
          <w:szCs w:val="22"/>
        </w:rPr>
        <w:lastRenderedPageBreak/>
        <w:t xml:space="preserve">EQ8. </w:t>
      </w:r>
      <w:r w:rsidRPr="00016443">
        <w:rPr>
          <w:rFonts w:ascii="Arial" w:hAnsi="Arial" w:cs="Arial"/>
          <w:b/>
          <w:color w:val="1F497D" w:themeColor="text2"/>
          <w:sz w:val="22"/>
          <w:szCs w:val="22"/>
        </w:rPr>
        <w:t xml:space="preserve">PRIVATE SECTOR DEVELOPMENT </w:t>
      </w:r>
    </w:p>
    <w:p w:rsidR="00D714DB" w:rsidRPr="00016443" w:rsidRDefault="00D714DB" w:rsidP="00016443">
      <w:pPr>
        <w:spacing w:before="0" w:after="0"/>
        <w:rPr>
          <w:rFonts w:ascii="Arial" w:hAnsi="Arial" w:cs="Arial"/>
          <w:b/>
          <w:color w:val="1F497D" w:themeColor="text2"/>
          <w:sz w:val="22"/>
          <w:szCs w:val="22"/>
        </w:rPr>
      </w:pPr>
    </w:p>
    <w:p w:rsidR="000954E5" w:rsidRPr="00016443" w:rsidRDefault="00D714DB" w:rsidP="00016443">
      <w:pPr>
        <w:shd w:val="clear" w:color="auto" w:fill="DBE5F1" w:themeFill="accent1" w:themeFillTint="33"/>
        <w:spacing w:before="0" w:after="0"/>
        <w:rPr>
          <w:rFonts w:ascii="Arial" w:hAnsi="Arial" w:cs="Arial"/>
          <w:sz w:val="22"/>
          <w:szCs w:val="22"/>
        </w:rPr>
      </w:pPr>
      <w:r>
        <w:rPr>
          <w:rFonts w:ascii="Arial" w:hAnsi="Arial" w:cs="Arial"/>
          <w:b/>
          <w:sz w:val="22"/>
          <w:szCs w:val="22"/>
        </w:rPr>
        <w:t>EQ8 / JC</w:t>
      </w:r>
      <w:r w:rsidR="000954E5" w:rsidRPr="00016443">
        <w:rPr>
          <w:rFonts w:ascii="Arial" w:hAnsi="Arial" w:cs="Arial"/>
          <w:b/>
          <w:sz w:val="22"/>
          <w:szCs w:val="22"/>
        </w:rPr>
        <w:t>2</w:t>
      </w:r>
      <w:r w:rsidR="000954E5" w:rsidRPr="00016443">
        <w:rPr>
          <w:rFonts w:ascii="Arial" w:hAnsi="Arial" w:cs="Arial"/>
          <w:sz w:val="22"/>
          <w:szCs w:val="22"/>
        </w:rPr>
        <w:t xml:space="preserve"> Cooperation interventions respond to the needs and demands of the project partners and targeted beneficiaries</w:t>
      </w:r>
    </w:p>
    <w:p w:rsidR="000954E5" w:rsidRPr="00016443" w:rsidRDefault="000954E5" w:rsidP="00016443">
      <w:pPr>
        <w:spacing w:before="0" w:after="0"/>
        <w:rPr>
          <w:rFonts w:ascii="Arial" w:hAnsi="Arial" w:cs="Arial"/>
          <w:sz w:val="22"/>
          <w:szCs w:val="22"/>
        </w:rPr>
      </w:pPr>
      <w:r w:rsidRPr="00016443">
        <w:rPr>
          <w:rFonts w:ascii="Arial" w:hAnsi="Arial" w:cs="Arial"/>
          <w:sz w:val="22"/>
          <w:szCs w:val="22"/>
        </w:rPr>
        <w:t>The following table reveals a positive assessment for relevance by the one Monitoring Report</w:t>
      </w:r>
      <w:r w:rsidR="00D714DB">
        <w:rPr>
          <w:rFonts w:ascii="Arial" w:hAnsi="Arial" w:cs="Arial"/>
          <w:sz w:val="22"/>
          <w:szCs w:val="22"/>
        </w:rPr>
        <w:t xml:space="preserve"> for PSD</w:t>
      </w:r>
      <w:r w:rsidRPr="00016443">
        <w:rPr>
          <w:rFonts w:ascii="Arial" w:hAnsi="Arial" w:cs="Arial"/>
          <w:sz w:val="22"/>
          <w:szCs w:val="22"/>
        </w:rPr>
        <w:t>.</w:t>
      </w:r>
    </w:p>
    <w:p w:rsidR="000954E5" w:rsidRPr="00016443" w:rsidRDefault="000954E5" w:rsidP="00D714DB">
      <w:pPr>
        <w:pStyle w:val="Didascalia"/>
        <w:framePr w:wrap="around"/>
      </w:pPr>
      <w:bookmarkStart w:id="123" w:name="_Toc373334854"/>
      <w:r w:rsidRPr="00016443">
        <w:t>Table</w:t>
      </w:r>
      <w:r w:rsidR="00D714DB">
        <w:t xml:space="preserve"> 9</w:t>
      </w:r>
      <w:r w:rsidRPr="00016443">
        <w:t>: Monitoring Report analysis of relevance for PSD / Trade intervention</w:t>
      </w:r>
      <w:bookmarkEnd w:id="123"/>
    </w:p>
    <w:tbl>
      <w:tblPr>
        <w:tblStyle w:val="Grigliatabella"/>
        <w:tblW w:w="5000" w:type="pct"/>
        <w:tblLook w:val="04A0"/>
      </w:tblPr>
      <w:tblGrid>
        <w:gridCol w:w="1024"/>
        <w:gridCol w:w="1177"/>
        <w:gridCol w:w="2432"/>
        <w:gridCol w:w="1031"/>
        <w:gridCol w:w="4190"/>
      </w:tblGrid>
      <w:tr w:rsidR="000954E5" w:rsidRPr="00016443" w:rsidTr="00D714DB">
        <w:tc>
          <w:tcPr>
            <w:tcW w:w="537" w:type="pct"/>
            <w:shd w:val="clear" w:color="auto" w:fill="808080" w:themeFill="background1" w:themeFillShade="80"/>
          </w:tcPr>
          <w:p w:rsidR="000954E5" w:rsidRPr="00016443" w:rsidRDefault="000954E5" w:rsidP="00016443">
            <w:pPr>
              <w:spacing w:before="0" w:after="0"/>
              <w:rPr>
                <w:rFonts w:ascii="Arial Narrow" w:eastAsiaTheme="minorHAnsi" w:hAnsi="Arial Narrow" w:cs="Arial"/>
                <w:b/>
                <w:color w:val="FFFFFF" w:themeColor="background1"/>
                <w:sz w:val="20"/>
              </w:rPr>
            </w:pPr>
            <w:r w:rsidRPr="00016443">
              <w:rPr>
                <w:rFonts w:ascii="Arial Narrow" w:eastAsiaTheme="minorHAnsi" w:hAnsi="Arial Narrow" w:cs="Arial"/>
                <w:b/>
                <w:color w:val="FFFFFF" w:themeColor="background1"/>
                <w:sz w:val="20"/>
              </w:rPr>
              <w:t>Contract Number</w:t>
            </w:r>
          </w:p>
        </w:tc>
        <w:tc>
          <w:tcPr>
            <w:tcW w:w="614" w:type="pct"/>
            <w:shd w:val="clear" w:color="auto" w:fill="808080" w:themeFill="background1" w:themeFillShade="80"/>
          </w:tcPr>
          <w:p w:rsidR="000954E5" w:rsidRPr="00016443" w:rsidRDefault="000954E5" w:rsidP="00016443">
            <w:pPr>
              <w:spacing w:before="0" w:after="0"/>
              <w:rPr>
                <w:rFonts w:ascii="Arial Narrow" w:eastAsiaTheme="minorHAnsi" w:hAnsi="Arial Narrow" w:cs="Arial"/>
                <w:b/>
                <w:color w:val="FFFFFF" w:themeColor="background1"/>
                <w:sz w:val="20"/>
              </w:rPr>
            </w:pPr>
            <w:r w:rsidRPr="00016443">
              <w:rPr>
                <w:rFonts w:ascii="Arial Narrow" w:eastAsiaTheme="minorHAnsi" w:hAnsi="Arial Narrow" w:cs="Arial"/>
                <w:b/>
                <w:color w:val="FFFFFF" w:themeColor="background1"/>
                <w:sz w:val="20"/>
              </w:rPr>
              <w:t>ROM reference</w:t>
            </w:r>
          </w:p>
        </w:tc>
        <w:tc>
          <w:tcPr>
            <w:tcW w:w="1166" w:type="pct"/>
            <w:shd w:val="clear" w:color="auto" w:fill="808080" w:themeFill="background1" w:themeFillShade="80"/>
          </w:tcPr>
          <w:p w:rsidR="000954E5" w:rsidRPr="00016443" w:rsidRDefault="000954E5" w:rsidP="00016443">
            <w:pPr>
              <w:spacing w:before="0" w:after="0"/>
              <w:rPr>
                <w:rFonts w:ascii="Arial Narrow" w:eastAsiaTheme="minorHAnsi" w:hAnsi="Arial Narrow" w:cs="Arial"/>
                <w:b/>
                <w:color w:val="FFFFFF" w:themeColor="background1"/>
                <w:sz w:val="20"/>
              </w:rPr>
            </w:pPr>
            <w:r w:rsidRPr="00016443">
              <w:rPr>
                <w:rFonts w:ascii="Arial Narrow" w:eastAsiaTheme="minorHAnsi" w:hAnsi="Arial Narrow" w:cs="Arial"/>
                <w:b/>
                <w:color w:val="FFFFFF" w:themeColor="background1"/>
                <w:sz w:val="20"/>
              </w:rPr>
              <w:t>Project</w:t>
            </w:r>
          </w:p>
        </w:tc>
        <w:tc>
          <w:tcPr>
            <w:tcW w:w="540" w:type="pct"/>
            <w:shd w:val="clear" w:color="auto" w:fill="808080" w:themeFill="background1" w:themeFillShade="80"/>
          </w:tcPr>
          <w:p w:rsidR="000954E5" w:rsidRPr="00016443" w:rsidRDefault="000954E5" w:rsidP="00016443">
            <w:pPr>
              <w:spacing w:before="0" w:after="0"/>
              <w:rPr>
                <w:rFonts w:ascii="Arial Narrow" w:eastAsiaTheme="minorHAnsi" w:hAnsi="Arial Narrow" w:cs="Arial"/>
                <w:b/>
                <w:color w:val="FFFFFF" w:themeColor="background1"/>
                <w:sz w:val="20"/>
              </w:rPr>
            </w:pPr>
            <w:r w:rsidRPr="00016443">
              <w:rPr>
                <w:rFonts w:ascii="Arial Narrow" w:eastAsiaTheme="minorHAnsi" w:hAnsi="Arial Narrow" w:cs="Arial"/>
                <w:b/>
                <w:color w:val="FFFFFF" w:themeColor="background1"/>
                <w:sz w:val="20"/>
              </w:rPr>
              <w:t xml:space="preserve">Relevance Score </w:t>
            </w:r>
          </w:p>
        </w:tc>
        <w:tc>
          <w:tcPr>
            <w:tcW w:w="2143" w:type="pct"/>
            <w:shd w:val="clear" w:color="auto" w:fill="808080" w:themeFill="background1" w:themeFillShade="80"/>
          </w:tcPr>
          <w:p w:rsidR="000954E5" w:rsidRPr="00016443" w:rsidRDefault="000954E5" w:rsidP="00016443">
            <w:pPr>
              <w:spacing w:before="0" w:after="0"/>
              <w:rPr>
                <w:rFonts w:ascii="Arial Narrow" w:eastAsiaTheme="minorHAnsi" w:hAnsi="Arial Narrow" w:cs="Arial"/>
                <w:b/>
                <w:color w:val="FFFFFF" w:themeColor="background1"/>
                <w:sz w:val="20"/>
              </w:rPr>
            </w:pPr>
            <w:r w:rsidRPr="00016443">
              <w:rPr>
                <w:rFonts w:ascii="Arial Narrow" w:eastAsiaTheme="minorHAnsi" w:hAnsi="Arial Narrow" w:cs="Arial"/>
                <w:b/>
                <w:color w:val="FFFFFF" w:themeColor="background1"/>
                <w:sz w:val="20"/>
              </w:rPr>
              <w:t>Assessment on relevance to needs</w:t>
            </w:r>
          </w:p>
        </w:tc>
      </w:tr>
      <w:tr w:rsidR="000954E5" w:rsidRPr="00016443" w:rsidTr="00D714DB">
        <w:tc>
          <w:tcPr>
            <w:tcW w:w="537" w:type="pct"/>
            <w:vAlign w:val="center"/>
          </w:tcPr>
          <w:p w:rsidR="000954E5" w:rsidRPr="00016443" w:rsidRDefault="000954E5" w:rsidP="00016443">
            <w:pPr>
              <w:spacing w:before="0" w:after="0"/>
              <w:rPr>
                <w:rFonts w:ascii="Arial Narrow" w:hAnsi="Arial Narrow" w:cs="Arial"/>
                <w:color w:val="000000"/>
                <w:sz w:val="20"/>
              </w:rPr>
            </w:pPr>
            <w:r w:rsidRPr="00016443">
              <w:rPr>
                <w:rFonts w:ascii="Arial Narrow" w:hAnsi="Arial Narrow" w:cs="Arial"/>
                <w:color w:val="000000"/>
                <w:sz w:val="20"/>
              </w:rPr>
              <w:t>268587</w:t>
            </w:r>
          </w:p>
        </w:tc>
        <w:tc>
          <w:tcPr>
            <w:tcW w:w="614" w:type="pct"/>
            <w:vAlign w:val="center"/>
          </w:tcPr>
          <w:p w:rsidR="000954E5" w:rsidRPr="00016443" w:rsidRDefault="000954E5" w:rsidP="00016443">
            <w:pPr>
              <w:spacing w:before="0" w:after="0"/>
              <w:rPr>
                <w:rFonts w:ascii="Arial Narrow" w:hAnsi="Arial Narrow" w:cs="Arial"/>
                <w:sz w:val="20"/>
              </w:rPr>
            </w:pPr>
            <w:r w:rsidRPr="00016443">
              <w:rPr>
                <w:rFonts w:ascii="Arial Narrow" w:hAnsi="Arial Narrow" w:cs="Arial"/>
                <w:sz w:val="20"/>
              </w:rPr>
              <w:t>MR-145023.01</w:t>
            </w:r>
          </w:p>
        </w:tc>
        <w:tc>
          <w:tcPr>
            <w:tcW w:w="1166" w:type="pct"/>
          </w:tcPr>
          <w:p w:rsidR="000954E5" w:rsidRPr="00016443" w:rsidRDefault="000954E5" w:rsidP="00016443">
            <w:pPr>
              <w:spacing w:before="0" w:after="0"/>
              <w:rPr>
                <w:rFonts w:ascii="Arial Narrow" w:hAnsi="Arial Narrow" w:cs="Arial"/>
                <w:sz w:val="20"/>
              </w:rPr>
            </w:pPr>
            <w:r w:rsidRPr="00016443">
              <w:rPr>
                <w:rFonts w:ascii="Arial Narrow" w:hAnsi="Arial Narrow" w:cs="Arial"/>
                <w:sz w:val="20"/>
              </w:rPr>
              <w:t>Trade diversification/competitiveness enhancement program</w:t>
            </w:r>
          </w:p>
        </w:tc>
        <w:tc>
          <w:tcPr>
            <w:tcW w:w="540" w:type="pct"/>
          </w:tcPr>
          <w:p w:rsidR="000954E5" w:rsidRPr="00016443" w:rsidRDefault="000954E5" w:rsidP="00016443">
            <w:pPr>
              <w:pStyle w:val="Paragrafoelenco"/>
              <w:spacing w:before="0" w:after="0"/>
              <w:ind w:left="113"/>
              <w:rPr>
                <w:rFonts w:ascii="Arial Narrow" w:hAnsi="Arial Narrow" w:cs="Arial"/>
                <w:sz w:val="20"/>
              </w:rPr>
            </w:pPr>
            <w:r w:rsidRPr="00016443">
              <w:rPr>
                <w:rFonts w:ascii="Arial Narrow" w:hAnsi="Arial Narrow" w:cs="Arial"/>
                <w:sz w:val="20"/>
              </w:rPr>
              <w:t>B</w:t>
            </w:r>
          </w:p>
        </w:tc>
        <w:tc>
          <w:tcPr>
            <w:tcW w:w="2143" w:type="pct"/>
          </w:tcPr>
          <w:p w:rsidR="000954E5" w:rsidRPr="00016443" w:rsidRDefault="000954E5" w:rsidP="00016443">
            <w:pPr>
              <w:autoSpaceDE w:val="0"/>
              <w:autoSpaceDN w:val="0"/>
              <w:adjustRightInd w:val="0"/>
              <w:spacing w:before="0" w:after="0"/>
              <w:rPr>
                <w:rFonts w:ascii="Arial Narrow" w:hAnsi="Arial Narrow" w:cs="Arial"/>
                <w:sz w:val="20"/>
              </w:rPr>
            </w:pPr>
            <w:r w:rsidRPr="00016443">
              <w:rPr>
                <w:rFonts w:ascii="Arial Narrow" w:hAnsi="Arial Narrow" w:cs="Arial"/>
                <w:sz w:val="20"/>
              </w:rPr>
              <w:t>The project is highly strategic as it is in line with the economic priorities identified in the PNP 2011-2013 and fully supported by key stakeholders</w:t>
            </w:r>
          </w:p>
        </w:tc>
      </w:tr>
    </w:tbl>
    <w:p w:rsidR="000954E5" w:rsidRPr="00D714DB" w:rsidRDefault="000954E5" w:rsidP="00D714DB">
      <w:pPr>
        <w:spacing w:before="0" w:after="0"/>
        <w:rPr>
          <w:rFonts w:ascii="Arial" w:hAnsi="Arial" w:cs="Arial"/>
          <w:sz w:val="22"/>
          <w:szCs w:val="22"/>
        </w:rPr>
      </w:pPr>
    </w:p>
    <w:p w:rsidR="000954E5" w:rsidRPr="00D714DB" w:rsidRDefault="000954E5" w:rsidP="00D714DB">
      <w:pPr>
        <w:shd w:val="clear" w:color="auto" w:fill="DBE5F1" w:themeFill="accent1" w:themeFillTint="33"/>
        <w:spacing w:before="0" w:after="0"/>
        <w:rPr>
          <w:rFonts w:ascii="Arial" w:hAnsi="Arial" w:cs="Arial"/>
          <w:sz w:val="22"/>
          <w:szCs w:val="22"/>
        </w:rPr>
      </w:pPr>
      <w:r w:rsidRPr="00D714DB">
        <w:rPr>
          <w:rFonts w:ascii="Arial" w:hAnsi="Arial" w:cs="Arial"/>
          <w:b/>
          <w:sz w:val="22"/>
          <w:szCs w:val="22"/>
        </w:rPr>
        <w:t>EQ8 / JC3</w:t>
      </w:r>
      <w:r w:rsidRPr="00D714DB">
        <w:rPr>
          <w:rFonts w:ascii="Arial" w:hAnsi="Arial" w:cs="Arial"/>
          <w:sz w:val="22"/>
          <w:szCs w:val="22"/>
        </w:rPr>
        <w:t xml:space="preserve"> Cooperation efforts contribute to institutio</w:t>
      </w:r>
      <w:r w:rsidRPr="00D714DB">
        <w:rPr>
          <w:rFonts w:ascii="Arial" w:hAnsi="Arial" w:cs="Arial"/>
          <w:sz w:val="22"/>
          <w:szCs w:val="22"/>
          <w:shd w:val="clear" w:color="auto" w:fill="DBE5F1" w:themeFill="accent1" w:themeFillTint="33"/>
        </w:rPr>
        <w:t>nal capacity-building and good governance</w:t>
      </w:r>
    </w:p>
    <w:p w:rsidR="000954E5" w:rsidRPr="00D714DB" w:rsidRDefault="000954E5" w:rsidP="00D714DB">
      <w:pPr>
        <w:spacing w:before="0" w:after="0"/>
        <w:rPr>
          <w:rFonts w:ascii="Arial" w:hAnsi="Arial" w:cs="Arial"/>
          <w:sz w:val="22"/>
          <w:szCs w:val="22"/>
        </w:rPr>
      </w:pPr>
      <w:r w:rsidRPr="00D714DB">
        <w:rPr>
          <w:rFonts w:ascii="Arial" w:hAnsi="Arial" w:cs="Arial"/>
          <w:sz w:val="22"/>
          <w:szCs w:val="22"/>
        </w:rPr>
        <w:t>The Monitoring Report on contributions to capacity-building reveals weak design and is not conclusive on outcomes, see below table.</w:t>
      </w:r>
    </w:p>
    <w:p w:rsidR="000954E5" w:rsidRPr="00D714DB" w:rsidRDefault="000954E5" w:rsidP="00D714DB">
      <w:pPr>
        <w:spacing w:before="0" w:after="0"/>
        <w:rPr>
          <w:rFonts w:ascii="Arial" w:hAnsi="Arial" w:cs="Arial"/>
          <w:sz w:val="22"/>
          <w:szCs w:val="22"/>
        </w:rPr>
      </w:pPr>
    </w:p>
    <w:p w:rsidR="000954E5" w:rsidRPr="00D714DB" w:rsidRDefault="000954E5" w:rsidP="00D714DB">
      <w:pPr>
        <w:pStyle w:val="Didascalia"/>
        <w:framePr w:wrap="around"/>
      </w:pPr>
      <w:bookmarkStart w:id="124" w:name="_Toc373334855"/>
      <w:r w:rsidRPr="00D714DB">
        <w:t xml:space="preserve">Table </w:t>
      </w:r>
      <w:fldSimple w:instr=" SEQ Table \* ARABIC ">
        <w:r w:rsidRPr="00D714DB">
          <w:rPr>
            <w:noProof/>
          </w:rPr>
          <w:t>1</w:t>
        </w:r>
      </w:fldSimple>
      <w:r w:rsidR="00D714DB">
        <w:t>0</w:t>
      </w:r>
      <w:r w:rsidRPr="00D714DB">
        <w:t>: Results on capacity building from ROM on selected projects under PSD sector</w:t>
      </w:r>
      <w:bookmarkEnd w:id="124"/>
    </w:p>
    <w:tbl>
      <w:tblPr>
        <w:tblStyle w:val="Grigliatabella"/>
        <w:tblW w:w="5000" w:type="pct"/>
        <w:tblLayout w:type="fixed"/>
        <w:tblLook w:val="04A0"/>
      </w:tblPr>
      <w:tblGrid>
        <w:gridCol w:w="891"/>
        <w:gridCol w:w="1344"/>
        <w:gridCol w:w="2229"/>
        <w:gridCol w:w="5390"/>
      </w:tblGrid>
      <w:tr w:rsidR="000954E5" w:rsidRPr="00D714DB" w:rsidTr="00D714DB">
        <w:tc>
          <w:tcPr>
            <w:tcW w:w="452" w:type="pct"/>
            <w:shd w:val="clear" w:color="auto" w:fill="808080" w:themeFill="background1" w:themeFillShade="80"/>
          </w:tcPr>
          <w:p w:rsidR="000954E5" w:rsidRPr="00D714DB" w:rsidRDefault="000954E5" w:rsidP="00D714DB">
            <w:pPr>
              <w:spacing w:before="0" w:after="0"/>
              <w:rPr>
                <w:rFonts w:ascii="Arial Narrow" w:eastAsiaTheme="minorHAnsi" w:hAnsi="Arial Narrow" w:cs="Arial"/>
                <w:b/>
                <w:color w:val="FFFFFF" w:themeColor="background1"/>
                <w:sz w:val="20"/>
              </w:rPr>
            </w:pPr>
            <w:r w:rsidRPr="00D714DB">
              <w:rPr>
                <w:rFonts w:ascii="Arial Narrow" w:eastAsiaTheme="minorHAnsi" w:hAnsi="Arial Narrow" w:cs="Arial"/>
                <w:b/>
                <w:color w:val="FFFFFF" w:themeColor="background1"/>
                <w:sz w:val="20"/>
              </w:rPr>
              <w:t>Contract Number</w:t>
            </w:r>
          </w:p>
        </w:tc>
        <w:tc>
          <w:tcPr>
            <w:tcW w:w="682" w:type="pct"/>
            <w:shd w:val="clear" w:color="auto" w:fill="808080" w:themeFill="background1" w:themeFillShade="80"/>
          </w:tcPr>
          <w:p w:rsidR="000954E5" w:rsidRPr="00D714DB" w:rsidRDefault="000954E5" w:rsidP="00D714DB">
            <w:pPr>
              <w:spacing w:before="0" w:after="0"/>
              <w:rPr>
                <w:rFonts w:ascii="Arial Narrow" w:eastAsiaTheme="minorHAnsi" w:hAnsi="Arial Narrow" w:cs="Arial"/>
                <w:b/>
                <w:color w:val="FFFFFF" w:themeColor="background1"/>
                <w:sz w:val="20"/>
              </w:rPr>
            </w:pPr>
            <w:r w:rsidRPr="00D714DB">
              <w:rPr>
                <w:rFonts w:ascii="Arial Narrow" w:eastAsiaTheme="minorHAnsi" w:hAnsi="Arial Narrow" w:cs="Arial"/>
                <w:b/>
                <w:color w:val="FFFFFF" w:themeColor="background1"/>
                <w:sz w:val="20"/>
              </w:rPr>
              <w:t>ROM reference</w:t>
            </w:r>
          </w:p>
        </w:tc>
        <w:tc>
          <w:tcPr>
            <w:tcW w:w="1131" w:type="pct"/>
            <w:shd w:val="clear" w:color="auto" w:fill="808080" w:themeFill="background1" w:themeFillShade="80"/>
          </w:tcPr>
          <w:p w:rsidR="000954E5" w:rsidRPr="00D714DB" w:rsidRDefault="000954E5" w:rsidP="00D714DB">
            <w:pPr>
              <w:spacing w:before="0" w:after="0"/>
              <w:rPr>
                <w:rFonts w:ascii="Arial Narrow" w:eastAsiaTheme="minorHAnsi" w:hAnsi="Arial Narrow" w:cs="Arial"/>
                <w:b/>
                <w:color w:val="FFFFFF" w:themeColor="background1"/>
                <w:sz w:val="20"/>
              </w:rPr>
            </w:pPr>
            <w:r w:rsidRPr="00D714DB">
              <w:rPr>
                <w:rFonts w:ascii="Arial Narrow" w:eastAsiaTheme="minorHAnsi" w:hAnsi="Arial Narrow" w:cs="Arial"/>
                <w:b/>
                <w:color w:val="FFFFFF" w:themeColor="background1"/>
                <w:sz w:val="20"/>
              </w:rPr>
              <w:t>Project</w:t>
            </w:r>
          </w:p>
        </w:tc>
        <w:tc>
          <w:tcPr>
            <w:tcW w:w="2735" w:type="pct"/>
            <w:shd w:val="clear" w:color="auto" w:fill="808080" w:themeFill="background1" w:themeFillShade="80"/>
          </w:tcPr>
          <w:p w:rsidR="000954E5" w:rsidRPr="00D714DB" w:rsidRDefault="000954E5" w:rsidP="00D714DB">
            <w:pPr>
              <w:spacing w:before="0" w:after="0"/>
              <w:rPr>
                <w:rFonts w:ascii="Arial Narrow" w:eastAsiaTheme="minorHAnsi" w:hAnsi="Arial Narrow" w:cs="Arial"/>
                <w:b/>
                <w:color w:val="FFFFFF" w:themeColor="background1"/>
                <w:sz w:val="20"/>
              </w:rPr>
            </w:pPr>
            <w:r w:rsidRPr="00D714DB">
              <w:rPr>
                <w:rFonts w:ascii="Arial Narrow" w:eastAsiaTheme="minorHAnsi" w:hAnsi="Arial Narrow" w:cs="Arial"/>
                <w:b/>
                <w:color w:val="FFFFFF" w:themeColor="background1"/>
                <w:sz w:val="20"/>
              </w:rPr>
              <w:t>Monitoring Reports finding</w:t>
            </w:r>
          </w:p>
        </w:tc>
      </w:tr>
      <w:tr w:rsidR="000954E5" w:rsidRPr="00D714DB" w:rsidTr="00D714DB">
        <w:tc>
          <w:tcPr>
            <w:tcW w:w="452" w:type="pct"/>
            <w:vAlign w:val="center"/>
          </w:tcPr>
          <w:p w:rsidR="000954E5" w:rsidRPr="00D714DB" w:rsidRDefault="000954E5" w:rsidP="00D714DB">
            <w:pPr>
              <w:spacing w:before="0" w:after="0"/>
              <w:rPr>
                <w:rFonts w:ascii="Arial Narrow" w:hAnsi="Arial Narrow" w:cs="Arial"/>
                <w:color w:val="000000"/>
                <w:sz w:val="20"/>
              </w:rPr>
            </w:pPr>
            <w:r w:rsidRPr="00D714DB">
              <w:rPr>
                <w:rFonts w:ascii="Arial Narrow" w:hAnsi="Arial Narrow" w:cs="Arial"/>
                <w:color w:val="000000"/>
                <w:sz w:val="20"/>
              </w:rPr>
              <w:t>268587</w:t>
            </w:r>
          </w:p>
        </w:tc>
        <w:tc>
          <w:tcPr>
            <w:tcW w:w="682" w:type="pct"/>
            <w:vAlign w:val="center"/>
          </w:tcPr>
          <w:p w:rsidR="000954E5" w:rsidRPr="00D714DB" w:rsidRDefault="000954E5" w:rsidP="00D714DB">
            <w:pPr>
              <w:spacing w:before="0" w:after="0"/>
              <w:rPr>
                <w:rFonts w:ascii="Arial Narrow" w:hAnsi="Arial Narrow" w:cs="Arial"/>
                <w:sz w:val="20"/>
              </w:rPr>
            </w:pPr>
            <w:r w:rsidRPr="00D714DB">
              <w:rPr>
                <w:rFonts w:ascii="Arial Narrow" w:hAnsi="Arial Narrow" w:cs="Arial"/>
                <w:sz w:val="20"/>
              </w:rPr>
              <w:t>MR-145023.01</w:t>
            </w:r>
          </w:p>
        </w:tc>
        <w:tc>
          <w:tcPr>
            <w:tcW w:w="1131" w:type="pct"/>
          </w:tcPr>
          <w:p w:rsidR="000954E5" w:rsidRPr="00D714DB" w:rsidRDefault="000954E5" w:rsidP="00D714DB">
            <w:pPr>
              <w:spacing w:before="0" w:after="0"/>
              <w:rPr>
                <w:rFonts w:ascii="Arial Narrow" w:hAnsi="Arial Narrow" w:cs="Arial"/>
                <w:sz w:val="20"/>
              </w:rPr>
            </w:pPr>
            <w:r w:rsidRPr="00D714DB">
              <w:rPr>
                <w:rFonts w:ascii="Arial Narrow" w:hAnsi="Arial Narrow" w:cs="Arial"/>
                <w:sz w:val="20"/>
              </w:rPr>
              <w:t xml:space="preserve">Trade diversification/competitiveness enhancement </w:t>
            </w:r>
            <w:proofErr w:type="spellStart"/>
            <w:r w:rsidRPr="00D714DB">
              <w:rPr>
                <w:rFonts w:ascii="Arial Narrow" w:hAnsi="Arial Narrow" w:cs="Arial"/>
                <w:sz w:val="20"/>
              </w:rPr>
              <w:t>programme</w:t>
            </w:r>
            <w:proofErr w:type="spellEnd"/>
          </w:p>
        </w:tc>
        <w:tc>
          <w:tcPr>
            <w:tcW w:w="2735" w:type="pct"/>
          </w:tcPr>
          <w:p w:rsidR="000954E5" w:rsidRPr="00D714DB" w:rsidRDefault="000954E5" w:rsidP="00D714DB">
            <w:pPr>
              <w:autoSpaceDE w:val="0"/>
              <w:autoSpaceDN w:val="0"/>
              <w:adjustRightInd w:val="0"/>
              <w:spacing w:before="0" w:after="0"/>
              <w:rPr>
                <w:rFonts w:ascii="Arial Narrow" w:hAnsi="Arial Narrow" w:cs="Arial"/>
                <w:sz w:val="20"/>
              </w:rPr>
            </w:pPr>
            <w:r w:rsidRPr="00D714DB">
              <w:rPr>
                <w:rFonts w:ascii="Arial Narrow" w:hAnsi="Arial Narrow" w:cs="Arial"/>
                <w:sz w:val="20"/>
              </w:rPr>
              <w:t xml:space="preserve">The provision of capacity building is a challenging process as it is the first time that </w:t>
            </w:r>
            <w:proofErr w:type="spellStart"/>
            <w:r w:rsidRPr="00D714DB">
              <w:rPr>
                <w:rFonts w:ascii="Arial Narrow" w:hAnsi="Arial Narrow" w:cs="Arial"/>
                <w:sz w:val="20"/>
              </w:rPr>
              <w:t>TiS</w:t>
            </w:r>
            <w:proofErr w:type="spellEnd"/>
            <w:r w:rsidRPr="00D714DB">
              <w:rPr>
                <w:rFonts w:ascii="Arial Narrow" w:hAnsi="Arial Narrow" w:cs="Arial"/>
                <w:sz w:val="20"/>
              </w:rPr>
              <w:t xml:space="preserve"> is being addressed.</w:t>
            </w:r>
          </w:p>
          <w:p w:rsidR="000954E5" w:rsidRPr="00D714DB" w:rsidRDefault="000954E5" w:rsidP="00D714DB">
            <w:pPr>
              <w:autoSpaceDE w:val="0"/>
              <w:autoSpaceDN w:val="0"/>
              <w:adjustRightInd w:val="0"/>
              <w:spacing w:before="0" w:after="0"/>
              <w:rPr>
                <w:rFonts w:ascii="Arial Narrow" w:hAnsi="Arial Narrow" w:cs="Arial"/>
                <w:sz w:val="20"/>
              </w:rPr>
            </w:pPr>
            <w:r w:rsidRPr="00D714DB">
              <w:rPr>
                <w:rFonts w:ascii="Arial Narrow" w:hAnsi="Arial Narrow" w:cs="Arial"/>
                <w:sz w:val="20"/>
              </w:rPr>
              <w:t>The World Trade Institute (WTI, UK) was awarded a contract to provide Policy Advice and to deliver training on C3. WTI identified a necessity to provide bilateral coaching via Skype to support beneficiaries, as a basic lack of knowledge was identified during their initial analysis which was not taken into account during project design.</w:t>
            </w:r>
          </w:p>
        </w:tc>
      </w:tr>
    </w:tbl>
    <w:p w:rsidR="000954E5" w:rsidRPr="00D714DB" w:rsidRDefault="000954E5" w:rsidP="00D714DB">
      <w:pPr>
        <w:spacing w:before="0" w:after="0"/>
        <w:rPr>
          <w:rFonts w:ascii="Arial" w:hAnsi="Arial" w:cs="Arial"/>
          <w:sz w:val="22"/>
          <w:szCs w:val="22"/>
        </w:rPr>
      </w:pPr>
    </w:p>
    <w:p w:rsidR="000954E5" w:rsidRPr="00D714DB" w:rsidRDefault="00D714DB" w:rsidP="00D714DB">
      <w:pPr>
        <w:shd w:val="clear" w:color="auto" w:fill="DBE5F1" w:themeFill="accent1" w:themeFillTint="33"/>
        <w:spacing w:before="0" w:after="0"/>
        <w:rPr>
          <w:rFonts w:ascii="Arial" w:hAnsi="Arial" w:cs="Arial"/>
          <w:sz w:val="22"/>
          <w:szCs w:val="22"/>
        </w:rPr>
      </w:pPr>
      <w:r>
        <w:rPr>
          <w:rFonts w:ascii="Arial" w:hAnsi="Arial" w:cs="Arial"/>
          <w:b/>
          <w:sz w:val="22"/>
          <w:szCs w:val="22"/>
        </w:rPr>
        <w:t>EQ8 / JC</w:t>
      </w:r>
      <w:r w:rsidR="000954E5" w:rsidRPr="00D714DB">
        <w:rPr>
          <w:rFonts w:ascii="Arial" w:hAnsi="Arial" w:cs="Arial"/>
          <w:b/>
          <w:sz w:val="22"/>
          <w:szCs w:val="22"/>
        </w:rPr>
        <w:t>4</w:t>
      </w:r>
      <w:r w:rsidR="000954E5" w:rsidRPr="00D714DB">
        <w:rPr>
          <w:rFonts w:ascii="Arial" w:hAnsi="Arial" w:cs="Arial"/>
          <w:sz w:val="22"/>
          <w:szCs w:val="22"/>
        </w:rPr>
        <w:t xml:space="preserve"> EU-Palestine cooperation effectively supports Private Sector Development, contributing to an economically viable Palestinian state</w:t>
      </w:r>
    </w:p>
    <w:p w:rsidR="000954E5" w:rsidRDefault="000954E5" w:rsidP="00D714DB">
      <w:pPr>
        <w:spacing w:before="0" w:after="0"/>
        <w:rPr>
          <w:rFonts w:ascii="Arial" w:hAnsi="Arial" w:cs="Arial"/>
          <w:sz w:val="22"/>
          <w:szCs w:val="22"/>
        </w:rPr>
      </w:pPr>
      <w:r w:rsidRPr="00D714DB">
        <w:rPr>
          <w:rFonts w:ascii="Arial" w:hAnsi="Arial" w:cs="Arial"/>
          <w:sz w:val="22"/>
          <w:szCs w:val="22"/>
        </w:rPr>
        <w:t xml:space="preserve">Table 16 summarizes the very positive scoring for criteria of effectiveness, impact and sustainability from the Monitoring Report for Trade Diversification and Competitiveness Enhancement Program; the Evaluation team needs, during the field visit, to gain insights on the meaning of these scores: </w:t>
      </w:r>
    </w:p>
    <w:p w:rsidR="00D714DB" w:rsidRPr="00D714DB" w:rsidRDefault="00D714DB" w:rsidP="00D714DB">
      <w:pPr>
        <w:spacing w:before="0" w:after="0"/>
        <w:rPr>
          <w:rFonts w:ascii="Arial" w:hAnsi="Arial" w:cs="Arial"/>
          <w:sz w:val="22"/>
          <w:szCs w:val="22"/>
        </w:rPr>
      </w:pPr>
    </w:p>
    <w:p w:rsidR="000954E5" w:rsidRPr="00D714DB" w:rsidRDefault="000954E5" w:rsidP="00D714DB">
      <w:pPr>
        <w:pStyle w:val="Didascalia"/>
        <w:framePr w:wrap="around"/>
      </w:pPr>
      <w:bookmarkStart w:id="125" w:name="_Toc373334856"/>
      <w:r w:rsidRPr="00D714DB">
        <w:t xml:space="preserve">Table </w:t>
      </w:r>
      <w:fldSimple w:instr=" SEQ Table \* ARABIC ">
        <w:r w:rsidRPr="00D714DB">
          <w:rPr>
            <w:noProof/>
          </w:rPr>
          <w:t>16</w:t>
        </w:r>
      </w:fldSimple>
      <w:r w:rsidRPr="00D714DB">
        <w:t>: ROM Scoring of selected project under PSD/Trade for effectiveness,</w:t>
      </w:r>
      <w:bookmarkEnd w:id="125"/>
      <w:r w:rsidRPr="00D714DB">
        <w:t xml:space="preserve"> impact and sustainability criteria</w:t>
      </w:r>
    </w:p>
    <w:tbl>
      <w:tblPr>
        <w:tblStyle w:val="Grigliatabella"/>
        <w:tblW w:w="5000" w:type="pct"/>
        <w:tblLook w:val="04A0"/>
      </w:tblPr>
      <w:tblGrid>
        <w:gridCol w:w="1044"/>
        <w:gridCol w:w="1532"/>
        <w:gridCol w:w="3789"/>
        <w:gridCol w:w="1274"/>
        <w:gridCol w:w="932"/>
        <w:gridCol w:w="1283"/>
      </w:tblGrid>
      <w:tr w:rsidR="000954E5" w:rsidRPr="00D714DB" w:rsidTr="00D714DB">
        <w:tc>
          <w:tcPr>
            <w:tcW w:w="592" w:type="pct"/>
            <w:shd w:val="clear" w:color="auto" w:fill="808080" w:themeFill="background1" w:themeFillShade="80"/>
          </w:tcPr>
          <w:p w:rsidR="000954E5" w:rsidRPr="00D714DB" w:rsidRDefault="000954E5" w:rsidP="00D714DB">
            <w:pPr>
              <w:spacing w:before="0" w:after="0"/>
              <w:rPr>
                <w:rFonts w:ascii="Arial Narrow" w:eastAsiaTheme="minorHAnsi" w:hAnsi="Arial Narrow" w:cs="Arial"/>
                <w:b/>
                <w:color w:val="FFFFFF" w:themeColor="background1"/>
                <w:sz w:val="20"/>
              </w:rPr>
            </w:pPr>
            <w:r w:rsidRPr="00D714DB">
              <w:rPr>
                <w:rFonts w:ascii="Arial Narrow" w:eastAsiaTheme="minorHAnsi" w:hAnsi="Arial Narrow" w:cs="Arial"/>
                <w:b/>
                <w:color w:val="FFFFFF" w:themeColor="background1"/>
                <w:sz w:val="20"/>
              </w:rPr>
              <w:t>Contract Number</w:t>
            </w:r>
          </w:p>
        </w:tc>
        <w:tc>
          <w:tcPr>
            <w:tcW w:w="840" w:type="pct"/>
            <w:shd w:val="clear" w:color="auto" w:fill="808080" w:themeFill="background1" w:themeFillShade="80"/>
          </w:tcPr>
          <w:p w:rsidR="000954E5" w:rsidRPr="00D714DB" w:rsidRDefault="000954E5" w:rsidP="00D714DB">
            <w:pPr>
              <w:spacing w:before="0" w:after="0"/>
              <w:rPr>
                <w:rFonts w:ascii="Arial Narrow" w:eastAsiaTheme="minorHAnsi" w:hAnsi="Arial Narrow" w:cs="Arial"/>
                <w:b/>
                <w:color w:val="FFFFFF" w:themeColor="background1"/>
                <w:sz w:val="20"/>
              </w:rPr>
            </w:pPr>
            <w:r w:rsidRPr="00D714DB">
              <w:rPr>
                <w:rFonts w:ascii="Arial Narrow" w:eastAsiaTheme="minorHAnsi" w:hAnsi="Arial Narrow" w:cs="Arial"/>
                <w:b/>
                <w:color w:val="FFFFFF" w:themeColor="background1"/>
                <w:sz w:val="20"/>
              </w:rPr>
              <w:t>ROM reference</w:t>
            </w:r>
          </w:p>
        </w:tc>
        <w:tc>
          <w:tcPr>
            <w:tcW w:w="1985" w:type="pct"/>
            <w:shd w:val="clear" w:color="auto" w:fill="808080" w:themeFill="background1" w:themeFillShade="80"/>
          </w:tcPr>
          <w:p w:rsidR="000954E5" w:rsidRPr="00D714DB" w:rsidRDefault="000954E5" w:rsidP="00D714DB">
            <w:pPr>
              <w:spacing w:before="0" w:after="0"/>
              <w:rPr>
                <w:rFonts w:ascii="Arial Narrow" w:eastAsiaTheme="minorHAnsi" w:hAnsi="Arial Narrow" w:cs="Arial"/>
                <w:b/>
                <w:color w:val="FFFFFF" w:themeColor="background1"/>
                <w:sz w:val="20"/>
              </w:rPr>
            </w:pPr>
            <w:r w:rsidRPr="00D714DB">
              <w:rPr>
                <w:rFonts w:ascii="Arial Narrow" w:eastAsiaTheme="minorHAnsi" w:hAnsi="Arial Narrow" w:cs="Arial"/>
                <w:b/>
                <w:color w:val="FFFFFF" w:themeColor="background1"/>
                <w:sz w:val="20"/>
              </w:rPr>
              <w:t>Project</w:t>
            </w:r>
          </w:p>
        </w:tc>
        <w:tc>
          <w:tcPr>
            <w:tcW w:w="535" w:type="pct"/>
            <w:shd w:val="clear" w:color="auto" w:fill="808080" w:themeFill="background1" w:themeFillShade="80"/>
          </w:tcPr>
          <w:p w:rsidR="000954E5" w:rsidRPr="00D714DB" w:rsidRDefault="000954E5" w:rsidP="00D714DB">
            <w:pPr>
              <w:spacing w:before="0" w:after="0"/>
              <w:rPr>
                <w:rFonts w:ascii="Arial Narrow" w:eastAsiaTheme="minorHAnsi" w:hAnsi="Arial Narrow" w:cs="Arial"/>
                <w:b/>
                <w:color w:val="FFFFFF" w:themeColor="background1"/>
                <w:sz w:val="20"/>
              </w:rPr>
            </w:pPr>
            <w:r w:rsidRPr="00D714DB">
              <w:rPr>
                <w:rFonts w:ascii="Arial Narrow" w:eastAsiaTheme="minorHAnsi" w:hAnsi="Arial Narrow" w:cs="Arial"/>
                <w:b/>
                <w:color w:val="FFFFFF" w:themeColor="background1"/>
                <w:sz w:val="20"/>
              </w:rPr>
              <w:t>Effectiveness</w:t>
            </w:r>
          </w:p>
        </w:tc>
        <w:tc>
          <w:tcPr>
            <w:tcW w:w="535" w:type="pct"/>
            <w:shd w:val="clear" w:color="auto" w:fill="808080" w:themeFill="background1" w:themeFillShade="80"/>
          </w:tcPr>
          <w:p w:rsidR="000954E5" w:rsidRPr="00D714DB" w:rsidRDefault="000954E5" w:rsidP="00D714DB">
            <w:pPr>
              <w:spacing w:before="0" w:after="0"/>
              <w:rPr>
                <w:rFonts w:ascii="Arial Narrow" w:eastAsiaTheme="minorHAnsi" w:hAnsi="Arial Narrow" w:cs="Arial"/>
                <w:b/>
                <w:color w:val="FFFFFF" w:themeColor="background1"/>
                <w:sz w:val="20"/>
              </w:rPr>
            </w:pPr>
            <w:r w:rsidRPr="00D714DB">
              <w:rPr>
                <w:rFonts w:ascii="Arial Narrow" w:eastAsiaTheme="minorHAnsi" w:hAnsi="Arial Narrow" w:cs="Arial"/>
                <w:b/>
                <w:color w:val="FFFFFF" w:themeColor="background1"/>
                <w:sz w:val="20"/>
              </w:rPr>
              <w:t>Impact</w:t>
            </w:r>
          </w:p>
        </w:tc>
        <w:tc>
          <w:tcPr>
            <w:tcW w:w="514" w:type="pct"/>
            <w:shd w:val="clear" w:color="auto" w:fill="808080" w:themeFill="background1" w:themeFillShade="80"/>
          </w:tcPr>
          <w:p w:rsidR="000954E5" w:rsidRPr="00D714DB" w:rsidRDefault="000954E5" w:rsidP="00D714DB">
            <w:pPr>
              <w:spacing w:before="0" w:after="0"/>
              <w:rPr>
                <w:rFonts w:ascii="Arial Narrow" w:eastAsiaTheme="minorHAnsi" w:hAnsi="Arial Narrow" w:cs="Arial"/>
                <w:b/>
                <w:color w:val="FFFFFF" w:themeColor="background1"/>
                <w:sz w:val="20"/>
              </w:rPr>
            </w:pPr>
            <w:r w:rsidRPr="00D714DB">
              <w:rPr>
                <w:rFonts w:ascii="Arial Narrow" w:eastAsiaTheme="minorHAnsi" w:hAnsi="Arial Narrow" w:cs="Arial"/>
                <w:b/>
                <w:color w:val="FFFFFF" w:themeColor="background1"/>
                <w:sz w:val="20"/>
              </w:rPr>
              <w:t>Sustainability</w:t>
            </w:r>
          </w:p>
        </w:tc>
      </w:tr>
      <w:tr w:rsidR="000954E5" w:rsidRPr="00D714DB" w:rsidTr="00D714DB">
        <w:tc>
          <w:tcPr>
            <w:tcW w:w="592" w:type="pct"/>
            <w:vAlign w:val="center"/>
          </w:tcPr>
          <w:p w:rsidR="000954E5" w:rsidRPr="00D714DB" w:rsidRDefault="000954E5" w:rsidP="00D714DB">
            <w:pPr>
              <w:spacing w:before="0" w:after="0"/>
              <w:rPr>
                <w:rFonts w:ascii="Arial Narrow" w:hAnsi="Arial Narrow" w:cs="Arial"/>
                <w:color w:val="000000"/>
                <w:sz w:val="20"/>
              </w:rPr>
            </w:pPr>
            <w:r w:rsidRPr="00D714DB">
              <w:rPr>
                <w:rFonts w:ascii="Arial Narrow" w:hAnsi="Arial Narrow" w:cs="Arial"/>
                <w:color w:val="000000"/>
                <w:sz w:val="20"/>
              </w:rPr>
              <w:t>268587</w:t>
            </w:r>
          </w:p>
        </w:tc>
        <w:tc>
          <w:tcPr>
            <w:tcW w:w="840" w:type="pct"/>
            <w:vAlign w:val="center"/>
          </w:tcPr>
          <w:p w:rsidR="000954E5" w:rsidRPr="00D714DB" w:rsidRDefault="000954E5" w:rsidP="00D714DB">
            <w:pPr>
              <w:spacing w:before="0" w:after="0"/>
              <w:rPr>
                <w:rFonts w:ascii="Arial Narrow" w:hAnsi="Arial Narrow" w:cs="Arial"/>
                <w:sz w:val="20"/>
              </w:rPr>
            </w:pPr>
            <w:r w:rsidRPr="00D714DB">
              <w:rPr>
                <w:rFonts w:ascii="Arial Narrow" w:hAnsi="Arial Narrow" w:cs="Arial"/>
                <w:sz w:val="20"/>
              </w:rPr>
              <w:t>MR-145023.01</w:t>
            </w:r>
          </w:p>
        </w:tc>
        <w:tc>
          <w:tcPr>
            <w:tcW w:w="1985" w:type="pct"/>
          </w:tcPr>
          <w:p w:rsidR="000954E5" w:rsidRPr="00D714DB" w:rsidRDefault="000954E5" w:rsidP="00D714DB">
            <w:pPr>
              <w:spacing w:before="0" w:after="0"/>
              <w:jc w:val="left"/>
              <w:rPr>
                <w:rFonts w:ascii="Arial Narrow" w:hAnsi="Arial Narrow" w:cs="Arial"/>
                <w:sz w:val="20"/>
              </w:rPr>
            </w:pPr>
            <w:r w:rsidRPr="00D714DB">
              <w:rPr>
                <w:rFonts w:ascii="Arial Narrow" w:hAnsi="Arial Narrow" w:cs="Arial"/>
                <w:sz w:val="20"/>
              </w:rPr>
              <w:t>Trade diversification/competitiveness enhancement program</w:t>
            </w:r>
          </w:p>
        </w:tc>
        <w:tc>
          <w:tcPr>
            <w:tcW w:w="535" w:type="pct"/>
            <w:vAlign w:val="center"/>
          </w:tcPr>
          <w:p w:rsidR="000954E5" w:rsidRPr="00D714DB" w:rsidRDefault="000954E5" w:rsidP="00D714DB">
            <w:pPr>
              <w:spacing w:before="0" w:after="0"/>
              <w:jc w:val="center"/>
              <w:rPr>
                <w:rFonts w:ascii="Arial Narrow" w:hAnsi="Arial Narrow" w:cs="Arial"/>
                <w:sz w:val="20"/>
              </w:rPr>
            </w:pPr>
            <w:r w:rsidRPr="00D714DB">
              <w:rPr>
                <w:rFonts w:ascii="Arial Narrow" w:hAnsi="Arial Narrow" w:cs="Arial"/>
                <w:sz w:val="20"/>
              </w:rPr>
              <w:t>A</w:t>
            </w:r>
          </w:p>
        </w:tc>
        <w:tc>
          <w:tcPr>
            <w:tcW w:w="535" w:type="pct"/>
            <w:vAlign w:val="center"/>
          </w:tcPr>
          <w:p w:rsidR="000954E5" w:rsidRPr="00D714DB" w:rsidRDefault="000954E5" w:rsidP="00D714DB">
            <w:pPr>
              <w:spacing w:before="0" w:after="0"/>
              <w:jc w:val="center"/>
              <w:rPr>
                <w:rFonts w:ascii="Arial Narrow" w:hAnsi="Arial Narrow" w:cs="Arial"/>
                <w:sz w:val="20"/>
              </w:rPr>
            </w:pPr>
            <w:r w:rsidRPr="00D714DB">
              <w:rPr>
                <w:rFonts w:ascii="Arial Narrow" w:hAnsi="Arial Narrow" w:cs="Arial"/>
                <w:sz w:val="20"/>
              </w:rPr>
              <w:t>A</w:t>
            </w:r>
          </w:p>
        </w:tc>
        <w:tc>
          <w:tcPr>
            <w:tcW w:w="514" w:type="pct"/>
            <w:vAlign w:val="center"/>
          </w:tcPr>
          <w:p w:rsidR="000954E5" w:rsidRPr="00D714DB" w:rsidRDefault="000954E5" w:rsidP="00D714DB">
            <w:pPr>
              <w:spacing w:before="0" w:after="0"/>
              <w:jc w:val="center"/>
              <w:rPr>
                <w:rFonts w:ascii="Arial Narrow" w:hAnsi="Arial Narrow" w:cs="Arial"/>
                <w:sz w:val="20"/>
              </w:rPr>
            </w:pPr>
            <w:r w:rsidRPr="00D714DB">
              <w:rPr>
                <w:rFonts w:ascii="Arial Narrow" w:hAnsi="Arial Narrow" w:cs="Arial"/>
                <w:sz w:val="20"/>
              </w:rPr>
              <w:t>A</w:t>
            </w:r>
          </w:p>
        </w:tc>
      </w:tr>
    </w:tbl>
    <w:p w:rsidR="000954E5" w:rsidRPr="00D714DB" w:rsidRDefault="000954E5" w:rsidP="00D714DB">
      <w:pPr>
        <w:spacing w:before="0" w:after="0"/>
        <w:rPr>
          <w:rFonts w:ascii="Arial" w:hAnsi="Arial" w:cs="Arial"/>
          <w:sz w:val="22"/>
          <w:szCs w:val="22"/>
        </w:rPr>
      </w:pPr>
    </w:p>
    <w:p w:rsidR="000954E5" w:rsidRDefault="000954E5" w:rsidP="00BB5EF6">
      <w:pPr>
        <w:spacing w:before="0" w:after="0"/>
        <w:rPr>
          <w:rFonts w:ascii="Times New Roman" w:hAnsi="Times New Roman"/>
        </w:rPr>
      </w:pPr>
    </w:p>
    <w:p w:rsidR="000954E5" w:rsidRDefault="000954E5" w:rsidP="00BB5EF6">
      <w:pPr>
        <w:spacing w:before="0" w:after="0"/>
        <w:rPr>
          <w:rFonts w:ascii="Times New Roman" w:hAnsi="Times New Roman"/>
        </w:rPr>
      </w:pPr>
    </w:p>
    <w:p w:rsidR="000954E5" w:rsidRDefault="000954E5" w:rsidP="00BB5EF6">
      <w:pPr>
        <w:spacing w:before="0" w:after="0"/>
        <w:rPr>
          <w:rFonts w:ascii="Times New Roman" w:hAnsi="Times New Roman"/>
        </w:rPr>
        <w:sectPr w:rsidR="000954E5" w:rsidSect="00BB5EF6">
          <w:footerReference w:type="default" r:id="rId211"/>
          <w:pgSz w:w="11906" w:h="16838"/>
          <w:pgMar w:top="1417" w:right="1134" w:bottom="1134" w:left="1134" w:header="708" w:footer="708" w:gutter="0"/>
          <w:cols w:space="708"/>
          <w:docGrid w:linePitch="360"/>
        </w:sectPr>
      </w:pPr>
    </w:p>
    <w:p w:rsidR="000E40A2" w:rsidRPr="004D5E99" w:rsidRDefault="000E40A2" w:rsidP="00BB5EF6">
      <w:pPr>
        <w:spacing w:before="0" w:after="0"/>
        <w:rPr>
          <w:rFonts w:ascii="Times New Roman" w:hAnsi="Times New Roman"/>
          <w:b/>
          <w:color w:val="1F497D" w:themeColor="text2"/>
        </w:rPr>
      </w:pPr>
      <w:r w:rsidRPr="000E40A2">
        <w:rPr>
          <w:rFonts w:ascii="Times New Roman" w:hAnsi="Times New Roman"/>
          <w:b/>
          <w:color w:val="1F497D" w:themeColor="text2"/>
        </w:rPr>
        <w:lastRenderedPageBreak/>
        <w:t xml:space="preserve">List of available ROM (in yellow the selected ROM for in-depth analysis) </w:t>
      </w:r>
    </w:p>
    <w:p w:rsidR="000E40A2" w:rsidRDefault="004D5E99" w:rsidP="00BB5EF6">
      <w:pPr>
        <w:spacing w:before="0" w:after="0"/>
        <w:rPr>
          <w:rFonts w:ascii="Times New Roman" w:hAnsi="Times New Roman"/>
        </w:rPr>
      </w:pPr>
      <w:r w:rsidRPr="004D5E99">
        <w:rPr>
          <w:noProof/>
          <w:lang w:val="it-IT" w:eastAsia="it-IT"/>
        </w:rPr>
        <w:drawing>
          <wp:inline distT="0" distB="0" distL="0" distR="0">
            <wp:extent cx="9065899" cy="5762846"/>
            <wp:effectExtent l="19050" t="0" r="1901" b="0"/>
            <wp:docPr id="59"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2" cstate="print"/>
                    <a:srcRect/>
                    <a:stretch>
                      <a:fillRect/>
                    </a:stretch>
                  </pic:blipFill>
                  <pic:spPr bwMode="auto">
                    <a:xfrm>
                      <a:off x="0" y="0"/>
                      <a:ext cx="9072245" cy="5766880"/>
                    </a:xfrm>
                    <a:prstGeom prst="rect">
                      <a:avLst/>
                    </a:prstGeom>
                    <a:noFill/>
                    <a:ln w="9525">
                      <a:noFill/>
                      <a:miter lim="800000"/>
                      <a:headEnd/>
                      <a:tailEnd/>
                    </a:ln>
                  </pic:spPr>
                </pic:pic>
              </a:graphicData>
            </a:graphic>
          </wp:inline>
        </w:drawing>
      </w:r>
    </w:p>
    <w:p w:rsidR="004D5E99" w:rsidRDefault="004D5E99" w:rsidP="00BB5EF6">
      <w:pPr>
        <w:spacing w:before="0" w:after="0"/>
        <w:rPr>
          <w:rFonts w:ascii="Times New Roman" w:hAnsi="Times New Roman"/>
        </w:rPr>
      </w:pPr>
    </w:p>
    <w:p w:rsidR="00C4079C" w:rsidRDefault="004D5E99" w:rsidP="00BB5EF6">
      <w:pPr>
        <w:spacing w:before="0" w:after="0"/>
        <w:rPr>
          <w:rFonts w:ascii="Times New Roman" w:hAnsi="Times New Roman"/>
        </w:rPr>
        <w:sectPr w:rsidR="00C4079C" w:rsidSect="006D6734">
          <w:footerReference w:type="default" r:id="rId213"/>
          <w:pgSz w:w="16838" w:h="11906" w:orient="landscape"/>
          <w:pgMar w:top="1134" w:right="1417" w:bottom="1134" w:left="1134" w:header="708" w:footer="708" w:gutter="0"/>
          <w:cols w:space="708"/>
          <w:docGrid w:linePitch="360"/>
        </w:sectPr>
      </w:pPr>
      <w:r w:rsidRPr="004D5E99">
        <w:rPr>
          <w:noProof/>
          <w:lang w:val="it-IT" w:eastAsia="it-IT"/>
        </w:rPr>
        <w:lastRenderedPageBreak/>
        <w:drawing>
          <wp:inline distT="0" distB="0" distL="0" distR="0">
            <wp:extent cx="9067800" cy="5953125"/>
            <wp:effectExtent l="19050" t="0" r="0" b="0"/>
            <wp:docPr id="68"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4" cstate="print"/>
                    <a:srcRect/>
                    <a:stretch>
                      <a:fillRect/>
                    </a:stretch>
                  </pic:blipFill>
                  <pic:spPr bwMode="auto">
                    <a:xfrm>
                      <a:off x="0" y="0"/>
                      <a:ext cx="9072245" cy="5956043"/>
                    </a:xfrm>
                    <a:prstGeom prst="rect">
                      <a:avLst/>
                    </a:prstGeom>
                    <a:noFill/>
                    <a:ln w="9525">
                      <a:noFill/>
                      <a:miter lim="800000"/>
                      <a:headEnd/>
                      <a:tailEnd/>
                    </a:ln>
                  </pic:spPr>
                </pic:pic>
              </a:graphicData>
            </a:graphic>
          </wp:inline>
        </w:drawing>
      </w:r>
    </w:p>
    <w:p w:rsidR="00950AE5" w:rsidRPr="006E5541" w:rsidRDefault="00950AE5" w:rsidP="00950AE5">
      <w:pPr>
        <w:pStyle w:val="Titolo1"/>
        <w:rPr>
          <w:lang w:val="en-US"/>
        </w:rPr>
      </w:pPr>
      <w:bookmarkStart w:id="126" w:name="_Toc382998031"/>
      <w:r w:rsidRPr="006E5541">
        <w:rPr>
          <w:lang w:val="en-US"/>
        </w:rPr>
        <w:lastRenderedPageBreak/>
        <w:t xml:space="preserve">Annex 12: Conclusions and Recommendations </w:t>
      </w:r>
      <w:bookmarkEnd w:id="126"/>
      <w:r w:rsidR="00CE21C5">
        <w:rPr>
          <w:lang w:val="en-US"/>
        </w:rPr>
        <w:t>TABLE</w:t>
      </w:r>
    </w:p>
    <w:p w:rsidR="00950AE5" w:rsidRDefault="00950AE5" w:rsidP="00950AE5">
      <w:pPr>
        <w:spacing w:before="0" w:after="0"/>
        <w:jc w:val="center"/>
        <w:rPr>
          <w:rFonts w:ascii="Arial" w:hAnsi="Arial" w:cs="Arial"/>
          <w:b/>
          <w:sz w:val="20"/>
        </w:rPr>
      </w:pPr>
    </w:p>
    <w:p w:rsidR="00950AE5" w:rsidRPr="00950AE5" w:rsidRDefault="00950AE5" w:rsidP="00950AE5">
      <w:pPr>
        <w:spacing w:before="0" w:after="0"/>
        <w:jc w:val="center"/>
        <w:rPr>
          <w:rFonts w:ascii="Arial" w:hAnsi="Arial" w:cs="Arial"/>
          <w:b/>
          <w:sz w:val="20"/>
        </w:rPr>
      </w:pPr>
      <w:r>
        <w:rPr>
          <w:rFonts w:ascii="Arial" w:hAnsi="Arial" w:cs="Arial"/>
          <w:b/>
          <w:sz w:val="20"/>
        </w:rPr>
        <w:t xml:space="preserve">This </w:t>
      </w:r>
      <w:r w:rsidR="00CE21C5">
        <w:rPr>
          <w:rFonts w:ascii="Arial" w:hAnsi="Arial" w:cs="Arial"/>
          <w:b/>
          <w:sz w:val="20"/>
        </w:rPr>
        <w:t>table</w:t>
      </w:r>
      <w:r>
        <w:rPr>
          <w:rFonts w:ascii="Arial" w:hAnsi="Arial" w:cs="Arial"/>
          <w:b/>
          <w:sz w:val="20"/>
        </w:rPr>
        <w:t xml:space="preserve"> provides an overview of the links between</w:t>
      </w:r>
      <w:r w:rsidRPr="00950AE5">
        <w:rPr>
          <w:rFonts w:ascii="Arial" w:hAnsi="Arial" w:cs="Arial"/>
          <w:b/>
          <w:sz w:val="20"/>
        </w:rPr>
        <w:t xml:space="preserve"> Evaluation Questions, Conclusions and Recommendations</w:t>
      </w:r>
    </w:p>
    <w:p w:rsidR="00950AE5" w:rsidRPr="00950AE5" w:rsidRDefault="00950AE5" w:rsidP="00950AE5">
      <w:pPr>
        <w:spacing w:before="0" w:after="0"/>
        <w:jc w:val="center"/>
        <w:rPr>
          <w:rFonts w:ascii="Arial" w:hAnsi="Arial" w:cs="Arial"/>
          <w:sz w:val="20"/>
        </w:rPr>
      </w:pPr>
    </w:p>
    <w:tbl>
      <w:tblPr>
        <w:tblStyle w:val="Grigliatabella"/>
        <w:tblW w:w="4744" w:type="pct"/>
        <w:jc w:val="center"/>
        <w:tblLook w:val="04A0"/>
      </w:tblPr>
      <w:tblGrid>
        <w:gridCol w:w="625"/>
        <w:gridCol w:w="715"/>
        <w:gridCol w:w="716"/>
        <w:gridCol w:w="716"/>
        <w:gridCol w:w="716"/>
        <w:gridCol w:w="712"/>
        <w:gridCol w:w="757"/>
        <w:gridCol w:w="798"/>
        <w:gridCol w:w="716"/>
        <w:gridCol w:w="718"/>
        <w:gridCol w:w="718"/>
        <w:gridCol w:w="718"/>
        <w:gridCol w:w="720"/>
      </w:tblGrid>
      <w:tr w:rsidR="004A7840" w:rsidRPr="00950AE5" w:rsidTr="008A7D84">
        <w:trPr>
          <w:tblHeader/>
          <w:jc w:val="center"/>
        </w:trPr>
        <w:tc>
          <w:tcPr>
            <w:tcW w:w="335" w:type="pct"/>
            <w:vMerge w:val="restart"/>
            <w:tcBorders>
              <w:top w:val="single" w:sz="12" w:space="0" w:color="000000"/>
              <w:left w:val="single" w:sz="12" w:space="0" w:color="000000"/>
              <w:bottom w:val="single" w:sz="12" w:space="0" w:color="auto"/>
              <w:right w:val="single" w:sz="4" w:space="0" w:color="auto"/>
            </w:tcBorders>
            <w:shd w:val="clear" w:color="auto" w:fill="999999"/>
            <w:vAlign w:val="center"/>
          </w:tcPr>
          <w:p w:rsidR="004A7840" w:rsidRPr="00950AE5" w:rsidRDefault="004A7840" w:rsidP="00950AE5">
            <w:pPr>
              <w:spacing w:before="0" w:after="0"/>
              <w:jc w:val="center"/>
              <w:rPr>
                <w:rFonts w:ascii="Arial" w:hAnsi="Arial" w:cs="Arial"/>
                <w:b/>
                <w:color w:val="FFFFFF" w:themeColor="background1"/>
                <w:sz w:val="20"/>
              </w:rPr>
            </w:pPr>
            <w:r>
              <w:rPr>
                <w:rFonts w:ascii="Arial" w:hAnsi="Arial" w:cs="Arial"/>
                <w:b/>
                <w:color w:val="FFFFFF" w:themeColor="background1"/>
                <w:sz w:val="20"/>
              </w:rPr>
              <w:t>EQ</w:t>
            </w:r>
          </w:p>
        </w:tc>
        <w:tc>
          <w:tcPr>
            <w:tcW w:w="1911" w:type="pct"/>
            <w:gridSpan w:val="5"/>
            <w:tcBorders>
              <w:top w:val="single" w:sz="12" w:space="0" w:color="000000"/>
              <w:left w:val="single" w:sz="12" w:space="0" w:color="000000"/>
              <w:right w:val="single" w:sz="12" w:space="0" w:color="000000"/>
            </w:tcBorders>
            <w:shd w:val="clear" w:color="auto" w:fill="999999"/>
            <w:vAlign w:val="center"/>
          </w:tcPr>
          <w:p w:rsidR="004A7840" w:rsidRPr="00950AE5" w:rsidRDefault="004A7840" w:rsidP="00950AE5">
            <w:pPr>
              <w:spacing w:before="0" w:after="0"/>
              <w:jc w:val="center"/>
              <w:rPr>
                <w:rFonts w:ascii="Arial" w:hAnsi="Arial" w:cs="Arial"/>
                <w:b/>
                <w:color w:val="FFFFFF" w:themeColor="background1"/>
                <w:sz w:val="20"/>
              </w:rPr>
            </w:pPr>
            <w:r w:rsidRPr="00950AE5">
              <w:rPr>
                <w:rFonts w:ascii="Arial" w:hAnsi="Arial" w:cs="Arial"/>
                <w:b/>
                <w:color w:val="FFFFFF" w:themeColor="background1"/>
                <w:sz w:val="20"/>
              </w:rPr>
              <w:t>CONCLUSIONS</w:t>
            </w:r>
          </w:p>
        </w:tc>
        <w:tc>
          <w:tcPr>
            <w:tcW w:w="2754" w:type="pct"/>
            <w:gridSpan w:val="7"/>
            <w:tcBorders>
              <w:top w:val="single" w:sz="12" w:space="0" w:color="000000"/>
              <w:left w:val="single" w:sz="12" w:space="0" w:color="000000"/>
              <w:bottom w:val="single" w:sz="4" w:space="0" w:color="000000"/>
              <w:right w:val="single" w:sz="12" w:space="0" w:color="000000"/>
            </w:tcBorders>
            <w:shd w:val="clear" w:color="auto" w:fill="999999"/>
            <w:vAlign w:val="center"/>
          </w:tcPr>
          <w:p w:rsidR="004A7840" w:rsidRPr="00950AE5" w:rsidRDefault="004A7840" w:rsidP="00950AE5">
            <w:pPr>
              <w:spacing w:before="0" w:after="0"/>
              <w:jc w:val="center"/>
              <w:rPr>
                <w:rFonts w:ascii="Arial" w:hAnsi="Arial" w:cs="Arial"/>
                <w:b/>
                <w:color w:val="FFFFFF" w:themeColor="background1"/>
                <w:sz w:val="20"/>
              </w:rPr>
            </w:pPr>
            <w:r w:rsidRPr="00950AE5">
              <w:rPr>
                <w:rFonts w:ascii="Arial" w:hAnsi="Arial" w:cs="Arial"/>
                <w:b/>
                <w:color w:val="FFFFFF" w:themeColor="background1"/>
                <w:sz w:val="20"/>
              </w:rPr>
              <w:t>RECOMMENDATIONS</w:t>
            </w:r>
          </w:p>
        </w:tc>
      </w:tr>
      <w:tr w:rsidR="008A7D84" w:rsidRPr="00950AE5" w:rsidTr="008A7D84">
        <w:trPr>
          <w:tblHeader/>
          <w:jc w:val="center"/>
        </w:trPr>
        <w:tc>
          <w:tcPr>
            <w:tcW w:w="335" w:type="pct"/>
            <w:vMerge/>
            <w:tcBorders>
              <w:top w:val="single" w:sz="4" w:space="0" w:color="auto"/>
              <w:left w:val="single" w:sz="12" w:space="0" w:color="000000"/>
              <w:bottom w:val="single" w:sz="12" w:space="0" w:color="auto"/>
              <w:right w:val="single" w:sz="4" w:space="0" w:color="auto"/>
            </w:tcBorders>
            <w:shd w:val="clear" w:color="auto" w:fill="999999"/>
            <w:vAlign w:val="center"/>
          </w:tcPr>
          <w:p w:rsidR="008A7D84" w:rsidRPr="00950AE5" w:rsidRDefault="008A7D84" w:rsidP="00950AE5">
            <w:pPr>
              <w:spacing w:before="0" w:after="0"/>
              <w:jc w:val="center"/>
              <w:rPr>
                <w:rFonts w:ascii="Arial" w:hAnsi="Arial" w:cs="Arial"/>
                <w:b/>
                <w:color w:val="FFFFFF" w:themeColor="background1"/>
                <w:sz w:val="20"/>
              </w:rPr>
            </w:pPr>
          </w:p>
        </w:tc>
        <w:tc>
          <w:tcPr>
            <w:tcW w:w="383" w:type="pct"/>
            <w:tcBorders>
              <w:left w:val="single" w:sz="12" w:space="0" w:color="000000"/>
              <w:bottom w:val="single" w:sz="12" w:space="0" w:color="000000"/>
              <w:right w:val="single" w:sz="2" w:space="0" w:color="000000"/>
            </w:tcBorders>
            <w:shd w:val="clear" w:color="auto" w:fill="999999"/>
            <w:vAlign w:val="center"/>
          </w:tcPr>
          <w:p w:rsidR="008A7D84" w:rsidRPr="00950AE5" w:rsidRDefault="008A7D84" w:rsidP="00950AE5">
            <w:pPr>
              <w:spacing w:before="0" w:after="0"/>
              <w:jc w:val="center"/>
              <w:rPr>
                <w:rFonts w:ascii="Arial" w:hAnsi="Arial" w:cs="Arial"/>
                <w:b/>
                <w:color w:val="FFFFFF" w:themeColor="background1"/>
                <w:sz w:val="20"/>
              </w:rPr>
            </w:pPr>
            <w:r w:rsidRPr="00950AE5">
              <w:rPr>
                <w:rFonts w:ascii="Arial" w:hAnsi="Arial" w:cs="Arial"/>
                <w:b/>
                <w:color w:val="FFFFFF" w:themeColor="background1"/>
                <w:sz w:val="20"/>
              </w:rPr>
              <w:t>1</w:t>
            </w:r>
          </w:p>
        </w:tc>
        <w:tc>
          <w:tcPr>
            <w:tcW w:w="383" w:type="pct"/>
            <w:tcBorders>
              <w:left w:val="single" w:sz="2" w:space="0" w:color="000000"/>
              <w:bottom w:val="single" w:sz="12" w:space="0" w:color="000000"/>
              <w:right w:val="single" w:sz="2" w:space="0" w:color="000000"/>
            </w:tcBorders>
            <w:shd w:val="clear" w:color="auto" w:fill="999999"/>
            <w:vAlign w:val="center"/>
          </w:tcPr>
          <w:p w:rsidR="008A7D84" w:rsidRPr="00950AE5" w:rsidRDefault="008A7D84" w:rsidP="00950AE5">
            <w:pPr>
              <w:spacing w:before="0" w:after="0"/>
              <w:jc w:val="center"/>
              <w:rPr>
                <w:rFonts w:ascii="Arial" w:hAnsi="Arial" w:cs="Arial"/>
                <w:b/>
                <w:color w:val="FFFFFF" w:themeColor="background1"/>
                <w:sz w:val="20"/>
              </w:rPr>
            </w:pPr>
            <w:r w:rsidRPr="00950AE5">
              <w:rPr>
                <w:rFonts w:ascii="Arial" w:hAnsi="Arial" w:cs="Arial"/>
                <w:b/>
                <w:color w:val="FFFFFF" w:themeColor="background1"/>
                <w:sz w:val="20"/>
              </w:rPr>
              <w:t>2</w:t>
            </w:r>
          </w:p>
        </w:tc>
        <w:tc>
          <w:tcPr>
            <w:tcW w:w="383" w:type="pct"/>
            <w:tcBorders>
              <w:left w:val="single" w:sz="2" w:space="0" w:color="000000"/>
              <w:bottom w:val="single" w:sz="12" w:space="0" w:color="000000"/>
              <w:right w:val="single" w:sz="2" w:space="0" w:color="000000"/>
            </w:tcBorders>
            <w:shd w:val="clear" w:color="auto" w:fill="999999"/>
            <w:vAlign w:val="center"/>
          </w:tcPr>
          <w:p w:rsidR="008A7D84" w:rsidRPr="00950AE5" w:rsidRDefault="008A7D84" w:rsidP="00950AE5">
            <w:pPr>
              <w:spacing w:before="0" w:after="0"/>
              <w:jc w:val="center"/>
              <w:rPr>
                <w:rFonts w:ascii="Arial" w:hAnsi="Arial" w:cs="Arial"/>
                <w:b/>
                <w:color w:val="FFFFFF" w:themeColor="background1"/>
                <w:sz w:val="20"/>
              </w:rPr>
            </w:pPr>
            <w:r w:rsidRPr="00950AE5">
              <w:rPr>
                <w:rFonts w:ascii="Arial" w:hAnsi="Arial" w:cs="Arial"/>
                <w:b/>
                <w:color w:val="FFFFFF" w:themeColor="background1"/>
                <w:sz w:val="20"/>
              </w:rPr>
              <w:t>3</w:t>
            </w:r>
          </w:p>
        </w:tc>
        <w:tc>
          <w:tcPr>
            <w:tcW w:w="383" w:type="pct"/>
            <w:tcBorders>
              <w:left w:val="single" w:sz="2" w:space="0" w:color="000000"/>
              <w:bottom w:val="single" w:sz="12" w:space="0" w:color="000000"/>
              <w:right w:val="single" w:sz="2" w:space="0" w:color="000000"/>
            </w:tcBorders>
            <w:shd w:val="clear" w:color="auto" w:fill="999999"/>
            <w:vAlign w:val="center"/>
          </w:tcPr>
          <w:p w:rsidR="008A7D84" w:rsidRPr="00950AE5" w:rsidRDefault="008A7D84" w:rsidP="00950AE5">
            <w:pPr>
              <w:spacing w:before="0" w:after="0"/>
              <w:jc w:val="center"/>
              <w:rPr>
                <w:rFonts w:ascii="Arial" w:hAnsi="Arial" w:cs="Arial"/>
                <w:b/>
                <w:color w:val="FFFFFF" w:themeColor="background1"/>
                <w:sz w:val="20"/>
              </w:rPr>
            </w:pPr>
            <w:r w:rsidRPr="00950AE5">
              <w:rPr>
                <w:rFonts w:ascii="Arial" w:hAnsi="Arial" w:cs="Arial"/>
                <w:b/>
                <w:color w:val="FFFFFF" w:themeColor="background1"/>
                <w:sz w:val="20"/>
              </w:rPr>
              <w:t>4</w:t>
            </w:r>
          </w:p>
        </w:tc>
        <w:tc>
          <w:tcPr>
            <w:tcW w:w="381" w:type="pct"/>
            <w:tcBorders>
              <w:top w:val="single" w:sz="4" w:space="0" w:color="auto"/>
              <w:left w:val="single" w:sz="2" w:space="0" w:color="000000"/>
              <w:bottom w:val="single" w:sz="12" w:space="0" w:color="000000"/>
              <w:right w:val="single" w:sz="12" w:space="0" w:color="000000"/>
            </w:tcBorders>
            <w:shd w:val="clear" w:color="auto" w:fill="999999"/>
            <w:vAlign w:val="center"/>
          </w:tcPr>
          <w:p w:rsidR="008A7D84" w:rsidRPr="00950AE5" w:rsidRDefault="008A7D84" w:rsidP="008A7D84">
            <w:pPr>
              <w:spacing w:before="0" w:after="0"/>
              <w:jc w:val="center"/>
              <w:rPr>
                <w:rFonts w:ascii="Arial" w:hAnsi="Arial" w:cs="Arial"/>
                <w:b/>
                <w:color w:val="FFFFFF" w:themeColor="background1"/>
                <w:sz w:val="20"/>
              </w:rPr>
            </w:pPr>
            <w:r w:rsidRPr="00950AE5">
              <w:rPr>
                <w:rFonts w:ascii="Arial" w:hAnsi="Arial" w:cs="Arial"/>
                <w:b/>
                <w:color w:val="FFFFFF" w:themeColor="background1"/>
                <w:sz w:val="20"/>
              </w:rPr>
              <w:t>5</w:t>
            </w:r>
          </w:p>
        </w:tc>
        <w:tc>
          <w:tcPr>
            <w:tcW w:w="405" w:type="pct"/>
            <w:tcBorders>
              <w:left w:val="single" w:sz="12" w:space="0" w:color="000000"/>
              <w:bottom w:val="single" w:sz="12" w:space="0" w:color="000000"/>
              <w:right w:val="single" w:sz="2" w:space="0" w:color="000000"/>
            </w:tcBorders>
            <w:shd w:val="clear" w:color="auto" w:fill="999999"/>
            <w:vAlign w:val="center"/>
          </w:tcPr>
          <w:p w:rsidR="008A7D84" w:rsidRPr="00950AE5" w:rsidRDefault="008A7D84" w:rsidP="00950AE5">
            <w:pPr>
              <w:spacing w:before="0" w:after="0"/>
              <w:jc w:val="center"/>
              <w:rPr>
                <w:rFonts w:ascii="Arial" w:hAnsi="Arial" w:cs="Arial"/>
                <w:b/>
                <w:color w:val="FFFFFF" w:themeColor="background1"/>
                <w:sz w:val="20"/>
              </w:rPr>
            </w:pPr>
            <w:r w:rsidRPr="00950AE5">
              <w:rPr>
                <w:rFonts w:ascii="Arial" w:hAnsi="Arial" w:cs="Arial"/>
                <w:b/>
                <w:color w:val="FFFFFF" w:themeColor="background1"/>
                <w:sz w:val="20"/>
              </w:rPr>
              <w:t>1</w:t>
            </w:r>
          </w:p>
        </w:tc>
        <w:tc>
          <w:tcPr>
            <w:tcW w:w="427" w:type="pct"/>
            <w:tcBorders>
              <w:left w:val="single" w:sz="2" w:space="0" w:color="000000"/>
              <w:bottom w:val="single" w:sz="12" w:space="0" w:color="000000"/>
              <w:right w:val="single" w:sz="2" w:space="0" w:color="000000"/>
            </w:tcBorders>
            <w:shd w:val="clear" w:color="auto" w:fill="999999"/>
            <w:vAlign w:val="center"/>
          </w:tcPr>
          <w:p w:rsidR="008A7D84" w:rsidRPr="00950AE5" w:rsidRDefault="008A7D84" w:rsidP="00950AE5">
            <w:pPr>
              <w:spacing w:before="0" w:after="0"/>
              <w:jc w:val="center"/>
              <w:rPr>
                <w:rFonts w:ascii="Arial" w:hAnsi="Arial" w:cs="Arial"/>
                <w:b/>
                <w:color w:val="FFFFFF" w:themeColor="background1"/>
                <w:sz w:val="20"/>
              </w:rPr>
            </w:pPr>
            <w:r w:rsidRPr="00950AE5">
              <w:rPr>
                <w:rFonts w:ascii="Arial" w:hAnsi="Arial" w:cs="Arial"/>
                <w:b/>
                <w:color w:val="FFFFFF" w:themeColor="background1"/>
                <w:sz w:val="20"/>
              </w:rPr>
              <w:t>2</w:t>
            </w:r>
          </w:p>
        </w:tc>
        <w:tc>
          <w:tcPr>
            <w:tcW w:w="383" w:type="pct"/>
            <w:tcBorders>
              <w:left w:val="single" w:sz="2" w:space="0" w:color="000000"/>
              <w:bottom w:val="single" w:sz="12" w:space="0" w:color="000000"/>
              <w:right w:val="single" w:sz="2" w:space="0" w:color="000000"/>
            </w:tcBorders>
            <w:shd w:val="clear" w:color="auto" w:fill="999999"/>
            <w:vAlign w:val="center"/>
          </w:tcPr>
          <w:p w:rsidR="008A7D84" w:rsidRPr="00950AE5" w:rsidRDefault="008A7D84" w:rsidP="00950AE5">
            <w:pPr>
              <w:spacing w:before="0" w:after="0"/>
              <w:jc w:val="center"/>
              <w:rPr>
                <w:rFonts w:ascii="Arial" w:hAnsi="Arial" w:cs="Arial"/>
                <w:b/>
                <w:color w:val="FFFFFF" w:themeColor="background1"/>
                <w:sz w:val="20"/>
              </w:rPr>
            </w:pPr>
            <w:r w:rsidRPr="00950AE5">
              <w:rPr>
                <w:rFonts w:ascii="Arial" w:hAnsi="Arial" w:cs="Arial"/>
                <w:b/>
                <w:color w:val="FFFFFF" w:themeColor="background1"/>
                <w:sz w:val="20"/>
              </w:rPr>
              <w:t>3</w:t>
            </w:r>
          </w:p>
        </w:tc>
        <w:tc>
          <w:tcPr>
            <w:tcW w:w="384" w:type="pct"/>
            <w:tcBorders>
              <w:left w:val="single" w:sz="2" w:space="0" w:color="000000"/>
              <w:bottom w:val="single" w:sz="12" w:space="0" w:color="000000"/>
              <w:right w:val="single" w:sz="2" w:space="0" w:color="000000"/>
            </w:tcBorders>
            <w:shd w:val="clear" w:color="auto" w:fill="999999"/>
            <w:vAlign w:val="center"/>
          </w:tcPr>
          <w:p w:rsidR="008A7D84" w:rsidRPr="00950AE5" w:rsidRDefault="008A7D84" w:rsidP="00950AE5">
            <w:pPr>
              <w:spacing w:before="0" w:after="0"/>
              <w:jc w:val="center"/>
              <w:rPr>
                <w:rFonts w:ascii="Arial" w:hAnsi="Arial" w:cs="Arial"/>
                <w:b/>
                <w:color w:val="FFFFFF" w:themeColor="background1"/>
                <w:sz w:val="20"/>
              </w:rPr>
            </w:pPr>
            <w:r w:rsidRPr="00950AE5">
              <w:rPr>
                <w:rFonts w:ascii="Arial" w:hAnsi="Arial" w:cs="Arial"/>
                <w:b/>
                <w:color w:val="FFFFFF" w:themeColor="background1"/>
                <w:sz w:val="20"/>
              </w:rPr>
              <w:t>4</w:t>
            </w:r>
          </w:p>
        </w:tc>
        <w:tc>
          <w:tcPr>
            <w:tcW w:w="384" w:type="pct"/>
            <w:tcBorders>
              <w:left w:val="single" w:sz="2" w:space="0" w:color="000000"/>
              <w:bottom w:val="single" w:sz="12" w:space="0" w:color="000000"/>
              <w:right w:val="single" w:sz="2" w:space="0" w:color="000000"/>
            </w:tcBorders>
            <w:shd w:val="clear" w:color="auto" w:fill="999999"/>
            <w:vAlign w:val="center"/>
          </w:tcPr>
          <w:p w:rsidR="008A7D84" w:rsidRPr="00950AE5" w:rsidRDefault="008A7D84" w:rsidP="00950AE5">
            <w:pPr>
              <w:spacing w:before="0" w:after="0"/>
              <w:jc w:val="center"/>
              <w:rPr>
                <w:rFonts w:ascii="Arial" w:hAnsi="Arial" w:cs="Arial"/>
                <w:b/>
                <w:color w:val="FFFFFF" w:themeColor="background1"/>
                <w:sz w:val="20"/>
              </w:rPr>
            </w:pPr>
            <w:r w:rsidRPr="00950AE5">
              <w:rPr>
                <w:rFonts w:ascii="Arial" w:hAnsi="Arial" w:cs="Arial"/>
                <w:b/>
                <w:color w:val="FFFFFF" w:themeColor="background1"/>
                <w:sz w:val="20"/>
              </w:rPr>
              <w:t>5</w:t>
            </w:r>
          </w:p>
        </w:tc>
        <w:tc>
          <w:tcPr>
            <w:tcW w:w="384" w:type="pct"/>
            <w:tcBorders>
              <w:left w:val="single" w:sz="2" w:space="0" w:color="000000"/>
              <w:bottom w:val="single" w:sz="12" w:space="0" w:color="000000"/>
              <w:right w:val="single" w:sz="2" w:space="0" w:color="000000"/>
            </w:tcBorders>
            <w:shd w:val="clear" w:color="auto" w:fill="999999"/>
            <w:vAlign w:val="center"/>
          </w:tcPr>
          <w:p w:rsidR="008A7D84" w:rsidRPr="00950AE5" w:rsidRDefault="008A7D84" w:rsidP="00950AE5">
            <w:pPr>
              <w:spacing w:before="0" w:after="0"/>
              <w:jc w:val="center"/>
              <w:rPr>
                <w:rFonts w:ascii="Arial" w:hAnsi="Arial" w:cs="Arial"/>
                <w:b/>
                <w:color w:val="FFFFFF" w:themeColor="background1"/>
                <w:sz w:val="20"/>
              </w:rPr>
            </w:pPr>
            <w:r w:rsidRPr="00950AE5">
              <w:rPr>
                <w:rFonts w:ascii="Arial" w:hAnsi="Arial" w:cs="Arial"/>
                <w:b/>
                <w:color w:val="FFFFFF" w:themeColor="background1"/>
                <w:sz w:val="20"/>
              </w:rPr>
              <w:t>6</w:t>
            </w:r>
          </w:p>
        </w:tc>
        <w:tc>
          <w:tcPr>
            <w:tcW w:w="386" w:type="pct"/>
            <w:tcBorders>
              <w:left w:val="single" w:sz="2" w:space="0" w:color="000000"/>
              <w:bottom w:val="single" w:sz="12" w:space="0" w:color="000000"/>
              <w:right w:val="single" w:sz="12" w:space="0" w:color="000000"/>
            </w:tcBorders>
            <w:shd w:val="clear" w:color="auto" w:fill="999999"/>
            <w:vAlign w:val="center"/>
          </w:tcPr>
          <w:p w:rsidR="008A7D84" w:rsidRPr="00950AE5" w:rsidRDefault="008A7D84" w:rsidP="00950AE5">
            <w:pPr>
              <w:spacing w:before="0" w:after="0"/>
              <w:jc w:val="center"/>
              <w:rPr>
                <w:rFonts w:ascii="Arial" w:hAnsi="Arial" w:cs="Arial"/>
                <w:b/>
                <w:color w:val="FFFFFF" w:themeColor="background1"/>
                <w:sz w:val="20"/>
              </w:rPr>
            </w:pPr>
            <w:r w:rsidRPr="00950AE5">
              <w:rPr>
                <w:rFonts w:ascii="Arial" w:hAnsi="Arial" w:cs="Arial"/>
                <w:b/>
                <w:color w:val="FFFFFF" w:themeColor="background1"/>
                <w:sz w:val="20"/>
              </w:rPr>
              <w:t>7</w:t>
            </w:r>
          </w:p>
        </w:tc>
      </w:tr>
      <w:tr w:rsidR="008A7D84" w:rsidRPr="00950AE5" w:rsidTr="008A7D84">
        <w:trPr>
          <w:jc w:val="center"/>
        </w:trPr>
        <w:tc>
          <w:tcPr>
            <w:tcW w:w="335" w:type="pct"/>
            <w:tcBorders>
              <w:top w:val="single" w:sz="12" w:space="0" w:color="auto"/>
              <w:left w:val="single" w:sz="12" w:space="0" w:color="000000"/>
              <w:right w:val="single" w:sz="4" w:space="0" w:color="auto"/>
            </w:tcBorders>
            <w:shd w:val="clear" w:color="auto" w:fill="F2F2F2" w:themeFill="background1" w:themeFillShade="F2"/>
            <w:vAlign w:val="center"/>
          </w:tcPr>
          <w:p w:rsidR="008A7D84" w:rsidRPr="00950AE5" w:rsidRDefault="008A7D84" w:rsidP="00950AE5">
            <w:pPr>
              <w:spacing w:before="0" w:after="0"/>
              <w:rPr>
                <w:rFonts w:ascii="Arial" w:hAnsi="Arial" w:cs="Arial"/>
                <w:b/>
                <w:sz w:val="20"/>
              </w:rPr>
            </w:pPr>
            <w:r w:rsidRPr="00950AE5">
              <w:rPr>
                <w:rFonts w:ascii="Arial" w:hAnsi="Arial" w:cs="Arial"/>
                <w:b/>
                <w:sz w:val="20"/>
              </w:rPr>
              <w:t>1</w:t>
            </w:r>
          </w:p>
        </w:tc>
        <w:tc>
          <w:tcPr>
            <w:tcW w:w="383" w:type="pct"/>
            <w:tcBorders>
              <w:top w:val="single" w:sz="12" w:space="0" w:color="000000"/>
              <w:left w:val="single" w:sz="12" w:space="0" w:color="auto"/>
            </w:tcBorders>
            <w:vAlign w:val="center"/>
          </w:tcPr>
          <w:p w:rsidR="008A7D84" w:rsidRPr="00950AE5" w:rsidRDefault="008A7D84" w:rsidP="00950AE5">
            <w:pPr>
              <w:spacing w:before="0" w:after="0"/>
              <w:jc w:val="center"/>
              <w:rPr>
                <w:rFonts w:ascii="Arial" w:hAnsi="Arial" w:cs="Arial"/>
                <w:sz w:val="20"/>
              </w:rPr>
            </w:pPr>
            <w:r>
              <w:rPr>
                <w:rFonts w:ascii="Arial" w:hAnsi="Arial" w:cs="Arial"/>
                <w:sz w:val="20"/>
              </w:rPr>
              <w:t>X</w:t>
            </w:r>
          </w:p>
        </w:tc>
        <w:tc>
          <w:tcPr>
            <w:tcW w:w="383" w:type="pct"/>
            <w:tcBorders>
              <w:top w:val="single" w:sz="12" w:space="0" w:color="000000"/>
            </w:tcBorders>
            <w:vAlign w:val="center"/>
          </w:tcPr>
          <w:p w:rsidR="008A7D84" w:rsidRPr="00950AE5" w:rsidRDefault="008A7D84" w:rsidP="00950AE5">
            <w:pPr>
              <w:spacing w:before="0" w:after="0"/>
              <w:jc w:val="center"/>
              <w:rPr>
                <w:rFonts w:ascii="Arial" w:hAnsi="Arial" w:cs="Arial"/>
                <w:sz w:val="20"/>
              </w:rPr>
            </w:pPr>
            <w:r>
              <w:rPr>
                <w:rFonts w:ascii="Arial" w:hAnsi="Arial" w:cs="Arial"/>
                <w:sz w:val="20"/>
              </w:rPr>
              <w:t>X</w:t>
            </w:r>
          </w:p>
        </w:tc>
        <w:tc>
          <w:tcPr>
            <w:tcW w:w="383" w:type="pct"/>
            <w:tcBorders>
              <w:top w:val="single" w:sz="12" w:space="0" w:color="000000"/>
            </w:tcBorders>
            <w:vAlign w:val="center"/>
          </w:tcPr>
          <w:p w:rsidR="008A7D84" w:rsidRPr="00950AE5" w:rsidRDefault="008A7D84" w:rsidP="006B636D">
            <w:pPr>
              <w:spacing w:before="0" w:after="0"/>
              <w:jc w:val="center"/>
              <w:rPr>
                <w:rFonts w:ascii="Arial" w:hAnsi="Arial" w:cs="Arial"/>
                <w:sz w:val="20"/>
              </w:rPr>
            </w:pPr>
          </w:p>
        </w:tc>
        <w:tc>
          <w:tcPr>
            <w:tcW w:w="383" w:type="pct"/>
            <w:tcBorders>
              <w:top w:val="single" w:sz="12" w:space="0" w:color="000000"/>
              <w:right w:val="single" w:sz="4" w:space="0" w:color="auto"/>
            </w:tcBorders>
            <w:vAlign w:val="center"/>
          </w:tcPr>
          <w:p w:rsidR="008A7D84" w:rsidRPr="00950AE5" w:rsidRDefault="009F747F" w:rsidP="00950AE5">
            <w:pPr>
              <w:spacing w:before="0" w:after="0"/>
              <w:jc w:val="center"/>
              <w:rPr>
                <w:rFonts w:ascii="Arial" w:hAnsi="Arial" w:cs="Arial"/>
                <w:sz w:val="20"/>
              </w:rPr>
            </w:pPr>
            <w:r>
              <w:rPr>
                <w:rFonts w:ascii="Arial" w:hAnsi="Arial" w:cs="Arial"/>
                <w:sz w:val="20"/>
              </w:rPr>
              <w:t>X</w:t>
            </w:r>
          </w:p>
        </w:tc>
        <w:tc>
          <w:tcPr>
            <w:tcW w:w="381" w:type="pct"/>
            <w:tcBorders>
              <w:top w:val="single" w:sz="12" w:space="0" w:color="000000"/>
              <w:left w:val="single" w:sz="4" w:space="0" w:color="auto"/>
              <w:bottom w:val="single" w:sz="4" w:space="0" w:color="auto"/>
              <w:right w:val="single" w:sz="12" w:space="0" w:color="auto"/>
            </w:tcBorders>
            <w:vAlign w:val="center"/>
          </w:tcPr>
          <w:p w:rsidR="008A7D84" w:rsidRPr="00950AE5" w:rsidRDefault="008A7D84" w:rsidP="00950AE5">
            <w:pPr>
              <w:spacing w:before="0" w:after="0"/>
              <w:jc w:val="center"/>
              <w:rPr>
                <w:rFonts w:ascii="Arial" w:hAnsi="Arial" w:cs="Arial"/>
                <w:sz w:val="20"/>
              </w:rPr>
            </w:pPr>
            <w:r>
              <w:rPr>
                <w:rFonts w:ascii="Arial" w:hAnsi="Arial" w:cs="Arial"/>
                <w:sz w:val="20"/>
              </w:rPr>
              <w:t>X</w:t>
            </w:r>
          </w:p>
        </w:tc>
        <w:tc>
          <w:tcPr>
            <w:tcW w:w="405" w:type="pct"/>
            <w:tcBorders>
              <w:top w:val="single" w:sz="12" w:space="0" w:color="000000"/>
              <w:left w:val="single" w:sz="12" w:space="0" w:color="auto"/>
            </w:tcBorders>
            <w:shd w:val="clear" w:color="auto" w:fill="E0E0E0"/>
            <w:vAlign w:val="center"/>
          </w:tcPr>
          <w:p w:rsidR="008A7D84" w:rsidRPr="00950AE5" w:rsidRDefault="008A7D84" w:rsidP="00950AE5">
            <w:pPr>
              <w:spacing w:before="0" w:after="0"/>
              <w:jc w:val="center"/>
              <w:rPr>
                <w:rFonts w:ascii="Arial" w:hAnsi="Arial" w:cs="Arial"/>
                <w:sz w:val="20"/>
              </w:rPr>
            </w:pPr>
            <w:r>
              <w:rPr>
                <w:rFonts w:ascii="Arial" w:hAnsi="Arial" w:cs="Arial"/>
                <w:sz w:val="20"/>
              </w:rPr>
              <w:t>X</w:t>
            </w:r>
          </w:p>
        </w:tc>
        <w:tc>
          <w:tcPr>
            <w:tcW w:w="427" w:type="pct"/>
            <w:tcBorders>
              <w:top w:val="single" w:sz="12" w:space="0" w:color="000000"/>
              <w:left w:val="single" w:sz="4" w:space="0" w:color="auto"/>
            </w:tcBorders>
            <w:shd w:val="clear" w:color="auto" w:fill="E0E0E0"/>
            <w:vAlign w:val="center"/>
          </w:tcPr>
          <w:p w:rsidR="008A7D84" w:rsidRPr="00950AE5" w:rsidRDefault="00D777DC" w:rsidP="00950AE5">
            <w:pPr>
              <w:spacing w:before="0" w:after="0"/>
              <w:jc w:val="center"/>
              <w:rPr>
                <w:rFonts w:ascii="Arial" w:hAnsi="Arial" w:cs="Arial"/>
                <w:sz w:val="20"/>
              </w:rPr>
            </w:pPr>
            <w:r>
              <w:rPr>
                <w:rFonts w:ascii="Arial" w:hAnsi="Arial" w:cs="Arial"/>
                <w:sz w:val="20"/>
              </w:rPr>
              <w:t>X</w:t>
            </w:r>
          </w:p>
        </w:tc>
        <w:tc>
          <w:tcPr>
            <w:tcW w:w="383" w:type="pct"/>
            <w:tcBorders>
              <w:top w:val="single" w:sz="12" w:space="0" w:color="000000"/>
              <w:left w:val="single" w:sz="4" w:space="0" w:color="auto"/>
            </w:tcBorders>
            <w:shd w:val="clear" w:color="auto" w:fill="E0E0E0"/>
            <w:vAlign w:val="center"/>
          </w:tcPr>
          <w:p w:rsidR="008A7D84" w:rsidRPr="00950AE5" w:rsidRDefault="00D777DC" w:rsidP="00950AE5">
            <w:pPr>
              <w:spacing w:before="0" w:after="0"/>
              <w:jc w:val="center"/>
              <w:rPr>
                <w:rFonts w:ascii="Arial" w:hAnsi="Arial" w:cs="Arial"/>
                <w:sz w:val="20"/>
              </w:rPr>
            </w:pPr>
            <w:r>
              <w:rPr>
                <w:rFonts w:ascii="Arial" w:hAnsi="Arial" w:cs="Arial"/>
                <w:sz w:val="20"/>
              </w:rPr>
              <w:t>X</w:t>
            </w:r>
          </w:p>
        </w:tc>
        <w:tc>
          <w:tcPr>
            <w:tcW w:w="384" w:type="pct"/>
            <w:tcBorders>
              <w:top w:val="single" w:sz="12" w:space="0" w:color="000000"/>
              <w:left w:val="single" w:sz="4" w:space="0" w:color="auto"/>
            </w:tcBorders>
            <w:shd w:val="clear" w:color="auto" w:fill="E0E0E0"/>
            <w:vAlign w:val="center"/>
          </w:tcPr>
          <w:p w:rsidR="008A7D84" w:rsidRPr="00950AE5" w:rsidRDefault="00D777DC" w:rsidP="00950AE5">
            <w:pPr>
              <w:spacing w:before="0" w:after="0"/>
              <w:jc w:val="center"/>
              <w:rPr>
                <w:rFonts w:ascii="Arial" w:hAnsi="Arial" w:cs="Arial"/>
                <w:sz w:val="20"/>
              </w:rPr>
            </w:pPr>
            <w:r>
              <w:rPr>
                <w:rFonts w:ascii="Arial" w:hAnsi="Arial" w:cs="Arial"/>
                <w:sz w:val="20"/>
              </w:rPr>
              <w:t>X</w:t>
            </w:r>
          </w:p>
        </w:tc>
        <w:tc>
          <w:tcPr>
            <w:tcW w:w="384" w:type="pct"/>
            <w:tcBorders>
              <w:top w:val="single" w:sz="12" w:space="0" w:color="000000"/>
              <w:left w:val="single" w:sz="4" w:space="0" w:color="auto"/>
            </w:tcBorders>
            <w:shd w:val="clear" w:color="auto" w:fill="E0E0E0"/>
            <w:vAlign w:val="center"/>
          </w:tcPr>
          <w:p w:rsidR="008A7D84" w:rsidRPr="00950AE5" w:rsidRDefault="008A7D84" w:rsidP="00950AE5">
            <w:pPr>
              <w:spacing w:before="0" w:after="0"/>
              <w:jc w:val="center"/>
              <w:rPr>
                <w:rFonts w:ascii="Arial" w:hAnsi="Arial" w:cs="Arial"/>
                <w:sz w:val="20"/>
              </w:rPr>
            </w:pPr>
          </w:p>
        </w:tc>
        <w:tc>
          <w:tcPr>
            <w:tcW w:w="384" w:type="pct"/>
            <w:tcBorders>
              <w:top w:val="single" w:sz="12" w:space="0" w:color="000000"/>
              <w:left w:val="single" w:sz="4" w:space="0" w:color="auto"/>
            </w:tcBorders>
            <w:shd w:val="clear" w:color="auto" w:fill="E0E0E0"/>
            <w:vAlign w:val="center"/>
          </w:tcPr>
          <w:p w:rsidR="008A7D84" w:rsidRPr="00950AE5" w:rsidRDefault="00D777DC" w:rsidP="00950AE5">
            <w:pPr>
              <w:spacing w:before="0" w:after="0"/>
              <w:jc w:val="center"/>
              <w:rPr>
                <w:rFonts w:ascii="Arial" w:hAnsi="Arial" w:cs="Arial"/>
                <w:sz w:val="20"/>
              </w:rPr>
            </w:pPr>
            <w:r>
              <w:rPr>
                <w:rFonts w:ascii="Arial" w:hAnsi="Arial" w:cs="Arial"/>
                <w:sz w:val="20"/>
              </w:rPr>
              <w:t>X</w:t>
            </w:r>
          </w:p>
        </w:tc>
        <w:tc>
          <w:tcPr>
            <w:tcW w:w="386" w:type="pct"/>
            <w:tcBorders>
              <w:top w:val="single" w:sz="12" w:space="0" w:color="000000"/>
              <w:left w:val="single" w:sz="4" w:space="0" w:color="auto"/>
              <w:right w:val="single" w:sz="12" w:space="0" w:color="000000"/>
            </w:tcBorders>
            <w:shd w:val="clear" w:color="auto" w:fill="E0E0E0"/>
            <w:vAlign w:val="center"/>
          </w:tcPr>
          <w:p w:rsidR="008A7D84" w:rsidRPr="00950AE5" w:rsidRDefault="008A7D84" w:rsidP="00950AE5">
            <w:pPr>
              <w:spacing w:before="0" w:after="0"/>
              <w:jc w:val="center"/>
              <w:rPr>
                <w:rFonts w:ascii="Arial" w:hAnsi="Arial" w:cs="Arial"/>
                <w:sz w:val="20"/>
              </w:rPr>
            </w:pPr>
          </w:p>
        </w:tc>
      </w:tr>
      <w:tr w:rsidR="008A7D84" w:rsidRPr="00950AE5" w:rsidTr="008A7D84">
        <w:trPr>
          <w:jc w:val="center"/>
        </w:trPr>
        <w:tc>
          <w:tcPr>
            <w:tcW w:w="335" w:type="pct"/>
            <w:tcBorders>
              <w:top w:val="single" w:sz="12" w:space="0" w:color="000000"/>
              <w:left w:val="single" w:sz="12" w:space="0" w:color="000000"/>
              <w:right w:val="single" w:sz="4" w:space="0" w:color="auto"/>
            </w:tcBorders>
            <w:shd w:val="clear" w:color="auto" w:fill="F2F2F2" w:themeFill="background1" w:themeFillShade="F2"/>
            <w:vAlign w:val="center"/>
          </w:tcPr>
          <w:p w:rsidR="008A7D84" w:rsidRPr="00950AE5" w:rsidRDefault="008A7D84" w:rsidP="00950AE5">
            <w:pPr>
              <w:spacing w:before="0" w:after="0"/>
              <w:jc w:val="left"/>
              <w:rPr>
                <w:rFonts w:ascii="Arial" w:hAnsi="Arial" w:cs="Arial"/>
                <w:sz w:val="20"/>
              </w:rPr>
            </w:pPr>
            <w:r w:rsidRPr="00950AE5">
              <w:rPr>
                <w:rFonts w:ascii="Arial" w:hAnsi="Arial" w:cs="Arial"/>
                <w:sz w:val="20"/>
              </w:rPr>
              <w:t>2</w:t>
            </w:r>
          </w:p>
        </w:tc>
        <w:tc>
          <w:tcPr>
            <w:tcW w:w="383" w:type="pct"/>
            <w:tcBorders>
              <w:top w:val="single" w:sz="12" w:space="0" w:color="000000"/>
              <w:left w:val="single" w:sz="12" w:space="0" w:color="auto"/>
            </w:tcBorders>
            <w:vAlign w:val="center"/>
          </w:tcPr>
          <w:p w:rsidR="008A7D84" w:rsidRPr="00950AE5" w:rsidRDefault="008A7D84" w:rsidP="00950AE5">
            <w:pPr>
              <w:spacing w:before="0" w:after="0"/>
              <w:jc w:val="center"/>
              <w:rPr>
                <w:rFonts w:ascii="Arial" w:hAnsi="Arial" w:cs="Arial"/>
                <w:sz w:val="20"/>
              </w:rPr>
            </w:pPr>
            <w:r>
              <w:rPr>
                <w:rFonts w:ascii="Arial" w:hAnsi="Arial" w:cs="Arial"/>
                <w:sz w:val="20"/>
              </w:rPr>
              <w:t>X</w:t>
            </w:r>
          </w:p>
        </w:tc>
        <w:tc>
          <w:tcPr>
            <w:tcW w:w="383" w:type="pct"/>
            <w:tcBorders>
              <w:top w:val="single" w:sz="12" w:space="0" w:color="000000"/>
            </w:tcBorders>
            <w:vAlign w:val="center"/>
          </w:tcPr>
          <w:p w:rsidR="008A7D84" w:rsidRPr="00950AE5" w:rsidRDefault="008A7D84" w:rsidP="00950AE5">
            <w:pPr>
              <w:spacing w:before="0" w:after="0"/>
              <w:jc w:val="center"/>
              <w:rPr>
                <w:rFonts w:ascii="Arial" w:hAnsi="Arial" w:cs="Arial"/>
                <w:sz w:val="20"/>
              </w:rPr>
            </w:pPr>
            <w:r>
              <w:rPr>
                <w:rFonts w:ascii="Arial" w:hAnsi="Arial" w:cs="Arial"/>
                <w:sz w:val="20"/>
              </w:rPr>
              <w:t>X</w:t>
            </w:r>
          </w:p>
        </w:tc>
        <w:tc>
          <w:tcPr>
            <w:tcW w:w="383" w:type="pct"/>
            <w:tcBorders>
              <w:top w:val="single" w:sz="12" w:space="0" w:color="000000"/>
            </w:tcBorders>
            <w:vAlign w:val="center"/>
          </w:tcPr>
          <w:p w:rsidR="008A7D84" w:rsidRPr="00950AE5" w:rsidRDefault="008A7D84" w:rsidP="006B636D">
            <w:pPr>
              <w:spacing w:before="0" w:after="0"/>
              <w:jc w:val="center"/>
              <w:rPr>
                <w:rFonts w:ascii="Arial" w:hAnsi="Arial" w:cs="Arial"/>
                <w:sz w:val="20"/>
              </w:rPr>
            </w:pPr>
          </w:p>
        </w:tc>
        <w:tc>
          <w:tcPr>
            <w:tcW w:w="383" w:type="pct"/>
            <w:tcBorders>
              <w:top w:val="single" w:sz="12" w:space="0" w:color="000000"/>
              <w:right w:val="single" w:sz="4" w:space="0" w:color="auto"/>
            </w:tcBorders>
            <w:vAlign w:val="center"/>
          </w:tcPr>
          <w:p w:rsidR="008A7D84" w:rsidRPr="00950AE5" w:rsidRDefault="009F747F" w:rsidP="00950AE5">
            <w:pPr>
              <w:spacing w:before="0" w:after="0"/>
              <w:jc w:val="center"/>
              <w:rPr>
                <w:rFonts w:ascii="Arial" w:hAnsi="Arial" w:cs="Arial"/>
                <w:sz w:val="20"/>
              </w:rPr>
            </w:pPr>
            <w:r>
              <w:rPr>
                <w:rFonts w:ascii="Arial" w:hAnsi="Arial" w:cs="Arial"/>
                <w:sz w:val="20"/>
              </w:rPr>
              <w:t>X</w:t>
            </w:r>
          </w:p>
        </w:tc>
        <w:tc>
          <w:tcPr>
            <w:tcW w:w="381" w:type="pct"/>
            <w:tcBorders>
              <w:top w:val="single" w:sz="12" w:space="0" w:color="000000"/>
              <w:left w:val="single" w:sz="4" w:space="0" w:color="auto"/>
              <w:bottom w:val="single" w:sz="4" w:space="0" w:color="auto"/>
              <w:right w:val="single" w:sz="12" w:space="0" w:color="auto"/>
            </w:tcBorders>
            <w:vAlign w:val="center"/>
          </w:tcPr>
          <w:p w:rsidR="008A7D84" w:rsidRPr="00950AE5" w:rsidRDefault="008A7D84" w:rsidP="00950AE5">
            <w:pPr>
              <w:spacing w:before="0" w:after="0"/>
              <w:jc w:val="center"/>
              <w:rPr>
                <w:rFonts w:ascii="Arial" w:hAnsi="Arial" w:cs="Arial"/>
                <w:sz w:val="20"/>
              </w:rPr>
            </w:pPr>
            <w:r>
              <w:rPr>
                <w:rFonts w:ascii="Arial" w:hAnsi="Arial" w:cs="Arial"/>
                <w:sz w:val="20"/>
              </w:rPr>
              <w:t>X</w:t>
            </w:r>
          </w:p>
        </w:tc>
        <w:tc>
          <w:tcPr>
            <w:tcW w:w="405" w:type="pct"/>
            <w:tcBorders>
              <w:top w:val="single" w:sz="12" w:space="0" w:color="000000"/>
              <w:left w:val="single" w:sz="12" w:space="0" w:color="auto"/>
            </w:tcBorders>
            <w:shd w:val="clear" w:color="auto" w:fill="E0E0E0"/>
            <w:vAlign w:val="center"/>
          </w:tcPr>
          <w:p w:rsidR="008A7D84" w:rsidRPr="00950AE5" w:rsidRDefault="008A7D84" w:rsidP="00950AE5">
            <w:pPr>
              <w:spacing w:before="0" w:after="0"/>
              <w:jc w:val="center"/>
              <w:rPr>
                <w:rFonts w:ascii="Arial" w:hAnsi="Arial" w:cs="Arial"/>
                <w:sz w:val="20"/>
              </w:rPr>
            </w:pPr>
          </w:p>
        </w:tc>
        <w:tc>
          <w:tcPr>
            <w:tcW w:w="427" w:type="pct"/>
            <w:tcBorders>
              <w:top w:val="single" w:sz="12" w:space="0" w:color="000000"/>
              <w:left w:val="single" w:sz="4" w:space="0" w:color="auto"/>
            </w:tcBorders>
            <w:shd w:val="clear" w:color="auto" w:fill="E0E0E0"/>
            <w:vAlign w:val="center"/>
          </w:tcPr>
          <w:p w:rsidR="008A7D84" w:rsidRPr="00950AE5" w:rsidRDefault="00D777DC" w:rsidP="00950AE5">
            <w:pPr>
              <w:spacing w:before="0" w:after="0"/>
              <w:jc w:val="center"/>
              <w:rPr>
                <w:rFonts w:ascii="Arial" w:hAnsi="Arial" w:cs="Arial"/>
                <w:sz w:val="20"/>
              </w:rPr>
            </w:pPr>
            <w:r>
              <w:rPr>
                <w:rFonts w:ascii="Arial" w:hAnsi="Arial" w:cs="Arial"/>
                <w:sz w:val="20"/>
              </w:rPr>
              <w:t>X</w:t>
            </w:r>
          </w:p>
        </w:tc>
        <w:tc>
          <w:tcPr>
            <w:tcW w:w="383" w:type="pct"/>
            <w:tcBorders>
              <w:top w:val="single" w:sz="12" w:space="0" w:color="000000"/>
              <w:left w:val="single" w:sz="4" w:space="0" w:color="auto"/>
            </w:tcBorders>
            <w:shd w:val="clear" w:color="auto" w:fill="E0E0E0"/>
            <w:vAlign w:val="center"/>
          </w:tcPr>
          <w:p w:rsidR="008A7D84" w:rsidRPr="00950AE5" w:rsidRDefault="008A7D84" w:rsidP="00950AE5">
            <w:pPr>
              <w:spacing w:before="0" w:after="0"/>
              <w:jc w:val="center"/>
              <w:rPr>
                <w:rFonts w:ascii="Arial" w:hAnsi="Arial" w:cs="Arial"/>
                <w:sz w:val="20"/>
              </w:rPr>
            </w:pPr>
          </w:p>
        </w:tc>
        <w:tc>
          <w:tcPr>
            <w:tcW w:w="384" w:type="pct"/>
            <w:tcBorders>
              <w:top w:val="single" w:sz="12" w:space="0" w:color="000000"/>
              <w:left w:val="single" w:sz="4" w:space="0" w:color="auto"/>
            </w:tcBorders>
            <w:shd w:val="clear" w:color="auto" w:fill="E0E0E0"/>
            <w:vAlign w:val="center"/>
          </w:tcPr>
          <w:p w:rsidR="008A7D84" w:rsidRPr="00950AE5" w:rsidRDefault="008A7D84" w:rsidP="00950AE5">
            <w:pPr>
              <w:spacing w:before="0" w:after="0"/>
              <w:jc w:val="center"/>
              <w:rPr>
                <w:rFonts w:ascii="Arial" w:hAnsi="Arial" w:cs="Arial"/>
                <w:sz w:val="20"/>
              </w:rPr>
            </w:pPr>
          </w:p>
        </w:tc>
        <w:tc>
          <w:tcPr>
            <w:tcW w:w="384" w:type="pct"/>
            <w:tcBorders>
              <w:top w:val="single" w:sz="12" w:space="0" w:color="000000"/>
              <w:left w:val="single" w:sz="4" w:space="0" w:color="auto"/>
            </w:tcBorders>
            <w:shd w:val="clear" w:color="auto" w:fill="E0E0E0"/>
            <w:vAlign w:val="center"/>
          </w:tcPr>
          <w:p w:rsidR="008A7D84" w:rsidRPr="00950AE5" w:rsidRDefault="008A7D84" w:rsidP="00950AE5">
            <w:pPr>
              <w:spacing w:before="0" w:after="0"/>
              <w:jc w:val="center"/>
              <w:rPr>
                <w:rFonts w:ascii="Arial" w:hAnsi="Arial" w:cs="Arial"/>
                <w:sz w:val="20"/>
              </w:rPr>
            </w:pPr>
          </w:p>
        </w:tc>
        <w:tc>
          <w:tcPr>
            <w:tcW w:w="384" w:type="pct"/>
            <w:tcBorders>
              <w:top w:val="single" w:sz="12" w:space="0" w:color="000000"/>
              <w:left w:val="single" w:sz="4" w:space="0" w:color="auto"/>
            </w:tcBorders>
            <w:shd w:val="clear" w:color="auto" w:fill="E0E0E0"/>
            <w:vAlign w:val="center"/>
          </w:tcPr>
          <w:p w:rsidR="008A7D84" w:rsidRPr="00950AE5" w:rsidRDefault="00D777DC" w:rsidP="00950AE5">
            <w:pPr>
              <w:spacing w:before="0" w:after="0"/>
              <w:jc w:val="center"/>
              <w:rPr>
                <w:rFonts w:ascii="Arial" w:hAnsi="Arial" w:cs="Arial"/>
                <w:sz w:val="20"/>
              </w:rPr>
            </w:pPr>
            <w:r>
              <w:rPr>
                <w:rFonts w:ascii="Arial" w:hAnsi="Arial" w:cs="Arial"/>
                <w:sz w:val="20"/>
              </w:rPr>
              <w:t>X</w:t>
            </w:r>
          </w:p>
        </w:tc>
        <w:tc>
          <w:tcPr>
            <w:tcW w:w="386" w:type="pct"/>
            <w:tcBorders>
              <w:top w:val="single" w:sz="12" w:space="0" w:color="000000"/>
              <w:left w:val="single" w:sz="4" w:space="0" w:color="auto"/>
              <w:right w:val="single" w:sz="12" w:space="0" w:color="000000"/>
            </w:tcBorders>
            <w:shd w:val="clear" w:color="auto" w:fill="E0E0E0"/>
            <w:vAlign w:val="center"/>
          </w:tcPr>
          <w:p w:rsidR="008A7D84" w:rsidRPr="00950AE5" w:rsidRDefault="008A7D84" w:rsidP="00950AE5">
            <w:pPr>
              <w:spacing w:before="0" w:after="0"/>
              <w:jc w:val="center"/>
              <w:rPr>
                <w:rFonts w:ascii="Arial" w:hAnsi="Arial" w:cs="Arial"/>
                <w:sz w:val="20"/>
              </w:rPr>
            </w:pPr>
          </w:p>
        </w:tc>
      </w:tr>
      <w:tr w:rsidR="008A7D84" w:rsidRPr="00950AE5" w:rsidTr="008A7D84">
        <w:trPr>
          <w:jc w:val="center"/>
        </w:trPr>
        <w:tc>
          <w:tcPr>
            <w:tcW w:w="335" w:type="pct"/>
            <w:tcBorders>
              <w:top w:val="single" w:sz="12" w:space="0" w:color="auto"/>
              <w:left w:val="single" w:sz="12" w:space="0" w:color="000000"/>
              <w:right w:val="single" w:sz="4" w:space="0" w:color="auto"/>
            </w:tcBorders>
            <w:shd w:val="clear" w:color="auto" w:fill="F2F2F2" w:themeFill="background1" w:themeFillShade="F2"/>
            <w:vAlign w:val="center"/>
          </w:tcPr>
          <w:p w:rsidR="008A7D84" w:rsidRPr="00950AE5" w:rsidRDefault="008A7D84" w:rsidP="00950AE5">
            <w:pPr>
              <w:spacing w:before="0" w:after="0"/>
              <w:rPr>
                <w:rFonts w:ascii="Arial" w:hAnsi="Arial" w:cs="Arial"/>
                <w:b/>
                <w:sz w:val="20"/>
              </w:rPr>
            </w:pPr>
            <w:r w:rsidRPr="00950AE5">
              <w:rPr>
                <w:rFonts w:ascii="Arial" w:hAnsi="Arial" w:cs="Arial"/>
                <w:b/>
                <w:sz w:val="20"/>
              </w:rPr>
              <w:t>3</w:t>
            </w:r>
          </w:p>
        </w:tc>
        <w:tc>
          <w:tcPr>
            <w:tcW w:w="383" w:type="pct"/>
            <w:tcBorders>
              <w:top w:val="single" w:sz="12" w:space="0" w:color="000000"/>
              <w:left w:val="single" w:sz="12" w:space="0" w:color="auto"/>
            </w:tcBorders>
            <w:vAlign w:val="center"/>
          </w:tcPr>
          <w:p w:rsidR="008A7D84" w:rsidRPr="00950AE5" w:rsidRDefault="008A7D84" w:rsidP="00950AE5">
            <w:pPr>
              <w:spacing w:before="0" w:after="0"/>
              <w:jc w:val="center"/>
              <w:rPr>
                <w:rFonts w:ascii="Arial" w:hAnsi="Arial" w:cs="Arial"/>
                <w:sz w:val="20"/>
              </w:rPr>
            </w:pPr>
            <w:r>
              <w:rPr>
                <w:rFonts w:ascii="Arial" w:hAnsi="Arial" w:cs="Arial"/>
                <w:sz w:val="20"/>
              </w:rPr>
              <w:t>X</w:t>
            </w:r>
          </w:p>
        </w:tc>
        <w:tc>
          <w:tcPr>
            <w:tcW w:w="383" w:type="pct"/>
            <w:tcBorders>
              <w:top w:val="single" w:sz="12" w:space="0" w:color="000000"/>
            </w:tcBorders>
            <w:vAlign w:val="center"/>
          </w:tcPr>
          <w:p w:rsidR="008A7D84" w:rsidRPr="00950AE5" w:rsidRDefault="008A7D84" w:rsidP="00950AE5">
            <w:pPr>
              <w:spacing w:before="0" w:after="0"/>
              <w:jc w:val="center"/>
              <w:rPr>
                <w:rFonts w:ascii="Arial" w:hAnsi="Arial" w:cs="Arial"/>
                <w:sz w:val="20"/>
              </w:rPr>
            </w:pPr>
          </w:p>
        </w:tc>
        <w:tc>
          <w:tcPr>
            <w:tcW w:w="383" w:type="pct"/>
            <w:tcBorders>
              <w:top w:val="single" w:sz="12" w:space="0" w:color="000000"/>
            </w:tcBorders>
            <w:vAlign w:val="center"/>
          </w:tcPr>
          <w:p w:rsidR="008A7D84" w:rsidRPr="00950AE5" w:rsidRDefault="008A7D84" w:rsidP="006B636D">
            <w:pPr>
              <w:spacing w:before="0" w:after="0"/>
              <w:jc w:val="center"/>
              <w:rPr>
                <w:rFonts w:ascii="Arial" w:hAnsi="Arial" w:cs="Arial"/>
                <w:sz w:val="20"/>
              </w:rPr>
            </w:pPr>
          </w:p>
        </w:tc>
        <w:tc>
          <w:tcPr>
            <w:tcW w:w="383" w:type="pct"/>
            <w:tcBorders>
              <w:top w:val="single" w:sz="12" w:space="0" w:color="000000"/>
              <w:right w:val="single" w:sz="4" w:space="0" w:color="auto"/>
            </w:tcBorders>
            <w:vAlign w:val="center"/>
          </w:tcPr>
          <w:p w:rsidR="008A7D84" w:rsidRPr="00950AE5" w:rsidRDefault="009F747F" w:rsidP="00950AE5">
            <w:pPr>
              <w:spacing w:before="0" w:after="0"/>
              <w:jc w:val="center"/>
              <w:rPr>
                <w:rFonts w:ascii="Arial" w:hAnsi="Arial" w:cs="Arial"/>
                <w:sz w:val="20"/>
              </w:rPr>
            </w:pPr>
            <w:r>
              <w:rPr>
                <w:rFonts w:ascii="Arial" w:hAnsi="Arial" w:cs="Arial"/>
                <w:sz w:val="20"/>
              </w:rPr>
              <w:t>X</w:t>
            </w:r>
          </w:p>
        </w:tc>
        <w:tc>
          <w:tcPr>
            <w:tcW w:w="381" w:type="pct"/>
            <w:tcBorders>
              <w:top w:val="single" w:sz="12" w:space="0" w:color="000000"/>
              <w:left w:val="single" w:sz="4" w:space="0" w:color="auto"/>
              <w:bottom w:val="single" w:sz="4" w:space="0" w:color="auto"/>
              <w:right w:val="single" w:sz="12" w:space="0" w:color="auto"/>
            </w:tcBorders>
            <w:vAlign w:val="center"/>
          </w:tcPr>
          <w:p w:rsidR="008A7D84" w:rsidRPr="00950AE5" w:rsidRDefault="008A7D84" w:rsidP="00950AE5">
            <w:pPr>
              <w:spacing w:before="0" w:after="0"/>
              <w:jc w:val="center"/>
              <w:rPr>
                <w:rFonts w:ascii="Arial" w:hAnsi="Arial" w:cs="Arial"/>
                <w:sz w:val="20"/>
              </w:rPr>
            </w:pPr>
            <w:r>
              <w:rPr>
                <w:rFonts w:ascii="Arial" w:hAnsi="Arial" w:cs="Arial"/>
                <w:sz w:val="20"/>
              </w:rPr>
              <w:t>X</w:t>
            </w:r>
          </w:p>
        </w:tc>
        <w:tc>
          <w:tcPr>
            <w:tcW w:w="405" w:type="pct"/>
            <w:tcBorders>
              <w:top w:val="single" w:sz="12" w:space="0" w:color="000000"/>
              <w:left w:val="single" w:sz="12" w:space="0" w:color="auto"/>
            </w:tcBorders>
            <w:shd w:val="clear" w:color="auto" w:fill="E0E0E0"/>
            <w:vAlign w:val="center"/>
          </w:tcPr>
          <w:p w:rsidR="008A7D84" w:rsidRPr="00950AE5" w:rsidRDefault="008A7D84" w:rsidP="00950AE5">
            <w:pPr>
              <w:spacing w:before="0" w:after="0"/>
              <w:jc w:val="center"/>
              <w:rPr>
                <w:rFonts w:ascii="Arial" w:hAnsi="Arial" w:cs="Arial"/>
                <w:sz w:val="20"/>
              </w:rPr>
            </w:pPr>
          </w:p>
        </w:tc>
        <w:tc>
          <w:tcPr>
            <w:tcW w:w="427" w:type="pct"/>
            <w:tcBorders>
              <w:top w:val="single" w:sz="12" w:space="0" w:color="000000"/>
              <w:left w:val="single" w:sz="4" w:space="0" w:color="auto"/>
            </w:tcBorders>
            <w:shd w:val="clear" w:color="auto" w:fill="E0E0E0"/>
            <w:vAlign w:val="center"/>
          </w:tcPr>
          <w:p w:rsidR="008A7D84" w:rsidRPr="00950AE5" w:rsidRDefault="008A7D84" w:rsidP="00950AE5">
            <w:pPr>
              <w:spacing w:before="0" w:after="0"/>
              <w:jc w:val="center"/>
              <w:rPr>
                <w:rFonts w:ascii="Arial" w:hAnsi="Arial" w:cs="Arial"/>
                <w:sz w:val="20"/>
              </w:rPr>
            </w:pPr>
          </w:p>
        </w:tc>
        <w:tc>
          <w:tcPr>
            <w:tcW w:w="383" w:type="pct"/>
            <w:tcBorders>
              <w:top w:val="single" w:sz="12" w:space="0" w:color="000000"/>
              <w:left w:val="single" w:sz="4" w:space="0" w:color="auto"/>
            </w:tcBorders>
            <w:shd w:val="clear" w:color="auto" w:fill="E0E0E0"/>
            <w:vAlign w:val="center"/>
          </w:tcPr>
          <w:p w:rsidR="008A7D84" w:rsidRPr="00950AE5" w:rsidRDefault="009F747F" w:rsidP="00950AE5">
            <w:pPr>
              <w:spacing w:before="0" w:after="0"/>
              <w:jc w:val="center"/>
              <w:rPr>
                <w:rFonts w:ascii="Arial" w:hAnsi="Arial" w:cs="Arial"/>
                <w:sz w:val="20"/>
              </w:rPr>
            </w:pPr>
            <w:r>
              <w:rPr>
                <w:rFonts w:ascii="Arial" w:hAnsi="Arial" w:cs="Arial"/>
                <w:sz w:val="20"/>
              </w:rPr>
              <w:t>X</w:t>
            </w:r>
          </w:p>
        </w:tc>
        <w:tc>
          <w:tcPr>
            <w:tcW w:w="384" w:type="pct"/>
            <w:tcBorders>
              <w:top w:val="single" w:sz="12" w:space="0" w:color="000000"/>
              <w:left w:val="single" w:sz="4" w:space="0" w:color="auto"/>
            </w:tcBorders>
            <w:shd w:val="clear" w:color="auto" w:fill="E0E0E0"/>
            <w:vAlign w:val="center"/>
          </w:tcPr>
          <w:p w:rsidR="008A7D84" w:rsidRPr="00950AE5" w:rsidRDefault="009F747F" w:rsidP="00950AE5">
            <w:pPr>
              <w:spacing w:before="0" w:after="0"/>
              <w:jc w:val="center"/>
              <w:rPr>
                <w:rFonts w:ascii="Arial" w:hAnsi="Arial" w:cs="Arial"/>
                <w:sz w:val="20"/>
              </w:rPr>
            </w:pPr>
            <w:r>
              <w:rPr>
                <w:rFonts w:ascii="Arial" w:hAnsi="Arial" w:cs="Arial"/>
                <w:sz w:val="20"/>
              </w:rPr>
              <w:t>X</w:t>
            </w:r>
          </w:p>
        </w:tc>
        <w:tc>
          <w:tcPr>
            <w:tcW w:w="384" w:type="pct"/>
            <w:tcBorders>
              <w:top w:val="single" w:sz="12" w:space="0" w:color="000000"/>
              <w:left w:val="single" w:sz="4" w:space="0" w:color="auto"/>
            </w:tcBorders>
            <w:shd w:val="clear" w:color="auto" w:fill="E0E0E0"/>
            <w:vAlign w:val="center"/>
          </w:tcPr>
          <w:p w:rsidR="008A7D84" w:rsidRPr="00950AE5" w:rsidRDefault="009F747F" w:rsidP="00950AE5">
            <w:pPr>
              <w:spacing w:before="0" w:after="0"/>
              <w:jc w:val="center"/>
              <w:rPr>
                <w:rFonts w:ascii="Arial" w:hAnsi="Arial" w:cs="Arial"/>
                <w:sz w:val="20"/>
              </w:rPr>
            </w:pPr>
            <w:r>
              <w:rPr>
                <w:rFonts w:ascii="Arial" w:hAnsi="Arial" w:cs="Arial"/>
                <w:sz w:val="20"/>
              </w:rPr>
              <w:t>X</w:t>
            </w:r>
          </w:p>
        </w:tc>
        <w:tc>
          <w:tcPr>
            <w:tcW w:w="384" w:type="pct"/>
            <w:tcBorders>
              <w:top w:val="single" w:sz="12" w:space="0" w:color="000000"/>
              <w:left w:val="single" w:sz="4" w:space="0" w:color="auto"/>
            </w:tcBorders>
            <w:shd w:val="clear" w:color="auto" w:fill="E0E0E0"/>
            <w:vAlign w:val="center"/>
          </w:tcPr>
          <w:p w:rsidR="008A7D84" w:rsidRPr="00950AE5" w:rsidRDefault="008A7D84" w:rsidP="00950AE5">
            <w:pPr>
              <w:spacing w:before="0" w:after="0"/>
              <w:jc w:val="center"/>
              <w:rPr>
                <w:rFonts w:ascii="Arial" w:hAnsi="Arial" w:cs="Arial"/>
                <w:sz w:val="20"/>
              </w:rPr>
            </w:pPr>
          </w:p>
        </w:tc>
        <w:tc>
          <w:tcPr>
            <w:tcW w:w="386" w:type="pct"/>
            <w:tcBorders>
              <w:top w:val="single" w:sz="12" w:space="0" w:color="000000"/>
              <w:left w:val="single" w:sz="4" w:space="0" w:color="auto"/>
              <w:right w:val="single" w:sz="12" w:space="0" w:color="000000"/>
            </w:tcBorders>
            <w:shd w:val="clear" w:color="auto" w:fill="E0E0E0"/>
            <w:vAlign w:val="center"/>
          </w:tcPr>
          <w:p w:rsidR="008A7D84" w:rsidRPr="00950AE5" w:rsidRDefault="008A7D84" w:rsidP="00950AE5">
            <w:pPr>
              <w:spacing w:before="0" w:after="0"/>
              <w:jc w:val="center"/>
              <w:rPr>
                <w:rFonts w:ascii="Arial" w:hAnsi="Arial" w:cs="Arial"/>
                <w:sz w:val="20"/>
              </w:rPr>
            </w:pPr>
          </w:p>
        </w:tc>
      </w:tr>
      <w:tr w:rsidR="008A7D84" w:rsidRPr="00950AE5" w:rsidTr="008A7D84">
        <w:trPr>
          <w:jc w:val="center"/>
        </w:trPr>
        <w:tc>
          <w:tcPr>
            <w:tcW w:w="335" w:type="pct"/>
            <w:tcBorders>
              <w:top w:val="single" w:sz="12" w:space="0" w:color="auto"/>
              <w:left w:val="single" w:sz="12" w:space="0" w:color="000000"/>
              <w:right w:val="single" w:sz="4" w:space="0" w:color="auto"/>
            </w:tcBorders>
            <w:shd w:val="clear" w:color="auto" w:fill="F2F2F2" w:themeFill="background1" w:themeFillShade="F2"/>
            <w:vAlign w:val="center"/>
          </w:tcPr>
          <w:p w:rsidR="008A7D84" w:rsidRPr="00950AE5" w:rsidRDefault="008A7D84" w:rsidP="00950AE5">
            <w:pPr>
              <w:spacing w:before="0" w:after="0"/>
              <w:rPr>
                <w:rFonts w:ascii="Arial" w:hAnsi="Arial" w:cs="Arial"/>
                <w:b/>
                <w:sz w:val="20"/>
              </w:rPr>
            </w:pPr>
            <w:r w:rsidRPr="00950AE5">
              <w:rPr>
                <w:rFonts w:ascii="Arial" w:hAnsi="Arial" w:cs="Arial"/>
                <w:b/>
                <w:sz w:val="20"/>
              </w:rPr>
              <w:t>4</w:t>
            </w:r>
          </w:p>
        </w:tc>
        <w:tc>
          <w:tcPr>
            <w:tcW w:w="383" w:type="pct"/>
            <w:tcBorders>
              <w:top w:val="single" w:sz="12" w:space="0" w:color="000000"/>
              <w:left w:val="single" w:sz="12" w:space="0" w:color="auto"/>
            </w:tcBorders>
            <w:vAlign w:val="center"/>
          </w:tcPr>
          <w:p w:rsidR="008A7D84" w:rsidRPr="00950AE5" w:rsidRDefault="008A7D84" w:rsidP="00950AE5">
            <w:pPr>
              <w:spacing w:before="0" w:after="0"/>
              <w:jc w:val="center"/>
              <w:rPr>
                <w:rFonts w:ascii="Arial" w:hAnsi="Arial" w:cs="Arial"/>
                <w:sz w:val="20"/>
              </w:rPr>
            </w:pPr>
            <w:r>
              <w:rPr>
                <w:rFonts w:ascii="Arial" w:hAnsi="Arial" w:cs="Arial"/>
                <w:sz w:val="20"/>
              </w:rPr>
              <w:t>X</w:t>
            </w:r>
          </w:p>
        </w:tc>
        <w:tc>
          <w:tcPr>
            <w:tcW w:w="383" w:type="pct"/>
            <w:tcBorders>
              <w:top w:val="single" w:sz="12" w:space="0" w:color="000000"/>
            </w:tcBorders>
            <w:vAlign w:val="center"/>
          </w:tcPr>
          <w:p w:rsidR="008A7D84" w:rsidRPr="00950AE5" w:rsidRDefault="008A7D84" w:rsidP="00950AE5">
            <w:pPr>
              <w:spacing w:before="0" w:after="0"/>
              <w:jc w:val="center"/>
              <w:rPr>
                <w:rFonts w:ascii="Arial" w:hAnsi="Arial" w:cs="Arial"/>
                <w:sz w:val="20"/>
              </w:rPr>
            </w:pPr>
          </w:p>
        </w:tc>
        <w:tc>
          <w:tcPr>
            <w:tcW w:w="383" w:type="pct"/>
            <w:tcBorders>
              <w:top w:val="single" w:sz="12" w:space="0" w:color="000000"/>
            </w:tcBorders>
            <w:vAlign w:val="center"/>
          </w:tcPr>
          <w:p w:rsidR="008A7D84" w:rsidRPr="00950AE5" w:rsidRDefault="008A7D84" w:rsidP="006B636D">
            <w:pPr>
              <w:spacing w:before="0" w:after="0"/>
              <w:jc w:val="center"/>
              <w:rPr>
                <w:rFonts w:ascii="Arial" w:hAnsi="Arial" w:cs="Arial"/>
                <w:sz w:val="20"/>
              </w:rPr>
            </w:pPr>
          </w:p>
        </w:tc>
        <w:tc>
          <w:tcPr>
            <w:tcW w:w="383" w:type="pct"/>
            <w:tcBorders>
              <w:top w:val="single" w:sz="12" w:space="0" w:color="000000"/>
              <w:right w:val="single" w:sz="4" w:space="0" w:color="auto"/>
            </w:tcBorders>
            <w:vAlign w:val="center"/>
          </w:tcPr>
          <w:p w:rsidR="008A7D84" w:rsidRPr="00950AE5" w:rsidRDefault="009F747F" w:rsidP="00950AE5">
            <w:pPr>
              <w:spacing w:before="0" w:after="0"/>
              <w:jc w:val="center"/>
              <w:rPr>
                <w:rFonts w:ascii="Arial" w:hAnsi="Arial" w:cs="Arial"/>
                <w:sz w:val="20"/>
              </w:rPr>
            </w:pPr>
            <w:r>
              <w:rPr>
                <w:rFonts w:ascii="Arial" w:hAnsi="Arial" w:cs="Arial"/>
                <w:sz w:val="20"/>
              </w:rPr>
              <w:t>X</w:t>
            </w:r>
          </w:p>
        </w:tc>
        <w:tc>
          <w:tcPr>
            <w:tcW w:w="381" w:type="pct"/>
            <w:tcBorders>
              <w:top w:val="single" w:sz="12" w:space="0" w:color="000000"/>
              <w:left w:val="single" w:sz="4" w:space="0" w:color="auto"/>
              <w:bottom w:val="single" w:sz="4" w:space="0" w:color="auto"/>
              <w:right w:val="single" w:sz="12" w:space="0" w:color="auto"/>
            </w:tcBorders>
            <w:vAlign w:val="center"/>
          </w:tcPr>
          <w:p w:rsidR="008A7D84" w:rsidRPr="00950AE5" w:rsidRDefault="008A7D84" w:rsidP="00950AE5">
            <w:pPr>
              <w:spacing w:before="0" w:after="0"/>
              <w:jc w:val="center"/>
              <w:rPr>
                <w:rFonts w:ascii="Arial" w:hAnsi="Arial" w:cs="Arial"/>
                <w:sz w:val="20"/>
              </w:rPr>
            </w:pPr>
            <w:r>
              <w:rPr>
                <w:rFonts w:ascii="Arial" w:hAnsi="Arial" w:cs="Arial"/>
                <w:sz w:val="20"/>
              </w:rPr>
              <w:t>X</w:t>
            </w:r>
          </w:p>
        </w:tc>
        <w:tc>
          <w:tcPr>
            <w:tcW w:w="405" w:type="pct"/>
            <w:tcBorders>
              <w:top w:val="single" w:sz="12" w:space="0" w:color="000000"/>
              <w:left w:val="single" w:sz="12" w:space="0" w:color="auto"/>
            </w:tcBorders>
            <w:shd w:val="clear" w:color="auto" w:fill="E0E0E0"/>
            <w:vAlign w:val="center"/>
          </w:tcPr>
          <w:p w:rsidR="008A7D84" w:rsidRPr="00950AE5" w:rsidRDefault="009F747F" w:rsidP="00950AE5">
            <w:pPr>
              <w:spacing w:before="0" w:after="0"/>
              <w:jc w:val="center"/>
              <w:rPr>
                <w:rFonts w:ascii="Arial" w:hAnsi="Arial" w:cs="Arial"/>
                <w:sz w:val="20"/>
              </w:rPr>
            </w:pPr>
            <w:r>
              <w:rPr>
                <w:rFonts w:ascii="Arial" w:hAnsi="Arial" w:cs="Arial"/>
                <w:sz w:val="20"/>
              </w:rPr>
              <w:t>X</w:t>
            </w:r>
          </w:p>
        </w:tc>
        <w:tc>
          <w:tcPr>
            <w:tcW w:w="427" w:type="pct"/>
            <w:tcBorders>
              <w:top w:val="single" w:sz="12" w:space="0" w:color="000000"/>
              <w:left w:val="single" w:sz="4" w:space="0" w:color="auto"/>
            </w:tcBorders>
            <w:shd w:val="clear" w:color="auto" w:fill="E0E0E0"/>
            <w:vAlign w:val="center"/>
          </w:tcPr>
          <w:p w:rsidR="008A7D84" w:rsidRPr="00950AE5" w:rsidRDefault="008A7D84" w:rsidP="00950AE5">
            <w:pPr>
              <w:spacing w:before="0" w:after="0"/>
              <w:jc w:val="center"/>
              <w:rPr>
                <w:rFonts w:ascii="Arial" w:hAnsi="Arial" w:cs="Arial"/>
                <w:sz w:val="20"/>
              </w:rPr>
            </w:pPr>
          </w:p>
        </w:tc>
        <w:tc>
          <w:tcPr>
            <w:tcW w:w="383" w:type="pct"/>
            <w:tcBorders>
              <w:top w:val="single" w:sz="12" w:space="0" w:color="000000"/>
              <w:left w:val="single" w:sz="4" w:space="0" w:color="auto"/>
            </w:tcBorders>
            <w:shd w:val="clear" w:color="auto" w:fill="E0E0E0"/>
            <w:vAlign w:val="center"/>
          </w:tcPr>
          <w:p w:rsidR="008A7D84" w:rsidRPr="00950AE5" w:rsidRDefault="008A7D84" w:rsidP="00950AE5">
            <w:pPr>
              <w:spacing w:before="0" w:after="0"/>
              <w:jc w:val="center"/>
              <w:rPr>
                <w:rFonts w:ascii="Arial" w:hAnsi="Arial" w:cs="Arial"/>
                <w:sz w:val="20"/>
              </w:rPr>
            </w:pPr>
          </w:p>
        </w:tc>
        <w:tc>
          <w:tcPr>
            <w:tcW w:w="384" w:type="pct"/>
            <w:tcBorders>
              <w:top w:val="single" w:sz="12" w:space="0" w:color="000000"/>
              <w:left w:val="single" w:sz="4" w:space="0" w:color="auto"/>
            </w:tcBorders>
            <w:shd w:val="clear" w:color="auto" w:fill="E0E0E0"/>
            <w:vAlign w:val="center"/>
          </w:tcPr>
          <w:p w:rsidR="008A7D84" w:rsidRPr="00950AE5" w:rsidRDefault="008A7D84" w:rsidP="00950AE5">
            <w:pPr>
              <w:spacing w:before="0" w:after="0"/>
              <w:jc w:val="center"/>
              <w:rPr>
                <w:rFonts w:ascii="Arial" w:hAnsi="Arial" w:cs="Arial"/>
                <w:sz w:val="20"/>
              </w:rPr>
            </w:pPr>
          </w:p>
        </w:tc>
        <w:tc>
          <w:tcPr>
            <w:tcW w:w="384" w:type="pct"/>
            <w:tcBorders>
              <w:top w:val="single" w:sz="12" w:space="0" w:color="000000"/>
              <w:left w:val="single" w:sz="4" w:space="0" w:color="auto"/>
            </w:tcBorders>
            <w:shd w:val="clear" w:color="auto" w:fill="E0E0E0"/>
            <w:vAlign w:val="center"/>
          </w:tcPr>
          <w:p w:rsidR="008A7D84" w:rsidRPr="00950AE5" w:rsidRDefault="008A7D84" w:rsidP="00950AE5">
            <w:pPr>
              <w:spacing w:before="0" w:after="0"/>
              <w:jc w:val="center"/>
              <w:rPr>
                <w:rFonts w:ascii="Arial" w:hAnsi="Arial" w:cs="Arial"/>
                <w:sz w:val="20"/>
              </w:rPr>
            </w:pPr>
          </w:p>
        </w:tc>
        <w:tc>
          <w:tcPr>
            <w:tcW w:w="384" w:type="pct"/>
            <w:tcBorders>
              <w:top w:val="single" w:sz="12" w:space="0" w:color="000000"/>
              <w:left w:val="single" w:sz="4" w:space="0" w:color="auto"/>
            </w:tcBorders>
            <w:shd w:val="clear" w:color="auto" w:fill="E0E0E0"/>
            <w:vAlign w:val="center"/>
          </w:tcPr>
          <w:p w:rsidR="008A7D84" w:rsidRPr="00950AE5" w:rsidRDefault="009F747F" w:rsidP="00950AE5">
            <w:pPr>
              <w:spacing w:before="0" w:after="0"/>
              <w:jc w:val="center"/>
              <w:rPr>
                <w:rFonts w:ascii="Arial" w:hAnsi="Arial" w:cs="Arial"/>
                <w:sz w:val="20"/>
              </w:rPr>
            </w:pPr>
            <w:r>
              <w:rPr>
                <w:rFonts w:ascii="Arial" w:hAnsi="Arial" w:cs="Arial"/>
                <w:sz w:val="20"/>
              </w:rPr>
              <w:t>X</w:t>
            </w:r>
          </w:p>
        </w:tc>
        <w:tc>
          <w:tcPr>
            <w:tcW w:w="386" w:type="pct"/>
            <w:tcBorders>
              <w:top w:val="single" w:sz="12" w:space="0" w:color="000000"/>
              <w:left w:val="single" w:sz="4" w:space="0" w:color="auto"/>
              <w:right w:val="single" w:sz="12" w:space="0" w:color="000000"/>
            </w:tcBorders>
            <w:shd w:val="clear" w:color="auto" w:fill="E0E0E0"/>
            <w:vAlign w:val="center"/>
          </w:tcPr>
          <w:p w:rsidR="008A7D84" w:rsidRPr="00950AE5" w:rsidRDefault="009F747F" w:rsidP="00950AE5">
            <w:pPr>
              <w:spacing w:before="0" w:after="0"/>
              <w:jc w:val="center"/>
              <w:rPr>
                <w:rFonts w:ascii="Arial" w:hAnsi="Arial" w:cs="Arial"/>
                <w:sz w:val="20"/>
              </w:rPr>
            </w:pPr>
            <w:r>
              <w:rPr>
                <w:rFonts w:ascii="Arial" w:hAnsi="Arial" w:cs="Arial"/>
                <w:sz w:val="20"/>
              </w:rPr>
              <w:t>X</w:t>
            </w:r>
          </w:p>
        </w:tc>
      </w:tr>
      <w:tr w:rsidR="008A7D84" w:rsidRPr="00950AE5" w:rsidTr="008A7D84">
        <w:trPr>
          <w:jc w:val="center"/>
        </w:trPr>
        <w:tc>
          <w:tcPr>
            <w:tcW w:w="335" w:type="pct"/>
            <w:tcBorders>
              <w:top w:val="single" w:sz="12" w:space="0" w:color="000000"/>
              <w:left w:val="single" w:sz="12" w:space="0" w:color="000000"/>
              <w:right w:val="single" w:sz="4" w:space="0" w:color="auto"/>
            </w:tcBorders>
            <w:shd w:val="clear" w:color="auto" w:fill="F2F2F2" w:themeFill="background1" w:themeFillShade="F2"/>
            <w:vAlign w:val="center"/>
          </w:tcPr>
          <w:p w:rsidR="008A7D84" w:rsidRPr="00950AE5" w:rsidRDefault="008A7D84" w:rsidP="00950AE5">
            <w:pPr>
              <w:spacing w:before="0" w:after="0"/>
              <w:rPr>
                <w:rFonts w:ascii="Arial" w:hAnsi="Arial" w:cs="Arial"/>
                <w:b/>
                <w:sz w:val="20"/>
              </w:rPr>
            </w:pPr>
            <w:r w:rsidRPr="00950AE5">
              <w:rPr>
                <w:rFonts w:ascii="Arial" w:hAnsi="Arial" w:cs="Arial"/>
                <w:b/>
                <w:sz w:val="20"/>
              </w:rPr>
              <w:t>5</w:t>
            </w:r>
          </w:p>
        </w:tc>
        <w:tc>
          <w:tcPr>
            <w:tcW w:w="383" w:type="pct"/>
            <w:tcBorders>
              <w:top w:val="single" w:sz="12" w:space="0" w:color="000000"/>
              <w:left w:val="single" w:sz="12" w:space="0" w:color="auto"/>
            </w:tcBorders>
            <w:vAlign w:val="center"/>
          </w:tcPr>
          <w:p w:rsidR="008A7D84" w:rsidRPr="00950AE5" w:rsidRDefault="008A7D84" w:rsidP="00950AE5">
            <w:pPr>
              <w:spacing w:before="0" w:after="0"/>
              <w:jc w:val="center"/>
              <w:rPr>
                <w:rFonts w:ascii="Arial" w:hAnsi="Arial" w:cs="Arial"/>
                <w:sz w:val="20"/>
              </w:rPr>
            </w:pPr>
            <w:r>
              <w:rPr>
                <w:rFonts w:ascii="Arial" w:hAnsi="Arial" w:cs="Arial"/>
                <w:sz w:val="20"/>
              </w:rPr>
              <w:t>X</w:t>
            </w:r>
          </w:p>
        </w:tc>
        <w:tc>
          <w:tcPr>
            <w:tcW w:w="383" w:type="pct"/>
            <w:tcBorders>
              <w:top w:val="single" w:sz="12" w:space="0" w:color="000000"/>
            </w:tcBorders>
            <w:vAlign w:val="center"/>
          </w:tcPr>
          <w:p w:rsidR="008A7D84" w:rsidRPr="00950AE5" w:rsidRDefault="008A7D84" w:rsidP="00950AE5">
            <w:pPr>
              <w:spacing w:before="0" w:after="0"/>
              <w:jc w:val="center"/>
              <w:rPr>
                <w:rFonts w:ascii="Arial" w:hAnsi="Arial" w:cs="Arial"/>
                <w:sz w:val="20"/>
              </w:rPr>
            </w:pPr>
          </w:p>
        </w:tc>
        <w:tc>
          <w:tcPr>
            <w:tcW w:w="383" w:type="pct"/>
            <w:tcBorders>
              <w:top w:val="single" w:sz="12" w:space="0" w:color="000000"/>
            </w:tcBorders>
            <w:vAlign w:val="center"/>
          </w:tcPr>
          <w:p w:rsidR="008A7D84" w:rsidRPr="00950AE5" w:rsidRDefault="008A7D84" w:rsidP="006B636D">
            <w:pPr>
              <w:spacing w:before="0" w:after="0"/>
              <w:jc w:val="center"/>
              <w:rPr>
                <w:rFonts w:ascii="Arial" w:hAnsi="Arial" w:cs="Arial"/>
                <w:sz w:val="20"/>
              </w:rPr>
            </w:pPr>
          </w:p>
        </w:tc>
        <w:tc>
          <w:tcPr>
            <w:tcW w:w="383" w:type="pct"/>
            <w:tcBorders>
              <w:top w:val="single" w:sz="12" w:space="0" w:color="000000"/>
              <w:right w:val="single" w:sz="4" w:space="0" w:color="auto"/>
            </w:tcBorders>
            <w:vAlign w:val="center"/>
          </w:tcPr>
          <w:p w:rsidR="008A7D84" w:rsidRPr="00950AE5" w:rsidRDefault="009F747F" w:rsidP="00950AE5">
            <w:pPr>
              <w:spacing w:before="0" w:after="0"/>
              <w:jc w:val="center"/>
              <w:rPr>
                <w:rFonts w:ascii="Arial" w:hAnsi="Arial" w:cs="Arial"/>
                <w:sz w:val="20"/>
              </w:rPr>
            </w:pPr>
            <w:r>
              <w:rPr>
                <w:rFonts w:ascii="Arial" w:hAnsi="Arial" w:cs="Arial"/>
                <w:sz w:val="20"/>
              </w:rPr>
              <w:t>X</w:t>
            </w:r>
          </w:p>
        </w:tc>
        <w:tc>
          <w:tcPr>
            <w:tcW w:w="381" w:type="pct"/>
            <w:tcBorders>
              <w:top w:val="single" w:sz="12" w:space="0" w:color="000000"/>
              <w:left w:val="single" w:sz="4" w:space="0" w:color="auto"/>
              <w:bottom w:val="single" w:sz="4" w:space="0" w:color="auto"/>
              <w:right w:val="single" w:sz="12" w:space="0" w:color="auto"/>
            </w:tcBorders>
            <w:vAlign w:val="center"/>
          </w:tcPr>
          <w:p w:rsidR="008A7D84" w:rsidRPr="00950AE5" w:rsidRDefault="008A7D84" w:rsidP="00950AE5">
            <w:pPr>
              <w:spacing w:before="0" w:after="0"/>
              <w:jc w:val="center"/>
              <w:rPr>
                <w:rFonts w:ascii="Arial" w:hAnsi="Arial" w:cs="Arial"/>
                <w:sz w:val="20"/>
              </w:rPr>
            </w:pPr>
            <w:r>
              <w:rPr>
                <w:rFonts w:ascii="Arial" w:hAnsi="Arial" w:cs="Arial"/>
                <w:sz w:val="20"/>
              </w:rPr>
              <w:t>X</w:t>
            </w:r>
          </w:p>
        </w:tc>
        <w:tc>
          <w:tcPr>
            <w:tcW w:w="405" w:type="pct"/>
            <w:tcBorders>
              <w:top w:val="single" w:sz="12" w:space="0" w:color="000000"/>
              <w:left w:val="single" w:sz="12" w:space="0" w:color="auto"/>
            </w:tcBorders>
            <w:shd w:val="clear" w:color="auto" w:fill="E0E0E0"/>
            <w:vAlign w:val="center"/>
          </w:tcPr>
          <w:p w:rsidR="008A7D84" w:rsidRPr="00950AE5" w:rsidRDefault="008A7D84" w:rsidP="00950AE5">
            <w:pPr>
              <w:spacing w:before="0" w:after="0"/>
              <w:jc w:val="center"/>
              <w:rPr>
                <w:rFonts w:ascii="Arial" w:hAnsi="Arial" w:cs="Arial"/>
                <w:sz w:val="20"/>
              </w:rPr>
            </w:pPr>
          </w:p>
        </w:tc>
        <w:tc>
          <w:tcPr>
            <w:tcW w:w="427" w:type="pct"/>
            <w:tcBorders>
              <w:top w:val="single" w:sz="12" w:space="0" w:color="000000"/>
              <w:left w:val="single" w:sz="4" w:space="0" w:color="auto"/>
            </w:tcBorders>
            <w:shd w:val="clear" w:color="auto" w:fill="E0E0E0"/>
            <w:vAlign w:val="center"/>
          </w:tcPr>
          <w:p w:rsidR="008A7D84" w:rsidRPr="00950AE5" w:rsidRDefault="008A7D84" w:rsidP="00950AE5">
            <w:pPr>
              <w:spacing w:before="0" w:after="0"/>
              <w:jc w:val="center"/>
              <w:rPr>
                <w:rFonts w:ascii="Arial" w:hAnsi="Arial" w:cs="Arial"/>
                <w:sz w:val="20"/>
              </w:rPr>
            </w:pPr>
          </w:p>
        </w:tc>
        <w:tc>
          <w:tcPr>
            <w:tcW w:w="383" w:type="pct"/>
            <w:tcBorders>
              <w:top w:val="single" w:sz="12" w:space="0" w:color="000000"/>
              <w:left w:val="single" w:sz="4" w:space="0" w:color="auto"/>
            </w:tcBorders>
            <w:shd w:val="clear" w:color="auto" w:fill="E0E0E0"/>
            <w:vAlign w:val="center"/>
          </w:tcPr>
          <w:p w:rsidR="008A7D84" w:rsidRPr="00950AE5" w:rsidRDefault="008A7D84" w:rsidP="00950AE5">
            <w:pPr>
              <w:spacing w:before="0" w:after="0"/>
              <w:jc w:val="center"/>
              <w:rPr>
                <w:rFonts w:ascii="Arial" w:hAnsi="Arial" w:cs="Arial"/>
                <w:sz w:val="20"/>
              </w:rPr>
            </w:pPr>
          </w:p>
        </w:tc>
        <w:tc>
          <w:tcPr>
            <w:tcW w:w="384" w:type="pct"/>
            <w:tcBorders>
              <w:top w:val="single" w:sz="12" w:space="0" w:color="000000"/>
              <w:left w:val="single" w:sz="4" w:space="0" w:color="auto"/>
            </w:tcBorders>
            <w:shd w:val="clear" w:color="auto" w:fill="E0E0E0"/>
            <w:vAlign w:val="center"/>
          </w:tcPr>
          <w:p w:rsidR="008A7D84" w:rsidRPr="00950AE5" w:rsidRDefault="00D777DC" w:rsidP="00950AE5">
            <w:pPr>
              <w:spacing w:before="0" w:after="0"/>
              <w:jc w:val="center"/>
              <w:rPr>
                <w:rFonts w:ascii="Arial" w:hAnsi="Arial" w:cs="Arial"/>
                <w:sz w:val="20"/>
              </w:rPr>
            </w:pPr>
            <w:r>
              <w:rPr>
                <w:rFonts w:ascii="Arial" w:hAnsi="Arial" w:cs="Arial"/>
                <w:sz w:val="20"/>
              </w:rPr>
              <w:t>X</w:t>
            </w:r>
          </w:p>
        </w:tc>
        <w:tc>
          <w:tcPr>
            <w:tcW w:w="384" w:type="pct"/>
            <w:tcBorders>
              <w:top w:val="single" w:sz="12" w:space="0" w:color="000000"/>
              <w:left w:val="single" w:sz="4" w:space="0" w:color="auto"/>
            </w:tcBorders>
            <w:shd w:val="clear" w:color="auto" w:fill="E0E0E0"/>
            <w:vAlign w:val="center"/>
          </w:tcPr>
          <w:p w:rsidR="008A7D84" w:rsidRPr="00950AE5" w:rsidRDefault="00D777DC" w:rsidP="00950AE5">
            <w:pPr>
              <w:spacing w:before="0" w:after="0"/>
              <w:jc w:val="center"/>
              <w:rPr>
                <w:rFonts w:ascii="Arial" w:hAnsi="Arial" w:cs="Arial"/>
                <w:sz w:val="20"/>
              </w:rPr>
            </w:pPr>
            <w:r>
              <w:rPr>
                <w:rFonts w:ascii="Arial" w:hAnsi="Arial" w:cs="Arial"/>
                <w:sz w:val="20"/>
              </w:rPr>
              <w:t>X</w:t>
            </w:r>
          </w:p>
        </w:tc>
        <w:tc>
          <w:tcPr>
            <w:tcW w:w="384" w:type="pct"/>
            <w:tcBorders>
              <w:top w:val="single" w:sz="12" w:space="0" w:color="000000"/>
              <w:left w:val="single" w:sz="4" w:space="0" w:color="auto"/>
            </w:tcBorders>
            <w:shd w:val="clear" w:color="auto" w:fill="E0E0E0"/>
            <w:vAlign w:val="center"/>
          </w:tcPr>
          <w:p w:rsidR="008A7D84" w:rsidRPr="00950AE5" w:rsidRDefault="008A7D84" w:rsidP="00950AE5">
            <w:pPr>
              <w:spacing w:before="0" w:after="0"/>
              <w:jc w:val="center"/>
              <w:rPr>
                <w:rFonts w:ascii="Arial" w:hAnsi="Arial" w:cs="Arial"/>
                <w:sz w:val="20"/>
              </w:rPr>
            </w:pPr>
          </w:p>
        </w:tc>
        <w:tc>
          <w:tcPr>
            <w:tcW w:w="386" w:type="pct"/>
            <w:tcBorders>
              <w:top w:val="single" w:sz="12" w:space="0" w:color="000000"/>
              <w:left w:val="single" w:sz="4" w:space="0" w:color="auto"/>
              <w:right w:val="single" w:sz="12" w:space="0" w:color="000000"/>
            </w:tcBorders>
            <w:shd w:val="clear" w:color="auto" w:fill="E0E0E0"/>
            <w:vAlign w:val="center"/>
          </w:tcPr>
          <w:p w:rsidR="008A7D84" w:rsidRPr="00950AE5" w:rsidRDefault="008A7D84" w:rsidP="00950AE5">
            <w:pPr>
              <w:spacing w:before="0" w:after="0"/>
              <w:jc w:val="center"/>
              <w:rPr>
                <w:rFonts w:ascii="Arial" w:hAnsi="Arial" w:cs="Arial"/>
                <w:sz w:val="20"/>
              </w:rPr>
            </w:pPr>
          </w:p>
        </w:tc>
      </w:tr>
      <w:tr w:rsidR="008A7D84" w:rsidRPr="00950AE5" w:rsidTr="008A7D84">
        <w:trPr>
          <w:jc w:val="center"/>
        </w:trPr>
        <w:tc>
          <w:tcPr>
            <w:tcW w:w="335" w:type="pct"/>
            <w:tcBorders>
              <w:top w:val="single" w:sz="12" w:space="0" w:color="000000"/>
              <w:left w:val="single" w:sz="12" w:space="0" w:color="000000"/>
              <w:right w:val="single" w:sz="4" w:space="0" w:color="auto"/>
            </w:tcBorders>
            <w:shd w:val="clear" w:color="auto" w:fill="F2F2F2" w:themeFill="background1" w:themeFillShade="F2"/>
            <w:vAlign w:val="center"/>
          </w:tcPr>
          <w:p w:rsidR="008A7D84" w:rsidRPr="00950AE5" w:rsidRDefault="008A7D84" w:rsidP="00950AE5">
            <w:pPr>
              <w:spacing w:before="0" w:after="0"/>
              <w:jc w:val="left"/>
              <w:rPr>
                <w:rFonts w:ascii="Arial" w:hAnsi="Arial" w:cs="Arial"/>
                <w:b/>
                <w:sz w:val="20"/>
              </w:rPr>
            </w:pPr>
            <w:r w:rsidRPr="00950AE5">
              <w:rPr>
                <w:rFonts w:ascii="Arial" w:hAnsi="Arial" w:cs="Arial"/>
                <w:b/>
                <w:sz w:val="20"/>
              </w:rPr>
              <w:t>6</w:t>
            </w:r>
          </w:p>
        </w:tc>
        <w:tc>
          <w:tcPr>
            <w:tcW w:w="383" w:type="pct"/>
            <w:tcBorders>
              <w:top w:val="single" w:sz="12" w:space="0" w:color="000000"/>
              <w:left w:val="single" w:sz="12" w:space="0" w:color="auto"/>
            </w:tcBorders>
            <w:vAlign w:val="center"/>
          </w:tcPr>
          <w:p w:rsidR="008A7D84" w:rsidRPr="00950AE5" w:rsidRDefault="008A7D84" w:rsidP="00950AE5">
            <w:pPr>
              <w:spacing w:before="0" w:after="0"/>
              <w:jc w:val="center"/>
              <w:rPr>
                <w:rFonts w:ascii="Arial" w:hAnsi="Arial" w:cs="Arial"/>
                <w:sz w:val="20"/>
              </w:rPr>
            </w:pPr>
            <w:r>
              <w:rPr>
                <w:rFonts w:ascii="Arial" w:hAnsi="Arial" w:cs="Arial"/>
                <w:sz w:val="20"/>
              </w:rPr>
              <w:t>X</w:t>
            </w:r>
          </w:p>
        </w:tc>
        <w:tc>
          <w:tcPr>
            <w:tcW w:w="383" w:type="pct"/>
            <w:tcBorders>
              <w:top w:val="single" w:sz="12" w:space="0" w:color="000000"/>
            </w:tcBorders>
            <w:vAlign w:val="center"/>
          </w:tcPr>
          <w:p w:rsidR="008A7D84" w:rsidRPr="00950AE5" w:rsidRDefault="008A7D84" w:rsidP="00950AE5">
            <w:pPr>
              <w:spacing w:before="0" w:after="0"/>
              <w:jc w:val="center"/>
              <w:rPr>
                <w:rFonts w:ascii="Arial" w:hAnsi="Arial" w:cs="Arial"/>
                <w:sz w:val="20"/>
              </w:rPr>
            </w:pPr>
          </w:p>
        </w:tc>
        <w:tc>
          <w:tcPr>
            <w:tcW w:w="383" w:type="pct"/>
            <w:tcBorders>
              <w:top w:val="single" w:sz="12" w:space="0" w:color="000000"/>
            </w:tcBorders>
            <w:vAlign w:val="center"/>
          </w:tcPr>
          <w:p w:rsidR="008A7D84" w:rsidRPr="00950AE5" w:rsidRDefault="008A7D84" w:rsidP="006B636D">
            <w:pPr>
              <w:spacing w:before="0" w:after="0"/>
              <w:jc w:val="center"/>
              <w:rPr>
                <w:rFonts w:ascii="Arial" w:hAnsi="Arial" w:cs="Arial"/>
                <w:sz w:val="20"/>
              </w:rPr>
            </w:pPr>
            <w:r>
              <w:rPr>
                <w:rFonts w:ascii="Arial" w:hAnsi="Arial" w:cs="Arial"/>
                <w:sz w:val="20"/>
              </w:rPr>
              <w:t>X</w:t>
            </w:r>
          </w:p>
        </w:tc>
        <w:tc>
          <w:tcPr>
            <w:tcW w:w="383" w:type="pct"/>
            <w:tcBorders>
              <w:top w:val="single" w:sz="12" w:space="0" w:color="000000"/>
              <w:right w:val="single" w:sz="4" w:space="0" w:color="auto"/>
            </w:tcBorders>
            <w:vAlign w:val="center"/>
          </w:tcPr>
          <w:p w:rsidR="008A7D84" w:rsidRPr="00950AE5" w:rsidRDefault="008A7D84" w:rsidP="00950AE5">
            <w:pPr>
              <w:spacing w:before="0" w:after="0"/>
              <w:jc w:val="center"/>
              <w:rPr>
                <w:rFonts w:ascii="Arial" w:hAnsi="Arial" w:cs="Arial"/>
                <w:sz w:val="20"/>
              </w:rPr>
            </w:pPr>
            <w:r>
              <w:rPr>
                <w:rFonts w:ascii="Arial" w:hAnsi="Arial" w:cs="Arial"/>
                <w:sz w:val="20"/>
              </w:rPr>
              <w:t>X</w:t>
            </w:r>
          </w:p>
        </w:tc>
        <w:tc>
          <w:tcPr>
            <w:tcW w:w="381" w:type="pct"/>
            <w:tcBorders>
              <w:top w:val="single" w:sz="12" w:space="0" w:color="000000"/>
              <w:left w:val="single" w:sz="4" w:space="0" w:color="auto"/>
              <w:bottom w:val="single" w:sz="4" w:space="0" w:color="auto"/>
              <w:right w:val="single" w:sz="12" w:space="0" w:color="auto"/>
            </w:tcBorders>
            <w:vAlign w:val="center"/>
          </w:tcPr>
          <w:p w:rsidR="008A7D84" w:rsidRPr="00950AE5" w:rsidRDefault="008A7D84" w:rsidP="00950AE5">
            <w:pPr>
              <w:spacing w:before="0" w:after="0"/>
              <w:jc w:val="center"/>
              <w:rPr>
                <w:rFonts w:ascii="Arial" w:hAnsi="Arial" w:cs="Arial"/>
                <w:sz w:val="20"/>
              </w:rPr>
            </w:pPr>
            <w:r>
              <w:rPr>
                <w:rFonts w:ascii="Arial" w:hAnsi="Arial" w:cs="Arial"/>
                <w:sz w:val="20"/>
              </w:rPr>
              <w:t>X</w:t>
            </w:r>
          </w:p>
        </w:tc>
        <w:tc>
          <w:tcPr>
            <w:tcW w:w="405" w:type="pct"/>
            <w:tcBorders>
              <w:top w:val="single" w:sz="12" w:space="0" w:color="000000"/>
              <w:left w:val="single" w:sz="12" w:space="0" w:color="auto"/>
            </w:tcBorders>
            <w:shd w:val="clear" w:color="auto" w:fill="E0E0E0"/>
            <w:vAlign w:val="center"/>
          </w:tcPr>
          <w:p w:rsidR="008A7D84" w:rsidRPr="00950AE5" w:rsidRDefault="008A7D84" w:rsidP="00950AE5">
            <w:pPr>
              <w:spacing w:before="0" w:after="0"/>
              <w:jc w:val="center"/>
              <w:rPr>
                <w:rFonts w:ascii="Arial" w:hAnsi="Arial" w:cs="Arial"/>
                <w:sz w:val="20"/>
              </w:rPr>
            </w:pPr>
          </w:p>
        </w:tc>
        <w:tc>
          <w:tcPr>
            <w:tcW w:w="427" w:type="pct"/>
            <w:tcBorders>
              <w:top w:val="single" w:sz="12" w:space="0" w:color="000000"/>
              <w:left w:val="single" w:sz="4" w:space="0" w:color="auto"/>
            </w:tcBorders>
            <w:shd w:val="clear" w:color="auto" w:fill="E0E0E0"/>
            <w:vAlign w:val="center"/>
          </w:tcPr>
          <w:p w:rsidR="008A7D84" w:rsidRPr="00950AE5" w:rsidRDefault="00D777DC" w:rsidP="00950AE5">
            <w:pPr>
              <w:spacing w:before="0" w:after="0"/>
              <w:jc w:val="center"/>
              <w:rPr>
                <w:rFonts w:ascii="Arial" w:hAnsi="Arial" w:cs="Arial"/>
                <w:sz w:val="20"/>
              </w:rPr>
            </w:pPr>
            <w:r>
              <w:rPr>
                <w:rFonts w:ascii="Arial" w:hAnsi="Arial" w:cs="Arial"/>
                <w:sz w:val="20"/>
              </w:rPr>
              <w:t>X</w:t>
            </w:r>
          </w:p>
        </w:tc>
        <w:tc>
          <w:tcPr>
            <w:tcW w:w="383" w:type="pct"/>
            <w:tcBorders>
              <w:top w:val="single" w:sz="12" w:space="0" w:color="000000"/>
              <w:left w:val="single" w:sz="4" w:space="0" w:color="auto"/>
            </w:tcBorders>
            <w:shd w:val="clear" w:color="auto" w:fill="E0E0E0"/>
            <w:vAlign w:val="center"/>
          </w:tcPr>
          <w:p w:rsidR="008A7D84" w:rsidRPr="00950AE5" w:rsidRDefault="00D777DC" w:rsidP="00950AE5">
            <w:pPr>
              <w:spacing w:before="0" w:after="0"/>
              <w:jc w:val="center"/>
              <w:rPr>
                <w:rFonts w:ascii="Arial" w:hAnsi="Arial" w:cs="Arial"/>
                <w:sz w:val="20"/>
              </w:rPr>
            </w:pPr>
            <w:r>
              <w:rPr>
                <w:rFonts w:ascii="Arial" w:hAnsi="Arial" w:cs="Arial"/>
                <w:sz w:val="20"/>
              </w:rPr>
              <w:t>X</w:t>
            </w:r>
          </w:p>
        </w:tc>
        <w:tc>
          <w:tcPr>
            <w:tcW w:w="384" w:type="pct"/>
            <w:tcBorders>
              <w:top w:val="single" w:sz="12" w:space="0" w:color="000000"/>
              <w:left w:val="single" w:sz="4" w:space="0" w:color="auto"/>
            </w:tcBorders>
            <w:shd w:val="clear" w:color="auto" w:fill="E0E0E0"/>
            <w:vAlign w:val="center"/>
          </w:tcPr>
          <w:p w:rsidR="008A7D84" w:rsidRPr="00950AE5" w:rsidRDefault="00D777DC" w:rsidP="00950AE5">
            <w:pPr>
              <w:spacing w:before="0" w:after="0"/>
              <w:jc w:val="center"/>
              <w:rPr>
                <w:rFonts w:ascii="Arial" w:hAnsi="Arial" w:cs="Arial"/>
                <w:sz w:val="20"/>
              </w:rPr>
            </w:pPr>
            <w:r>
              <w:rPr>
                <w:rFonts w:ascii="Arial" w:hAnsi="Arial" w:cs="Arial"/>
                <w:sz w:val="20"/>
              </w:rPr>
              <w:t>X</w:t>
            </w:r>
          </w:p>
        </w:tc>
        <w:tc>
          <w:tcPr>
            <w:tcW w:w="384" w:type="pct"/>
            <w:tcBorders>
              <w:top w:val="single" w:sz="12" w:space="0" w:color="000000"/>
              <w:left w:val="single" w:sz="4" w:space="0" w:color="auto"/>
            </w:tcBorders>
            <w:shd w:val="clear" w:color="auto" w:fill="E0E0E0"/>
            <w:vAlign w:val="center"/>
          </w:tcPr>
          <w:p w:rsidR="008A7D84" w:rsidRPr="00950AE5" w:rsidRDefault="008A7D84" w:rsidP="00950AE5">
            <w:pPr>
              <w:spacing w:before="0" w:after="0"/>
              <w:jc w:val="center"/>
              <w:rPr>
                <w:rFonts w:ascii="Arial" w:hAnsi="Arial" w:cs="Arial"/>
                <w:sz w:val="20"/>
              </w:rPr>
            </w:pPr>
          </w:p>
        </w:tc>
        <w:tc>
          <w:tcPr>
            <w:tcW w:w="384" w:type="pct"/>
            <w:tcBorders>
              <w:top w:val="single" w:sz="12" w:space="0" w:color="000000"/>
              <w:left w:val="single" w:sz="4" w:space="0" w:color="auto"/>
            </w:tcBorders>
            <w:shd w:val="clear" w:color="auto" w:fill="E0E0E0"/>
            <w:vAlign w:val="center"/>
          </w:tcPr>
          <w:p w:rsidR="008A7D84" w:rsidRPr="00950AE5" w:rsidRDefault="00D777DC" w:rsidP="00950AE5">
            <w:pPr>
              <w:spacing w:before="0" w:after="0"/>
              <w:jc w:val="center"/>
              <w:rPr>
                <w:rFonts w:ascii="Arial" w:hAnsi="Arial" w:cs="Arial"/>
                <w:sz w:val="20"/>
              </w:rPr>
            </w:pPr>
            <w:r>
              <w:rPr>
                <w:rFonts w:ascii="Arial" w:hAnsi="Arial" w:cs="Arial"/>
                <w:sz w:val="20"/>
              </w:rPr>
              <w:t>X</w:t>
            </w:r>
          </w:p>
        </w:tc>
        <w:tc>
          <w:tcPr>
            <w:tcW w:w="386" w:type="pct"/>
            <w:tcBorders>
              <w:top w:val="single" w:sz="12" w:space="0" w:color="000000"/>
              <w:left w:val="single" w:sz="4" w:space="0" w:color="auto"/>
              <w:right w:val="single" w:sz="12" w:space="0" w:color="000000"/>
            </w:tcBorders>
            <w:shd w:val="clear" w:color="auto" w:fill="E0E0E0"/>
            <w:vAlign w:val="center"/>
          </w:tcPr>
          <w:p w:rsidR="008A7D84" w:rsidRPr="00950AE5" w:rsidRDefault="008A7D84" w:rsidP="00950AE5">
            <w:pPr>
              <w:spacing w:before="0" w:after="0"/>
              <w:jc w:val="center"/>
              <w:rPr>
                <w:rFonts w:ascii="Arial" w:hAnsi="Arial" w:cs="Arial"/>
                <w:sz w:val="20"/>
              </w:rPr>
            </w:pPr>
          </w:p>
        </w:tc>
      </w:tr>
      <w:tr w:rsidR="008A7D84" w:rsidRPr="00950AE5" w:rsidTr="008A7D84">
        <w:trPr>
          <w:jc w:val="center"/>
        </w:trPr>
        <w:tc>
          <w:tcPr>
            <w:tcW w:w="335" w:type="pct"/>
            <w:tcBorders>
              <w:top w:val="single" w:sz="12" w:space="0" w:color="000000"/>
              <w:left w:val="single" w:sz="12" w:space="0" w:color="000000"/>
              <w:right w:val="single" w:sz="4" w:space="0" w:color="auto"/>
            </w:tcBorders>
            <w:shd w:val="clear" w:color="auto" w:fill="F2F2F2" w:themeFill="background1" w:themeFillShade="F2"/>
            <w:vAlign w:val="center"/>
          </w:tcPr>
          <w:p w:rsidR="008A7D84" w:rsidRPr="00950AE5" w:rsidRDefault="008A7D84" w:rsidP="00950AE5">
            <w:pPr>
              <w:spacing w:before="0" w:after="0"/>
              <w:jc w:val="left"/>
              <w:rPr>
                <w:rFonts w:ascii="Arial" w:hAnsi="Arial" w:cs="Arial"/>
                <w:b/>
                <w:sz w:val="20"/>
              </w:rPr>
            </w:pPr>
            <w:r w:rsidRPr="00950AE5">
              <w:rPr>
                <w:rFonts w:ascii="Arial" w:hAnsi="Arial" w:cs="Arial"/>
                <w:b/>
                <w:sz w:val="20"/>
              </w:rPr>
              <w:t>7</w:t>
            </w:r>
          </w:p>
        </w:tc>
        <w:tc>
          <w:tcPr>
            <w:tcW w:w="383" w:type="pct"/>
            <w:tcBorders>
              <w:top w:val="single" w:sz="12" w:space="0" w:color="000000"/>
              <w:left w:val="single" w:sz="12" w:space="0" w:color="auto"/>
            </w:tcBorders>
            <w:vAlign w:val="center"/>
          </w:tcPr>
          <w:p w:rsidR="008A7D84" w:rsidRPr="00950AE5" w:rsidRDefault="008A7D84" w:rsidP="00950AE5">
            <w:pPr>
              <w:spacing w:before="0" w:after="0"/>
              <w:jc w:val="center"/>
              <w:rPr>
                <w:rFonts w:ascii="Arial" w:hAnsi="Arial" w:cs="Arial"/>
                <w:sz w:val="20"/>
              </w:rPr>
            </w:pPr>
            <w:r>
              <w:rPr>
                <w:rFonts w:ascii="Arial" w:hAnsi="Arial" w:cs="Arial"/>
                <w:sz w:val="20"/>
              </w:rPr>
              <w:t>X</w:t>
            </w:r>
          </w:p>
        </w:tc>
        <w:tc>
          <w:tcPr>
            <w:tcW w:w="383" w:type="pct"/>
            <w:tcBorders>
              <w:top w:val="single" w:sz="12" w:space="0" w:color="000000"/>
            </w:tcBorders>
            <w:vAlign w:val="center"/>
          </w:tcPr>
          <w:p w:rsidR="008A7D84" w:rsidRPr="00950AE5" w:rsidRDefault="008A7D84" w:rsidP="00950AE5">
            <w:pPr>
              <w:spacing w:before="0" w:after="0"/>
              <w:jc w:val="center"/>
              <w:rPr>
                <w:rFonts w:ascii="Arial" w:hAnsi="Arial" w:cs="Arial"/>
                <w:sz w:val="20"/>
              </w:rPr>
            </w:pPr>
          </w:p>
        </w:tc>
        <w:tc>
          <w:tcPr>
            <w:tcW w:w="383" w:type="pct"/>
            <w:tcBorders>
              <w:top w:val="single" w:sz="12" w:space="0" w:color="000000"/>
            </w:tcBorders>
            <w:vAlign w:val="center"/>
          </w:tcPr>
          <w:p w:rsidR="008A7D84" w:rsidRPr="00950AE5" w:rsidRDefault="008A7D84" w:rsidP="006B636D">
            <w:pPr>
              <w:spacing w:before="0" w:after="0"/>
              <w:jc w:val="center"/>
              <w:rPr>
                <w:rFonts w:ascii="Arial" w:hAnsi="Arial" w:cs="Arial"/>
                <w:sz w:val="20"/>
              </w:rPr>
            </w:pPr>
          </w:p>
        </w:tc>
        <w:tc>
          <w:tcPr>
            <w:tcW w:w="383" w:type="pct"/>
            <w:tcBorders>
              <w:top w:val="single" w:sz="12" w:space="0" w:color="000000"/>
              <w:right w:val="single" w:sz="4" w:space="0" w:color="auto"/>
            </w:tcBorders>
            <w:vAlign w:val="center"/>
          </w:tcPr>
          <w:p w:rsidR="008A7D84" w:rsidRPr="00950AE5" w:rsidRDefault="009F747F" w:rsidP="00950AE5">
            <w:pPr>
              <w:spacing w:before="0" w:after="0"/>
              <w:jc w:val="center"/>
              <w:rPr>
                <w:rFonts w:ascii="Arial" w:hAnsi="Arial" w:cs="Arial"/>
                <w:sz w:val="20"/>
              </w:rPr>
            </w:pPr>
            <w:r>
              <w:rPr>
                <w:rFonts w:ascii="Arial" w:hAnsi="Arial" w:cs="Arial"/>
                <w:sz w:val="20"/>
              </w:rPr>
              <w:t>X</w:t>
            </w:r>
          </w:p>
        </w:tc>
        <w:tc>
          <w:tcPr>
            <w:tcW w:w="381" w:type="pct"/>
            <w:tcBorders>
              <w:top w:val="single" w:sz="12" w:space="0" w:color="000000"/>
              <w:left w:val="single" w:sz="4" w:space="0" w:color="auto"/>
              <w:bottom w:val="single" w:sz="4" w:space="0" w:color="auto"/>
              <w:right w:val="single" w:sz="12" w:space="0" w:color="auto"/>
            </w:tcBorders>
            <w:vAlign w:val="center"/>
          </w:tcPr>
          <w:p w:rsidR="008A7D84" w:rsidRPr="00950AE5" w:rsidRDefault="008A7D84" w:rsidP="00950AE5">
            <w:pPr>
              <w:spacing w:before="0" w:after="0"/>
              <w:jc w:val="center"/>
              <w:rPr>
                <w:rFonts w:ascii="Arial" w:hAnsi="Arial" w:cs="Arial"/>
                <w:sz w:val="20"/>
              </w:rPr>
            </w:pPr>
            <w:r>
              <w:rPr>
                <w:rFonts w:ascii="Arial" w:hAnsi="Arial" w:cs="Arial"/>
                <w:sz w:val="20"/>
              </w:rPr>
              <w:t>X</w:t>
            </w:r>
          </w:p>
        </w:tc>
        <w:tc>
          <w:tcPr>
            <w:tcW w:w="405" w:type="pct"/>
            <w:tcBorders>
              <w:top w:val="single" w:sz="12" w:space="0" w:color="000000"/>
              <w:left w:val="single" w:sz="12" w:space="0" w:color="auto"/>
            </w:tcBorders>
            <w:shd w:val="clear" w:color="auto" w:fill="E0E0E0"/>
            <w:vAlign w:val="center"/>
          </w:tcPr>
          <w:p w:rsidR="008A7D84" w:rsidRPr="00950AE5" w:rsidRDefault="008A7D84" w:rsidP="00950AE5">
            <w:pPr>
              <w:spacing w:before="0" w:after="0"/>
              <w:jc w:val="center"/>
              <w:rPr>
                <w:rFonts w:ascii="Arial" w:hAnsi="Arial" w:cs="Arial"/>
                <w:sz w:val="20"/>
              </w:rPr>
            </w:pPr>
          </w:p>
        </w:tc>
        <w:tc>
          <w:tcPr>
            <w:tcW w:w="427" w:type="pct"/>
            <w:tcBorders>
              <w:top w:val="single" w:sz="12" w:space="0" w:color="000000"/>
              <w:left w:val="single" w:sz="4" w:space="0" w:color="auto"/>
            </w:tcBorders>
            <w:shd w:val="clear" w:color="auto" w:fill="E0E0E0"/>
            <w:vAlign w:val="center"/>
          </w:tcPr>
          <w:p w:rsidR="008A7D84" w:rsidRPr="00950AE5" w:rsidRDefault="00D777DC" w:rsidP="00950AE5">
            <w:pPr>
              <w:spacing w:before="0" w:after="0"/>
              <w:jc w:val="center"/>
              <w:rPr>
                <w:rFonts w:ascii="Arial" w:hAnsi="Arial" w:cs="Arial"/>
                <w:sz w:val="20"/>
              </w:rPr>
            </w:pPr>
            <w:r>
              <w:rPr>
                <w:rFonts w:ascii="Arial" w:hAnsi="Arial" w:cs="Arial"/>
                <w:sz w:val="20"/>
              </w:rPr>
              <w:t>X</w:t>
            </w:r>
          </w:p>
        </w:tc>
        <w:tc>
          <w:tcPr>
            <w:tcW w:w="383" w:type="pct"/>
            <w:tcBorders>
              <w:top w:val="single" w:sz="12" w:space="0" w:color="000000"/>
              <w:left w:val="single" w:sz="4" w:space="0" w:color="auto"/>
            </w:tcBorders>
            <w:shd w:val="clear" w:color="auto" w:fill="E0E0E0"/>
            <w:vAlign w:val="center"/>
          </w:tcPr>
          <w:p w:rsidR="008A7D84" w:rsidRPr="00950AE5" w:rsidRDefault="008A7D84" w:rsidP="00950AE5">
            <w:pPr>
              <w:spacing w:before="0" w:after="0"/>
              <w:jc w:val="center"/>
              <w:rPr>
                <w:rFonts w:ascii="Arial" w:hAnsi="Arial" w:cs="Arial"/>
                <w:sz w:val="20"/>
              </w:rPr>
            </w:pPr>
          </w:p>
        </w:tc>
        <w:tc>
          <w:tcPr>
            <w:tcW w:w="384" w:type="pct"/>
            <w:tcBorders>
              <w:top w:val="single" w:sz="12" w:space="0" w:color="000000"/>
              <w:left w:val="single" w:sz="4" w:space="0" w:color="auto"/>
            </w:tcBorders>
            <w:shd w:val="clear" w:color="auto" w:fill="E0E0E0"/>
            <w:vAlign w:val="center"/>
          </w:tcPr>
          <w:p w:rsidR="008A7D84" w:rsidRPr="00950AE5" w:rsidRDefault="008A7D84" w:rsidP="00950AE5">
            <w:pPr>
              <w:spacing w:before="0" w:after="0"/>
              <w:jc w:val="center"/>
              <w:rPr>
                <w:rFonts w:ascii="Arial" w:hAnsi="Arial" w:cs="Arial"/>
                <w:sz w:val="20"/>
              </w:rPr>
            </w:pPr>
          </w:p>
        </w:tc>
        <w:tc>
          <w:tcPr>
            <w:tcW w:w="384" w:type="pct"/>
            <w:tcBorders>
              <w:top w:val="single" w:sz="12" w:space="0" w:color="000000"/>
              <w:left w:val="single" w:sz="4" w:space="0" w:color="auto"/>
            </w:tcBorders>
            <w:shd w:val="clear" w:color="auto" w:fill="E0E0E0"/>
            <w:vAlign w:val="center"/>
          </w:tcPr>
          <w:p w:rsidR="008A7D84" w:rsidRPr="00950AE5" w:rsidRDefault="008A7D84" w:rsidP="00950AE5">
            <w:pPr>
              <w:spacing w:before="0" w:after="0"/>
              <w:jc w:val="center"/>
              <w:rPr>
                <w:rFonts w:ascii="Arial" w:hAnsi="Arial" w:cs="Arial"/>
                <w:sz w:val="20"/>
              </w:rPr>
            </w:pPr>
          </w:p>
        </w:tc>
        <w:tc>
          <w:tcPr>
            <w:tcW w:w="384" w:type="pct"/>
            <w:tcBorders>
              <w:top w:val="single" w:sz="12" w:space="0" w:color="000000"/>
              <w:left w:val="single" w:sz="4" w:space="0" w:color="auto"/>
            </w:tcBorders>
            <w:shd w:val="clear" w:color="auto" w:fill="E0E0E0"/>
            <w:vAlign w:val="center"/>
          </w:tcPr>
          <w:p w:rsidR="008A7D84" w:rsidRPr="00950AE5" w:rsidRDefault="00D777DC" w:rsidP="00950AE5">
            <w:pPr>
              <w:spacing w:before="0" w:after="0"/>
              <w:jc w:val="center"/>
              <w:rPr>
                <w:rFonts w:ascii="Arial" w:hAnsi="Arial" w:cs="Arial"/>
                <w:sz w:val="20"/>
              </w:rPr>
            </w:pPr>
            <w:r>
              <w:rPr>
                <w:rFonts w:ascii="Arial" w:hAnsi="Arial" w:cs="Arial"/>
                <w:sz w:val="20"/>
              </w:rPr>
              <w:t>X</w:t>
            </w:r>
          </w:p>
        </w:tc>
        <w:tc>
          <w:tcPr>
            <w:tcW w:w="386" w:type="pct"/>
            <w:tcBorders>
              <w:top w:val="single" w:sz="12" w:space="0" w:color="000000"/>
              <w:left w:val="single" w:sz="4" w:space="0" w:color="auto"/>
              <w:right w:val="single" w:sz="12" w:space="0" w:color="000000"/>
            </w:tcBorders>
            <w:shd w:val="clear" w:color="auto" w:fill="E0E0E0"/>
            <w:vAlign w:val="center"/>
          </w:tcPr>
          <w:p w:rsidR="008A7D84" w:rsidRPr="00950AE5" w:rsidRDefault="008A7D84" w:rsidP="00950AE5">
            <w:pPr>
              <w:spacing w:before="0" w:after="0"/>
              <w:jc w:val="center"/>
              <w:rPr>
                <w:rFonts w:ascii="Arial" w:hAnsi="Arial" w:cs="Arial"/>
                <w:sz w:val="20"/>
              </w:rPr>
            </w:pPr>
          </w:p>
        </w:tc>
      </w:tr>
      <w:tr w:rsidR="008A7D84" w:rsidRPr="00950AE5" w:rsidTr="008A7D84">
        <w:trPr>
          <w:jc w:val="center"/>
        </w:trPr>
        <w:tc>
          <w:tcPr>
            <w:tcW w:w="335" w:type="pct"/>
            <w:tcBorders>
              <w:top w:val="single" w:sz="12" w:space="0" w:color="000000"/>
              <w:left w:val="single" w:sz="12" w:space="0" w:color="000000"/>
              <w:right w:val="single" w:sz="4" w:space="0" w:color="auto"/>
            </w:tcBorders>
            <w:shd w:val="clear" w:color="auto" w:fill="F2F2F2" w:themeFill="background1" w:themeFillShade="F2"/>
            <w:vAlign w:val="center"/>
          </w:tcPr>
          <w:p w:rsidR="008A7D84" w:rsidRPr="00950AE5" w:rsidRDefault="008A7D84" w:rsidP="00950AE5">
            <w:pPr>
              <w:spacing w:before="0" w:after="0"/>
              <w:rPr>
                <w:rFonts w:ascii="Arial" w:hAnsi="Arial" w:cs="Arial"/>
                <w:b/>
                <w:sz w:val="20"/>
              </w:rPr>
            </w:pPr>
            <w:r w:rsidRPr="00950AE5">
              <w:rPr>
                <w:rFonts w:ascii="Arial" w:hAnsi="Arial" w:cs="Arial"/>
                <w:b/>
                <w:sz w:val="20"/>
              </w:rPr>
              <w:t>8</w:t>
            </w:r>
          </w:p>
        </w:tc>
        <w:tc>
          <w:tcPr>
            <w:tcW w:w="383" w:type="pct"/>
            <w:tcBorders>
              <w:top w:val="single" w:sz="12" w:space="0" w:color="000000"/>
              <w:left w:val="single" w:sz="12" w:space="0" w:color="auto"/>
            </w:tcBorders>
            <w:vAlign w:val="center"/>
          </w:tcPr>
          <w:p w:rsidR="008A7D84" w:rsidRPr="00950AE5" w:rsidRDefault="008A7D84" w:rsidP="00950AE5">
            <w:pPr>
              <w:spacing w:before="0" w:after="0"/>
              <w:jc w:val="center"/>
              <w:rPr>
                <w:rFonts w:ascii="Arial" w:hAnsi="Arial" w:cs="Arial"/>
                <w:sz w:val="20"/>
              </w:rPr>
            </w:pPr>
            <w:r>
              <w:rPr>
                <w:rFonts w:ascii="Arial" w:hAnsi="Arial" w:cs="Arial"/>
                <w:sz w:val="20"/>
              </w:rPr>
              <w:t>X</w:t>
            </w:r>
          </w:p>
        </w:tc>
        <w:tc>
          <w:tcPr>
            <w:tcW w:w="383" w:type="pct"/>
            <w:tcBorders>
              <w:top w:val="single" w:sz="12" w:space="0" w:color="000000"/>
            </w:tcBorders>
            <w:vAlign w:val="center"/>
          </w:tcPr>
          <w:p w:rsidR="008A7D84" w:rsidRPr="00950AE5" w:rsidRDefault="008A7D84" w:rsidP="00950AE5">
            <w:pPr>
              <w:spacing w:before="0" w:after="0"/>
              <w:jc w:val="center"/>
              <w:rPr>
                <w:rFonts w:ascii="Arial" w:hAnsi="Arial" w:cs="Arial"/>
                <w:sz w:val="20"/>
              </w:rPr>
            </w:pPr>
          </w:p>
        </w:tc>
        <w:tc>
          <w:tcPr>
            <w:tcW w:w="383" w:type="pct"/>
            <w:tcBorders>
              <w:top w:val="single" w:sz="12" w:space="0" w:color="000000"/>
            </w:tcBorders>
            <w:vAlign w:val="center"/>
          </w:tcPr>
          <w:p w:rsidR="008A7D84" w:rsidRPr="00950AE5" w:rsidRDefault="008A7D84" w:rsidP="006B636D">
            <w:pPr>
              <w:spacing w:before="0" w:after="0"/>
              <w:jc w:val="center"/>
              <w:rPr>
                <w:rFonts w:ascii="Arial" w:hAnsi="Arial" w:cs="Arial"/>
                <w:sz w:val="20"/>
              </w:rPr>
            </w:pPr>
          </w:p>
        </w:tc>
        <w:tc>
          <w:tcPr>
            <w:tcW w:w="383" w:type="pct"/>
            <w:tcBorders>
              <w:top w:val="single" w:sz="12" w:space="0" w:color="000000"/>
              <w:right w:val="single" w:sz="4" w:space="0" w:color="auto"/>
            </w:tcBorders>
            <w:vAlign w:val="center"/>
          </w:tcPr>
          <w:p w:rsidR="008A7D84" w:rsidRPr="00950AE5" w:rsidRDefault="009F747F" w:rsidP="00950AE5">
            <w:pPr>
              <w:spacing w:before="0" w:after="0"/>
              <w:jc w:val="center"/>
              <w:rPr>
                <w:rFonts w:ascii="Arial" w:hAnsi="Arial" w:cs="Arial"/>
                <w:sz w:val="20"/>
              </w:rPr>
            </w:pPr>
            <w:r>
              <w:rPr>
                <w:rFonts w:ascii="Arial" w:hAnsi="Arial" w:cs="Arial"/>
                <w:sz w:val="20"/>
              </w:rPr>
              <w:t>X</w:t>
            </w:r>
          </w:p>
        </w:tc>
        <w:tc>
          <w:tcPr>
            <w:tcW w:w="381" w:type="pct"/>
            <w:tcBorders>
              <w:top w:val="single" w:sz="12" w:space="0" w:color="000000"/>
              <w:left w:val="single" w:sz="4" w:space="0" w:color="auto"/>
              <w:bottom w:val="single" w:sz="4" w:space="0" w:color="auto"/>
              <w:right w:val="single" w:sz="12" w:space="0" w:color="auto"/>
            </w:tcBorders>
            <w:vAlign w:val="center"/>
          </w:tcPr>
          <w:p w:rsidR="008A7D84" w:rsidRPr="00950AE5" w:rsidRDefault="008A7D84" w:rsidP="00950AE5">
            <w:pPr>
              <w:spacing w:before="0" w:after="0"/>
              <w:jc w:val="center"/>
              <w:rPr>
                <w:rFonts w:ascii="Arial" w:hAnsi="Arial" w:cs="Arial"/>
                <w:sz w:val="20"/>
              </w:rPr>
            </w:pPr>
            <w:r>
              <w:rPr>
                <w:rFonts w:ascii="Arial" w:hAnsi="Arial" w:cs="Arial"/>
                <w:sz w:val="20"/>
              </w:rPr>
              <w:t>X</w:t>
            </w:r>
          </w:p>
        </w:tc>
        <w:tc>
          <w:tcPr>
            <w:tcW w:w="405" w:type="pct"/>
            <w:tcBorders>
              <w:top w:val="single" w:sz="12" w:space="0" w:color="000000"/>
              <w:left w:val="single" w:sz="12" w:space="0" w:color="auto"/>
            </w:tcBorders>
            <w:shd w:val="clear" w:color="auto" w:fill="E0E0E0"/>
            <w:vAlign w:val="center"/>
          </w:tcPr>
          <w:p w:rsidR="008A7D84" w:rsidRPr="00950AE5" w:rsidRDefault="008A7D84" w:rsidP="00950AE5">
            <w:pPr>
              <w:spacing w:before="0" w:after="0"/>
              <w:jc w:val="center"/>
              <w:rPr>
                <w:rFonts w:ascii="Arial" w:hAnsi="Arial" w:cs="Arial"/>
                <w:sz w:val="20"/>
              </w:rPr>
            </w:pPr>
          </w:p>
        </w:tc>
        <w:tc>
          <w:tcPr>
            <w:tcW w:w="427" w:type="pct"/>
            <w:tcBorders>
              <w:top w:val="single" w:sz="12" w:space="0" w:color="000000"/>
              <w:left w:val="single" w:sz="4" w:space="0" w:color="auto"/>
            </w:tcBorders>
            <w:shd w:val="clear" w:color="auto" w:fill="E0E0E0"/>
            <w:vAlign w:val="center"/>
          </w:tcPr>
          <w:p w:rsidR="008A7D84" w:rsidRPr="00950AE5" w:rsidRDefault="00D777DC" w:rsidP="00950AE5">
            <w:pPr>
              <w:spacing w:before="0" w:after="0"/>
              <w:jc w:val="center"/>
              <w:rPr>
                <w:rFonts w:ascii="Arial" w:hAnsi="Arial" w:cs="Arial"/>
                <w:sz w:val="20"/>
              </w:rPr>
            </w:pPr>
            <w:r>
              <w:rPr>
                <w:rFonts w:ascii="Arial" w:hAnsi="Arial" w:cs="Arial"/>
                <w:sz w:val="20"/>
              </w:rPr>
              <w:t>X</w:t>
            </w:r>
          </w:p>
        </w:tc>
        <w:tc>
          <w:tcPr>
            <w:tcW w:w="383" w:type="pct"/>
            <w:tcBorders>
              <w:top w:val="single" w:sz="12" w:space="0" w:color="000000"/>
              <w:left w:val="single" w:sz="4" w:space="0" w:color="auto"/>
            </w:tcBorders>
            <w:shd w:val="clear" w:color="auto" w:fill="E0E0E0"/>
            <w:vAlign w:val="center"/>
          </w:tcPr>
          <w:p w:rsidR="008A7D84" w:rsidRPr="00950AE5" w:rsidRDefault="008A7D84" w:rsidP="00950AE5">
            <w:pPr>
              <w:spacing w:before="0" w:after="0"/>
              <w:jc w:val="center"/>
              <w:rPr>
                <w:rFonts w:ascii="Arial" w:hAnsi="Arial" w:cs="Arial"/>
                <w:sz w:val="20"/>
              </w:rPr>
            </w:pPr>
          </w:p>
        </w:tc>
        <w:tc>
          <w:tcPr>
            <w:tcW w:w="384" w:type="pct"/>
            <w:tcBorders>
              <w:top w:val="single" w:sz="12" w:space="0" w:color="000000"/>
              <w:left w:val="single" w:sz="4" w:space="0" w:color="auto"/>
            </w:tcBorders>
            <w:shd w:val="clear" w:color="auto" w:fill="E0E0E0"/>
            <w:vAlign w:val="center"/>
          </w:tcPr>
          <w:p w:rsidR="008A7D84" w:rsidRPr="00950AE5" w:rsidRDefault="008A7D84" w:rsidP="00950AE5">
            <w:pPr>
              <w:spacing w:before="0" w:after="0"/>
              <w:jc w:val="center"/>
              <w:rPr>
                <w:rFonts w:ascii="Arial" w:hAnsi="Arial" w:cs="Arial"/>
                <w:sz w:val="20"/>
              </w:rPr>
            </w:pPr>
          </w:p>
        </w:tc>
        <w:tc>
          <w:tcPr>
            <w:tcW w:w="384" w:type="pct"/>
            <w:tcBorders>
              <w:top w:val="single" w:sz="12" w:space="0" w:color="000000"/>
              <w:left w:val="single" w:sz="4" w:space="0" w:color="auto"/>
            </w:tcBorders>
            <w:shd w:val="clear" w:color="auto" w:fill="E0E0E0"/>
            <w:vAlign w:val="center"/>
          </w:tcPr>
          <w:p w:rsidR="008A7D84" w:rsidRPr="00950AE5" w:rsidRDefault="008A7D84" w:rsidP="00950AE5">
            <w:pPr>
              <w:spacing w:before="0" w:after="0"/>
              <w:jc w:val="center"/>
              <w:rPr>
                <w:rFonts w:ascii="Arial" w:hAnsi="Arial" w:cs="Arial"/>
                <w:sz w:val="20"/>
              </w:rPr>
            </w:pPr>
          </w:p>
        </w:tc>
        <w:tc>
          <w:tcPr>
            <w:tcW w:w="384" w:type="pct"/>
            <w:tcBorders>
              <w:top w:val="single" w:sz="12" w:space="0" w:color="000000"/>
              <w:left w:val="single" w:sz="4" w:space="0" w:color="auto"/>
            </w:tcBorders>
            <w:shd w:val="clear" w:color="auto" w:fill="E0E0E0"/>
            <w:vAlign w:val="center"/>
          </w:tcPr>
          <w:p w:rsidR="008A7D84" w:rsidRPr="00950AE5" w:rsidRDefault="00D777DC" w:rsidP="00950AE5">
            <w:pPr>
              <w:spacing w:before="0" w:after="0"/>
              <w:jc w:val="center"/>
              <w:rPr>
                <w:rFonts w:ascii="Arial" w:hAnsi="Arial" w:cs="Arial"/>
                <w:sz w:val="20"/>
              </w:rPr>
            </w:pPr>
            <w:r>
              <w:rPr>
                <w:rFonts w:ascii="Arial" w:hAnsi="Arial" w:cs="Arial"/>
                <w:sz w:val="20"/>
              </w:rPr>
              <w:t>X</w:t>
            </w:r>
          </w:p>
        </w:tc>
        <w:tc>
          <w:tcPr>
            <w:tcW w:w="386" w:type="pct"/>
            <w:tcBorders>
              <w:top w:val="single" w:sz="12" w:space="0" w:color="000000"/>
              <w:left w:val="single" w:sz="4" w:space="0" w:color="auto"/>
              <w:right w:val="single" w:sz="12" w:space="0" w:color="000000"/>
            </w:tcBorders>
            <w:shd w:val="clear" w:color="auto" w:fill="E0E0E0"/>
            <w:vAlign w:val="center"/>
          </w:tcPr>
          <w:p w:rsidR="008A7D84" w:rsidRPr="00950AE5" w:rsidRDefault="008A7D84" w:rsidP="00950AE5">
            <w:pPr>
              <w:spacing w:before="0" w:after="0"/>
              <w:jc w:val="center"/>
              <w:rPr>
                <w:rFonts w:ascii="Arial" w:hAnsi="Arial" w:cs="Arial"/>
                <w:sz w:val="20"/>
              </w:rPr>
            </w:pPr>
          </w:p>
        </w:tc>
      </w:tr>
      <w:tr w:rsidR="008A7D84" w:rsidRPr="00950AE5" w:rsidTr="008A7D84">
        <w:trPr>
          <w:jc w:val="center"/>
        </w:trPr>
        <w:tc>
          <w:tcPr>
            <w:tcW w:w="335" w:type="pct"/>
            <w:tcBorders>
              <w:top w:val="single" w:sz="12" w:space="0" w:color="000000"/>
              <w:left w:val="single" w:sz="12" w:space="0" w:color="000000"/>
              <w:bottom w:val="single" w:sz="12" w:space="0" w:color="000000"/>
              <w:right w:val="single" w:sz="4" w:space="0" w:color="auto"/>
            </w:tcBorders>
            <w:shd w:val="clear" w:color="auto" w:fill="F2F2F2" w:themeFill="background1" w:themeFillShade="F2"/>
            <w:vAlign w:val="center"/>
          </w:tcPr>
          <w:p w:rsidR="008A7D84" w:rsidRPr="00950AE5" w:rsidRDefault="008A7D84" w:rsidP="00950AE5">
            <w:pPr>
              <w:spacing w:before="0" w:after="0"/>
              <w:rPr>
                <w:rFonts w:ascii="Arial" w:hAnsi="Arial" w:cs="Arial"/>
                <w:b/>
                <w:sz w:val="20"/>
              </w:rPr>
            </w:pPr>
            <w:r w:rsidRPr="00950AE5">
              <w:rPr>
                <w:rFonts w:ascii="Arial" w:hAnsi="Arial" w:cs="Arial"/>
                <w:b/>
                <w:sz w:val="20"/>
              </w:rPr>
              <w:t>9</w:t>
            </w:r>
          </w:p>
        </w:tc>
        <w:tc>
          <w:tcPr>
            <w:tcW w:w="383" w:type="pct"/>
            <w:tcBorders>
              <w:top w:val="single" w:sz="12" w:space="0" w:color="000000"/>
              <w:left w:val="single" w:sz="12" w:space="0" w:color="auto"/>
              <w:bottom w:val="single" w:sz="12" w:space="0" w:color="000000"/>
            </w:tcBorders>
            <w:vAlign w:val="center"/>
          </w:tcPr>
          <w:p w:rsidR="008A7D84" w:rsidRPr="00950AE5" w:rsidRDefault="008A7D84" w:rsidP="00950AE5">
            <w:pPr>
              <w:spacing w:before="0" w:after="0"/>
              <w:jc w:val="center"/>
              <w:rPr>
                <w:rFonts w:ascii="Arial" w:hAnsi="Arial" w:cs="Arial"/>
                <w:sz w:val="20"/>
              </w:rPr>
            </w:pPr>
            <w:r>
              <w:rPr>
                <w:rFonts w:ascii="Arial" w:hAnsi="Arial" w:cs="Arial"/>
                <w:sz w:val="20"/>
              </w:rPr>
              <w:t>X</w:t>
            </w:r>
          </w:p>
        </w:tc>
        <w:tc>
          <w:tcPr>
            <w:tcW w:w="383" w:type="pct"/>
            <w:tcBorders>
              <w:top w:val="single" w:sz="12" w:space="0" w:color="000000"/>
              <w:bottom w:val="single" w:sz="12" w:space="0" w:color="000000"/>
            </w:tcBorders>
            <w:vAlign w:val="center"/>
          </w:tcPr>
          <w:p w:rsidR="008A7D84" w:rsidRPr="00950AE5" w:rsidRDefault="008A7D84" w:rsidP="00950AE5">
            <w:pPr>
              <w:spacing w:before="0" w:after="0"/>
              <w:jc w:val="center"/>
              <w:rPr>
                <w:rFonts w:ascii="Arial" w:hAnsi="Arial" w:cs="Arial"/>
                <w:sz w:val="20"/>
              </w:rPr>
            </w:pPr>
          </w:p>
        </w:tc>
        <w:tc>
          <w:tcPr>
            <w:tcW w:w="383" w:type="pct"/>
            <w:tcBorders>
              <w:top w:val="single" w:sz="12" w:space="0" w:color="000000"/>
              <w:bottom w:val="single" w:sz="12" w:space="0" w:color="000000"/>
            </w:tcBorders>
            <w:vAlign w:val="center"/>
          </w:tcPr>
          <w:p w:rsidR="008A7D84" w:rsidRPr="00950AE5" w:rsidRDefault="008A7D84" w:rsidP="006B636D">
            <w:pPr>
              <w:spacing w:before="0" w:after="0"/>
              <w:jc w:val="center"/>
              <w:rPr>
                <w:rFonts w:ascii="Arial" w:hAnsi="Arial" w:cs="Arial"/>
                <w:sz w:val="20"/>
              </w:rPr>
            </w:pPr>
            <w:r>
              <w:rPr>
                <w:rFonts w:ascii="Arial" w:hAnsi="Arial" w:cs="Arial"/>
                <w:sz w:val="20"/>
              </w:rPr>
              <w:t>X</w:t>
            </w:r>
          </w:p>
        </w:tc>
        <w:tc>
          <w:tcPr>
            <w:tcW w:w="383" w:type="pct"/>
            <w:tcBorders>
              <w:top w:val="single" w:sz="12" w:space="0" w:color="000000"/>
              <w:bottom w:val="single" w:sz="12" w:space="0" w:color="000000"/>
              <w:right w:val="single" w:sz="4" w:space="0" w:color="auto"/>
            </w:tcBorders>
            <w:vAlign w:val="center"/>
          </w:tcPr>
          <w:p w:rsidR="008A7D84" w:rsidRPr="00950AE5" w:rsidRDefault="008A7D84" w:rsidP="00950AE5">
            <w:pPr>
              <w:spacing w:before="0" w:after="0"/>
              <w:jc w:val="center"/>
              <w:rPr>
                <w:rFonts w:ascii="Arial" w:hAnsi="Arial" w:cs="Arial"/>
                <w:sz w:val="20"/>
              </w:rPr>
            </w:pPr>
            <w:r>
              <w:rPr>
                <w:rFonts w:ascii="Arial" w:hAnsi="Arial" w:cs="Arial"/>
                <w:sz w:val="20"/>
              </w:rPr>
              <w:t>X</w:t>
            </w:r>
          </w:p>
        </w:tc>
        <w:tc>
          <w:tcPr>
            <w:tcW w:w="381" w:type="pct"/>
            <w:tcBorders>
              <w:top w:val="single" w:sz="12" w:space="0" w:color="000000"/>
              <w:left w:val="single" w:sz="4" w:space="0" w:color="auto"/>
              <w:bottom w:val="single" w:sz="12" w:space="0" w:color="000000"/>
              <w:right w:val="single" w:sz="12" w:space="0" w:color="auto"/>
            </w:tcBorders>
            <w:vAlign w:val="center"/>
          </w:tcPr>
          <w:p w:rsidR="008A7D84" w:rsidRPr="00950AE5" w:rsidRDefault="008A7D84" w:rsidP="00950AE5">
            <w:pPr>
              <w:spacing w:before="0" w:after="0"/>
              <w:jc w:val="center"/>
              <w:rPr>
                <w:rFonts w:ascii="Arial" w:hAnsi="Arial" w:cs="Arial"/>
                <w:sz w:val="20"/>
              </w:rPr>
            </w:pPr>
            <w:r>
              <w:rPr>
                <w:rFonts w:ascii="Arial" w:hAnsi="Arial" w:cs="Arial"/>
                <w:sz w:val="20"/>
              </w:rPr>
              <w:t>X</w:t>
            </w:r>
          </w:p>
        </w:tc>
        <w:tc>
          <w:tcPr>
            <w:tcW w:w="405" w:type="pct"/>
            <w:tcBorders>
              <w:top w:val="single" w:sz="12" w:space="0" w:color="000000"/>
              <w:left w:val="single" w:sz="12" w:space="0" w:color="auto"/>
              <w:bottom w:val="single" w:sz="12" w:space="0" w:color="000000"/>
            </w:tcBorders>
            <w:shd w:val="clear" w:color="auto" w:fill="E0E0E0"/>
            <w:vAlign w:val="center"/>
          </w:tcPr>
          <w:p w:rsidR="008A7D84" w:rsidRPr="00950AE5" w:rsidRDefault="008A7D84" w:rsidP="00950AE5">
            <w:pPr>
              <w:spacing w:before="0" w:after="0"/>
              <w:jc w:val="center"/>
              <w:rPr>
                <w:rFonts w:ascii="Arial" w:hAnsi="Arial" w:cs="Arial"/>
                <w:sz w:val="20"/>
              </w:rPr>
            </w:pPr>
          </w:p>
        </w:tc>
        <w:tc>
          <w:tcPr>
            <w:tcW w:w="427" w:type="pct"/>
            <w:tcBorders>
              <w:top w:val="single" w:sz="12" w:space="0" w:color="000000"/>
              <w:left w:val="single" w:sz="4" w:space="0" w:color="auto"/>
              <w:bottom w:val="single" w:sz="12" w:space="0" w:color="000000"/>
            </w:tcBorders>
            <w:shd w:val="clear" w:color="auto" w:fill="E0E0E0"/>
            <w:vAlign w:val="center"/>
          </w:tcPr>
          <w:p w:rsidR="008A7D84" w:rsidRPr="00950AE5" w:rsidRDefault="00D777DC" w:rsidP="00950AE5">
            <w:pPr>
              <w:spacing w:before="0" w:after="0"/>
              <w:jc w:val="center"/>
              <w:rPr>
                <w:rFonts w:ascii="Arial" w:hAnsi="Arial" w:cs="Arial"/>
                <w:sz w:val="20"/>
              </w:rPr>
            </w:pPr>
            <w:r>
              <w:rPr>
                <w:rFonts w:ascii="Arial" w:hAnsi="Arial" w:cs="Arial"/>
                <w:sz w:val="20"/>
              </w:rPr>
              <w:t>X</w:t>
            </w:r>
          </w:p>
        </w:tc>
        <w:tc>
          <w:tcPr>
            <w:tcW w:w="383" w:type="pct"/>
            <w:tcBorders>
              <w:top w:val="single" w:sz="12" w:space="0" w:color="000000"/>
              <w:left w:val="single" w:sz="4" w:space="0" w:color="auto"/>
              <w:bottom w:val="single" w:sz="12" w:space="0" w:color="000000"/>
            </w:tcBorders>
            <w:shd w:val="clear" w:color="auto" w:fill="E0E0E0"/>
            <w:vAlign w:val="center"/>
          </w:tcPr>
          <w:p w:rsidR="008A7D84" w:rsidRPr="00950AE5" w:rsidRDefault="008A7D84" w:rsidP="00950AE5">
            <w:pPr>
              <w:spacing w:before="0" w:after="0"/>
              <w:jc w:val="center"/>
              <w:rPr>
                <w:rFonts w:ascii="Arial" w:hAnsi="Arial" w:cs="Arial"/>
                <w:sz w:val="20"/>
              </w:rPr>
            </w:pPr>
          </w:p>
        </w:tc>
        <w:tc>
          <w:tcPr>
            <w:tcW w:w="384" w:type="pct"/>
            <w:tcBorders>
              <w:top w:val="single" w:sz="12" w:space="0" w:color="000000"/>
              <w:left w:val="single" w:sz="4" w:space="0" w:color="auto"/>
              <w:bottom w:val="single" w:sz="12" w:space="0" w:color="000000"/>
            </w:tcBorders>
            <w:shd w:val="clear" w:color="auto" w:fill="E0E0E0"/>
            <w:vAlign w:val="center"/>
          </w:tcPr>
          <w:p w:rsidR="008A7D84" w:rsidRPr="00950AE5" w:rsidRDefault="008A7D84" w:rsidP="00950AE5">
            <w:pPr>
              <w:spacing w:before="0" w:after="0"/>
              <w:jc w:val="center"/>
              <w:rPr>
                <w:rFonts w:ascii="Arial" w:hAnsi="Arial" w:cs="Arial"/>
                <w:sz w:val="20"/>
              </w:rPr>
            </w:pPr>
          </w:p>
        </w:tc>
        <w:tc>
          <w:tcPr>
            <w:tcW w:w="384" w:type="pct"/>
            <w:tcBorders>
              <w:top w:val="single" w:sz="12" w:space="0" w:color="000000"/>
              <w:left w:val="single" w:sz="4" w:space="0" w:color="auto"/>
              <w:bottom w:val="single" w:sz="12" w:space="0" w:color="000000"/>
            </w:tcBorders>
            <w:shd w:val="clear" w:color="auto" w:fill="E0E0E0"/>
            <w:vAlign w:val="center"/>
          </w:tcPr>
          <w:p w:rsidR="008A7D84" w:rsidRPr="00950AE5" w:rsidRDefault="008A7D84" w:rsidP="00950AE5">
            <w:pPr>
              <w:spacing w:before="0" w:after="0"/>
              <w:jc w:val="center"/>
              <w:rPr>
                <w:rFonts w:ascii="Arial" w:hAnsi="Arial" w:cs="Arial"/>
                <w:sz w:val="20"/>
              </w:rPr>
            </w:pPr>
          </w:p>
        </w:tc>
        <w:tc>
          <w:tcPr>
            <w:tcW w:w="384" w:type="pct"/>
            <w:tcBorders>
              <w:top w:val="single" w:sz="12" w:space="0" w:color="000000"/>
              <w:left w:val="single" w:sz="4" w:space="0" w:color="auto"/>
              <w:bottom w:val="single" w:sz="12" w:space="0" w:color="000000"/>
            </w:tcBorders>
            <w:shd w:val="clear" w:color="auto" w:fill="E0E0E0"/>
            <w:vAlign w:val="center"/>
          </w:tcPr>
          <w:p w:rsidR="008A7D84" w:rsidRPr="00950AE5" w:rsidRDefault="00D777DC" w:rsidP="00950AE5">
            <w:pPr>
              <w:spacing w:before="0" w:after="0"/>
              <w:jc w:val="center"/>
              <w:rPr>
                <w:rFonts w:ascii="Arial" w:hAnsi="Arial" w:cs="Arial"/>
                <w:sz w:val="20"/>
              </w:rPr>
            </w:pPr>
            <w:r>
              <w:rPr>
                <w:rFonts w:ascii="Arial" w:hAnsi="Arial" w:cs="Arial"/>
                <w:sz w:val="20"/>
              </w:rPr>
              <w:t>X</w:t>
            </w:r>
          </w:p>
        </w:tc>
        <w:tc>
          <w:tcPr>
            <w:tcW w:w="386" w:type="pct"/>
            <w:tcBorders>
              <w:top w:val="single" w:sz="12" w:space="0" w:color="000000"/>
              <w:left w:val="single" w:sz="4" w:space="0" w:color="auto"/>
              <w:bottom w:val="single" w:sz="12" w:space="0" w:color="000000"/>
              <w:right w:val="single" w:sz="12" w:space="0" w:color="000000"/>
            </w:tcBorders>
            <w:shd w:val="clear" w:color="auto" w:fill="E0E0E0"/>
            <w:vAlign w:val="center"/>
          </w:tcPr>
          <w:p w:rsidR="008A7D84" w:rsidRPr="00950AE5" w:rsidRDefault="008A7D84" w:rsidP="00950AE5">
            <w:pPr>
              <w:spacing w:before="0" w:after="0"/>
              <w:jc w:val="center"/>
              <w:rPr>
                <w:rFonts w:ascii="Arial" w:hAnsi="Arial" w:cs="Arial"/>
                <w:sz w:val="20"/>
              </w:rPr>
            </w:pPr>
          </w:p>
        </w:tc>
      </w:tr>
    </w:tbl>
    <w:p w:rsidR="00950AE5" w:rsidRDefault="00950AE5" w:rsidP="00950AE5"/>
    <w:p w:rsidR="00950AE5" w:rsidRDefault="00950AE5" w:rsidP="00950AE5"/>
    <w:p w:rsidR="00950AE5" w:rsidRPr="0010171D" w:rsidRDefault="00950AE5" w:rsidP="00950AE5"/>
    <w:p w:rsidR="00C4079C" w:rsidRPr="00BA588A" w:rsidRDefault="00C4079C" w:rsidP="00BA588A"/>
    <w:sectPr w:rsidR="00C4079C" w:rsidRPr="00BA588A" w:rsidSect="004A7840">
      <w:footerReference w:type="even" r:id="rId215"/>
      <w:footerReference w:type="default" r:id="rId216"/>
      <w:pgSz w:w="11901" w:h="16817"/>
      <w:pgMar w:top="1134" w:right="1134" w:bottom="1418"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510DF" w:rsidRDefault="009510DF" w:rsidP="003B0CD7">
      <w:pPr>
        <w:spacing w:before="0" w:after="0"/>
      </w:pPr>
      <w:r>
        <w:separator/>
      </w:r>
    </w:p>
  </w:endnote>
  <w:endnote w:type="continuationSeparator" w:id="0">
    <w:p w:rsidR="009510DF" w:rsidRDefault="009510DF" w:rsidP="003B0CD7">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A00002EF" w:usb1="4000004B" w:usb2="00000000" w:usb3="00000000" w:csb0="0000009F" w:csb1="00000000"/>
  </w:font>
  <w:font w:name="Garamond">
    <w:panose1 w:val="02020404030301010803"/>
    <w:charset w:val="00"/>
    <w:family w:val="roman"/>
    <w:pitch w:val="variable"/>
    <w:sig w:usb0="00000287" w:usb1="00000000" w:usb2="00000000" w:usb3="00000000" w:csb0="0000009F" w:csb1="00000000"/>
  </w:font>
  <w:font w:name="Arial">
    <w:panose1 w:val="020B0604020202020204"/>
    <w:charset w:val="00"/>
    <w:family w:val="swiss"/>
    <w:pitch w:val="variable"/>
    <w:sig w:usb0="20002A87" w:usb1="80000000" w:usb2="00000008" w:usb3="00000000" w:csb0="000001FF" w:csb1="00000000"/>
  </w:font>
  <w:font w:name="Verdana">
    <w:panose1 w:val="020B0604030504040204"/>
    <w:charset w:val="00"/>
    <w:family w:val="swiss"/>
    <w:pitch w:val="variable"/>
    <w:sig w:usb0="20000287" w:usb1="00000000" w:usb2="00000000" w:usb3="00000000" w:csb0="0000019F" w:csb1="00000000"/>
  </w:font>
  <w:font w:name="Times">
    <w:panose1 w:val="02020603050405020304"/>
    <w:charset w:val="00"/>
    <w:family w:val="roman"/>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Palatino Linotype">
    <w:panose1 w:val="02040502050505030304"/>
    <w:charset w:val="00"/>
    <w:family w:val="roman"/>
    <w:pitch w:val="variable"/>
    <w:sig w:usb0="E0000387" w:usb1="40000013" w:usb2="00000000" w:usb3="00000000" w:csb0="0000019F" w:csb1="00000000"/>
  </w:font>
  <w:font w:name="Agency FB">
    <w:panose1 w:val="020B0503020202020204"/>
    <w:charset w:val="00"/>
    <w:family w:val="swiss"/>
    <w:pitch w:val="variable"/>
    <w:sig w:usb0="00000003" w:usb1="00000000" w:usb2="00000000" w:usb3="00000000" w:csb0="00000001" w:csb1="00000000"/>
  </w:font>
  <w:font w:name="Bell MT">
    <w:panose1 w:val="02020503060305020303"/>
    <w:charset w:val="00"/>
    <w:family w:val="roman"/>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Book Antiqua">
    <w:panose1 w:val="02040602050305030304"/>
    <w:charset w:val="00"/>
    <w:family w:val="roman"/>
    <w:pitch w:val="variable"/>
    <w:sig w:usb0="00000287" w:usb1="00000000"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 w:name="Century Schoolbook">
    <w:panose1 w:val="02040604050505020304"/>
    <w:charset w:val="00"/>
    <w:family w:val="roman"/>
    <w:pitch w:val="variable"/>
    <w:sig w:usb0="00000287" w:usb1="00000000" w:usb2="00000000" w:usb3="00000000" w:csb0="0000009F" w:csb1="00000000"/>
  </w:font>
  <w:font w:name="Univers">
    <w:altName w:val="Arial"/>
    <w:charset w:val="00"/>
    <w:family w:val="swiss"/>
    <w:pitch w:val="variable"/>
    <w:sig w:usb0="00000000" w:usb1="00000000" w:usb2="00000000" w:usb3="00000000" w:csb0="00000000" w:csb1="00000000"/>
  </w:font>
  <w:font w:name="Arial Narrow">
    <w:panose1 w:val="020B0606020202030204"/>
    <w:charset w:val="00"/>
    <w:family w:val="swiss"/>
    <w:pitch w:val="variable"/>
    <w:sig w:usb0="00000287" w:usb1="00000800" w:usb2="00000000" w:usb3="00000000" w:csb0="0000009F" w:csb1="00000000"/>
  </w:font>
  <w:font w:name="Helvetica">
    <w:panose1 w:val="020B0604020202020204"/>
    <w:charset w:val="00"/>
    <w:family w:val="swiss"/>
    <w:pitch w:val="variable"/>
    <w:sig w:usb0="20002A87" w:usb1="80000000" w:usb2="00000008" w:usb3="00000000" w:csb0="000001FF" w:csb1="00000000"/>
  </w:font>
  <w:font w:name="Times New Roman PS MT">
    <w:altName w:val="Times New Roman"/>
    <w:charset w:val="80"/>
    <w:family w:val="roman"/>
    <w:pitch w:val="variable"/>
    <w:sig w:usb0="00000000" w:usb1="00000000" w:usb2="00000000" w:usb3="00000000" w:csb0="00000000" w:csb1="00000000"/>
  </w:font>
  <w:font w:name="Avalon">
    <w:altName w:val="Times New Roman"/>
    <w:charset w:val="80"/>
    <w:family w:val="roman"/>
    <w:pitch w:val="variable"/>
    <w:sig w:usb0="00000000" w:usb1="00000000" w:usb2="00000000" w:usb3="00000000" w:csb0="00000000" w:csb1="00000000"/>
  </w:font>
  <w:font w:name="Myriad Pro">
    <w:charset w:val="00"/>
    <w:family w:val="auto"/>
    <w:pitch w:val="variable"/>
    <w:sig w:usb0="20000287" w:usb1="00000001" w:usb2="00000000" w:usb3="00000000" w:csb0="0000019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Gotham Book">
    <w:altName w:val="Arial"/>
    <w:charset w:val="00"/>
    <w:family w:val="swiss"/>
    <w:pitch w:val="default"/>
    <w:sig w:usb0="00000000" w:usb1="00000000" w:usb2="00000000" w:usb3="00000000" w:csb0="00000000" w:csb1="00000000"/>
  </w:font>
  <w:font w:name="Arial Black">
    <w:panose1 w:val="020B0A04020102020204"/>
    <w:charset w:val="00"/>
    <w:family w:val="swiss"/>
    <w:pitch w:val="variable"/>
    <w:sig w:usb0="00000287" w:usb1="00000000" w:usb2="00000000" w:usb3="00000000" w:csb0="0000009F" w:csb1="00000000"/>
  </w:font>
  <w:font w:name="MS Mincho">
    <w:altName w:val="ＭＳ 明朝"/>
    <w:panose1 w:val="02020609040205080304"/>
    <w:charset w:val="80"/>
    <w:family w:val="modern"/>
    <w:pitch w:val="fixed"/>
    <w:sig w:usb0="A00002BF" w:usb1="68C7FCFB" w:usb2="00000010" w:usb3="00000000" w:csb0="0002009F" w:csb1="00000000"/>
  </w:font>
  <w:font w:name="Lucida Sans Unicode">
    <w:panose1 w:val="020B0602030504020204"/>
    <w:charset w:val="00"/>
    <w:family w:val="swiss"/>
    <w:pitch w:val="variable"/>
    <w:sig w:usb0="80000AFF" w:usb1="0000396B" w:usb2="00000000" w:usb3="00000000" w:csb0="0000003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72C2" w:rsidRPr="00E3431A" w:rsidRDefault="005D72C2" w:rsidP="004D3D6D">
    <w:pPr>
      <w:pStyle w:val="Pidipagina"/>
      <w:pBdr>
        <w:top w:val="single" w:sz="4" w:space="1" w:color="auto"/>
      </w:pBdr>
      <w:tabs>
        <w:tab w:val="clear" w:pos="4320"/>
        <w:tab w:val="clear" w:pos="8640"/>
        <w:tab w:val="center" w:pos="4820"/>
        <w:tab w:val="right" w:pos="9639"/>
        <w:tab w:val="right" w:pos="14034"/>
      </w:tabs>
      <w:ind w:right="-17"/>
      <w:rPr>
        <w:rFonts w:ascii="Times New Roman" w:hAnsi="Times New Roman"/>
        <w:sz w:val="14"/>
        <w:szCs w:val="14"/>
        <w:lang w:val="pl-PL"/>
      </w:rPr>
    </w:pPr>
    <w:r w:rsidRPr="00E3431A">
      <w:rPr>
        <w:rFonts w:ascii="Times New Roman" w:hAnsi="Times New Roman"/>
        <w:sz w:val="14"/>
        <w:szCs w:val="14"/>
      </w:rPr>
      <w:t>Draft Inception Report –Volume 2 Annexes</w:t>
    </w:r>
    <w:r w:rsidRPr="00E3431A">
      <w:rPr>
        <w:rFonts w:ascii="Times New Roman" w:hAnsi="Times New Roman"/>
        <w:sz w:val="14"/>
        <w:szCs w:val="14"/>
      </w:rPr>
      <w:tab/>
    </w:r>
    <w:r>
      <w:rPr>
        <w:rFonts w:ascii="Times New Roman" w:hAnsi="Times New Roman"/>
        <w:sz w:val="14"/>
        <w:szCs w:val="14"/>
      </w:rPr>
      <w:t>September</w:t>
    </w:r>
    <w:r w:rsidRPr="00E3431A">
      <w:rPr>
        <w:rFonts w:ascii="Times New Roman" w:hAnsi="Times New Roman"/>
        <w:sz w:val="14"/>
        <w:szCs w:val="14"/>
      </w:rPr>
      <w:t xml:space="preserve"> 2013</w:t>
    </w:r>
    <w:r w:rsidRPr="00E3431A">
      <w:rPr>
        <w:rFonts w:ascii="Times New Roman" w:hAnsi="Times New Roman"/>
        <w:sz w:val="14"/>
        <w:szCs w:val="14"/>
      </w:rPr>
      <w:tab/>
      <w:t xml:space="preserve">Page </w:t>
    </w:r>
    <w:r w:rsidRPr="00E3431A">
      <w:rPr>
        <w:rStyle w:val="Numeropagina"/>
        <w:rFonts w:ascii="Times New Roman" w:hAnsi="Times New Roman"/>
        <w:smallCaps w:val="0"/>
        <w:sz w:val="14"/>
        <w:szCs w:val="14"/>
      </w:rPr>
      <w:fldChar w:fldCharType="begin"/>
    </w:r>
    <w:r w:rsidRPr="00E3431A">
      <w:rPr>
        <w:rStyle w:val="Numeropagina"/>
        <w:rFonts w:ascii="Times New Roman" w:hAnsi="Times New Roman"/>
        <w:sz w:val="14"/>
        <w:szCs w:val="14"/>
      </w:rPr>
      <w:instrText xml:space="preserve"> PAGE </w:instrText>
    </w:r>
    <w:r w:rsidRPr="00E3431A">
      <w:rPr>
        <w:rStyle w:val="Numeropagina"/>
        <w:rFonts w:ascii="Times New Roman" w:hAnsi="Times New Roman"/>
        <w:smallCaps w:val="0"/>
        <w:sz w:val="14"/>
        <w:szCs w:val="14"/>
      </w:rPr>
      <w:fldChar w:fldCharType="separate"/>
    </w:r>
    <w:r>
      <w:rPr>
        <w:rStyle w:val="Numeropagina"/>
        <w:rFonts w:ascii="Times New Roman" w:hAnsi="Times New Roman"/>
        <w:smallCaps w:val="0"/>
        <w:noProof/>
        <w:sz w:val="14"/>
        <w:szCs w:val="14"/>
      </w:rPr>
      <w:t>38</w:t>
    </w:r>
    <w:r w:rsidRPr="00E3431A">
      <w:rPr>
        <w:rStyle w:val="Numeropagina"/>
        <w:rFonts w:ascii="Times New Roman" w:hAnsi="Times New Roman"/>
        <w:smallCaps w:val="0"/>
        <w:sz w:val="14"/>
        <w:szCs w:val="14"/>
      </w:rPr>
      <w:fldChar w:fldCharType="end"/>
    </w: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72C2" w:rsidRPr="00E3431A" w:rsidRDefault="005D72C2" w:rsidP="005E7468">
    <w:pPr>
      <w:pStyle w:val="Pidipagina"/>
      <w:pBdr>
        <w:top w:val="single" w:sz="4" w:space="1" w:color="auto"/>
      </w:pBdr>
      <w:tabs>
        <w:tab w:val="clear" w:pos="4320"/>
        <w:tab w:val="clear" w:pos="8640"/>
        <w:tab w:val="center" w:pos="6946"/>
        <w:tab w:val="right" w:pos="14034"/>
      </w:tabs>
      <w:ind w:right="-17"/>
      <w:rPr>
        <w:rFonts w:ascii="Times New Roman" w:hAnsi="Times New Roman"/>
        <w:sz w:val="14"/>
        <w:szCs w:val="14"/>
        <w:lang w:val="pl-PL"/>
      </w:rPr>
    </w:pPr>
    <w:r w:rsidRPr="005E7468">
      <w:rPr>
        <w:rFonts w:ascii="Arial" w:hAnsi="Arial" w:cs="Arial"/>
        <w:sz w:val="14"/>
        <w:szCs w:val="14"/>
      </w:rPr>
      <w:t>Final Report –Volume 2 Annexes</w:t>
    </w:r>
    <w:r w:rsidRPr="005E7468">
      <w:rPr>
        <w:rFonts w:ascii="Arial" w:hAnsi="Arial" w:cs="Arial"/>
        <w:sz w:val="14"/>
        <w:szCs w:val="14"/>
      </w:rPr>
      <w:tab/>
    </w:r>
    <w:r>
      <w:rPr>
        <w:rFonts w:ascii="Arial" w:hAnsi="Arial" w:cs="Arial"/>
        <w:sz w:val="14"/>
        <w:szCs w:val="14"/>
      </w:rPr>
      <w:t xml:space="preserve">May </w:t>
    </w:r>
    <w:r w:rsidRPr="005E7468">
      <w:rPr>
        <w:rFonts w:ascii="Arial" w:hAnsi="Arial" w:cs="Arial"/>
        <w:sz w:val="14"/>
        <w:szCs w:val="14"/>
      </w:rPr>
      <w:t>2014</w:t>
    </w:r>
    <w:r w:rsidRPr="005E7468">
      <w:rPr>
        <w:rFonts w:ascii="Times New Roman" w:hAnsi="Times New Roman"/>
        <w:sz w:val="14"/>
        <w:szCs w:val="14"/>
      </w:rPr>
      <w:tab/>
      <w:t xml:space="preserve">Page </w:t>
    </w:r>
    <w:r w:rsidRPr="00E3431A">
      <w:rPr>
        <w:rStyle w:val="Numeropagina"/>
        <w:rFonts w:ascii="Times New Roman" w:hAnsi="Times New Roman"/>
        <w:smallCaps w:val="0"/>
        <w:sz w:val="14"/>
        <w:szCs w:val="14"/>
      </w:rPr>
      <w:fldChar w:fldCharType="begin"/>
    </w:r>
    <w:r w:rsidRPr="00E3431A">
      <w:rPr>
        <w:rStyle w:val="Numeropagina"/>
        <w:rFonts w:ascii="Times New Roman" w:hAnsi="Times New Roman"/>
        <w:sz w:val="14"/>
        <w:szCs w:val="14"/>
      </w:rPr>
      <w:instrText xml:space="preserve"> PAGE </w:instrText>
    </w:r>
    <w:r w:rsidRPr="00E3431A">
      <w:rPr>
        <w:rStyle w:val="Numeropagina"/>
        <w:rFonts w:ascii="Times New Roman" w:hAnsi="Times New Roman"/>
        <w:smallCaps w:val="0"/>
        <w:sz w:val="14"/>
        <w:szCs w:val="14"/>
      </w:rPr>
      <w:fldChar w:fldCharType="separate"/>
    </w:r>
    <w:r w:rsidR="00444DFA">
      <w:rPr>
        <w:rStyle w:val="Numeropagina"/>
        <w:rFonts w:ascii="Times New Roman" w:hAnsi="Times New Roman"/>
        <w:noProof/>
        <w:sz w:val="14"/>
        <w:szCs w:val="14"/>
      </w:rPr>
      <w:t>58</w:t>
    </w:r>
    <w:r w:rsidRPr="00E3431A">
      <w:rPr>
        <w:rStyle w:val="Numeropagina"/>
        <w:rFonts w:ascii="Times New Roman" w:hAnsi="Times New Roman"/>
        <w:smallCaps w:val="0"/>
        <w:sz w:val="14"/>
        <w:szCs w:val="14"/>
      </w:rPr>
      <w:fldChar w:fldCharType="end"/>
    </w: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72C2" w:rsidRPr="00E3431A" w:rsidRDefault="005D72C2" w:rsidP="004C76A5">
    <w:pPr>
      <w:pStyle w:val="Pidipagina"/>
      <w:pBdr>
        <w:top w:val="single" w:sz="4" w:space="1" w:color="auto"/>
      </w:pBdr>
      <w:tabs>
        <w:tab w:val="clear" w:pos="4320"/>
        <w:tab w:val="clear" w:pos="8640"/>
        <w:tab w:val="center" w:pos="4678"/>
        <w:tab w:val="right" w:pos="9639"/>
        <w:tab w:val="right" w:pos="14034"/>
      </w:tabs>
      <w:ind w:right="-17"/>
      <w:rPr>
        <w:rFonts w:ascii="Times New Roman" w:hAnsi="Times New Roman"/>
        <w:sz w:val="14"/>
        <w:szCs w:val="14"/>
        <w:lang w:val="pl-PL"/>
      </w:rPr>
    </w:pPr>
    <w:r w:rsidRPr="005E7468">
      <w:rPr>
        <w:rFonts w:ascii="Arial" w:hAnsi="Arial" w:cs="Arial"/>
        <w:sz w:val="14"/>
        <w:szCs w:val="14"/>
      </w:rPr>
      <w:t>Final Report –Volume 2 Annexes</w:t>
    </w:r>
    <w:r w:rsidRPr="005E7468">
      <w:rPr>
        <w:rFonts w:ascii="Arial" w:hAnsi="Arial" w:cs="Arial"/>
        <w:sz w:val="14"/>
        <w:szCs w:val="14"/>
      </w:rPr>
      <w:tab/>
    </w:r>
    <w:r>
      <w:rPr>
        <w:rFonts w:ascii="Arial" w:hAnsi="Arial" w:cs="Arial"/>
        <w:sz w:val="14"/>
        <w:szCs w:val="14"/>
      </w:rPr>
      <w:t>April</w:t>
    </w:r>
    <w:r w:rsidRPr="005E7468">
      <w:rPr>
        <w:rFonts w:ascii="Arial" w:hAnsi="Arial" w:cs="Arial"/>
        <w:sz w:val="14"/>
        <w:szCs w:val="14"/>
      </w:rPr>
      <w:t xml:space="preserve"> 2014</w:t>
    </w:r>
    <w:r w:rsidRPr="005E7468">
      <w:rPr>
        <w:rFonts w:ascii="Times New Roman" w:hAnsi="Times New Roman"/>
        <w:sz w:val="14"/>
        <w:szCs w:val="14"/>
      </w:rPr>
      <w:tab/>
      <w:t xml:space="preserve">Page </w:t>
    </w:r>
    <w:r w:rsidRPr="00E3431A">
      <w:rPr>
        <w:rStyle w:val="Numeropagina"/>
        <w:rFonts w:ascii="Times New Roman" w:hAnsi="Times New Roman"/>
        <w:smallCaps w:val="0"/>
        <w:sz w:val="14"/>
        <w:szCs w:val="14"/>
      </w:rPr>
      <w:fldChar w:fldCharType="begin"/>
    </w:r>
    <w:r w:rsidRPr="00E3431A">
      <w:rPr>
        <w:rStyle w:val="Numeropagina"/>
        <w:rFonts w:ascii="Times New Roman" w:hAnsi="Times New Roman"/>
        <w:sz w:val="14"/>
        <w:szCs w:val="14"/>
      </w:rPr>
      <w:instrText xml:space="preserve"> PAGE </w:instrText>
    </w:r>
    <w:r w:rsidRPr="00E3431A">
      <w:rPr>
        <w:rStyle w:val="Numeropagina"/>
        <w:rFonts w:ascii="Times New Roman" w:hAnsi="Times New Roman"/>
        <w:smallCaps w:val="0"/>
        <w:sz w:val="14"/>
        <w:szCs w:val="14"/>
      </w:rPr>
      <w:fldChar w:fldCharType="separate"/>
    </w:r>
    <w:r w:rsidR="00444DFA">
      <w:rPr>
        <w:rStyle w:val="Numeropagina"/>
        <w:rFonts w:ascii="Times New Roman" w:hAnsi="Times New Roman"/>
        <w:noProof/>
        <w:sz w:val="14"/>
        <w:szCs w:val="14"/>
      </w:rPr>
      <w:t>63</w:t>
    </w:r>
    <w:r w:rsidRPr="00E3431A">
      <w:rPr>
        <w:rStyle w:val="Numeropagina"/>
        <w:rFonts w:ascii="Times New Roman" w:hAnsi="Times New Roman"/>
        <w:smallCaps w:val="0"/>
        <w:sz w:val="14"/>
        <w:szCs w:val="14"/>
      </w:rPr>
      <w:fldChar w:fldCharType="end"/>
    </w: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72C2" w:rsidRPr="00E3431A" w:rsidRDefault="005D72C2" w:rsidP="004C76A5">
    <w:pPr>
      <w:pStyle w:val="Pidipagina"/>
      <w:pBdr>
        <w:top w:val="single" w:sz="4" w:space="1" w:color="auto"/>
      </w:pBdr>
      <w:tabs>
        <w:tab w:val="clear" w:pos="4320"/>
        <w:tab w:val="clear" w:pos="8640"/>
        <w:tab w:val="center" w:pos="6946"/>
        <w:tab w:val="right" w:pos="14034"/>
      </w:tabs>
      <w:ind w:right="-17"/>
      <w:rPr>
        <w:rFonts w:ascii="Times New Roman" w:hAnsi="Times New Roman"/>
        <w:sz w:val="14"/>
        <w:szCs w:val="14"/>
        <w:lang w:val="pl-PL"/>
      </w:rPr>
    </w:pPr>
    <w:r w:rsidRPr="005E7468">
      <w:rPr>
        <w:rFonts w:ascii="Arial" w:hAnsi="Arial" w:cs="Arial"/>
        <w:sz w:val="14"/>
        <w:szCs w:val="14"/>
      </w:rPr>
      <w:t>Final Report –Volume 2 Annexes</w:t>
    </w:r>
    <w:r w:rsidRPr="005E7468">
      <w:rPr>
        <w:rFonts w:ascii="Arial" w:hAnsi="Arial" w:cs="Arial"/>
        <w:sz w:val="14"/>
        <w:szCs w:val="14"/>
      </w:rPr>
      <w:tab/>
    </w:r>
    <w:r>
      <w:rPr>
        <w:rFonts w:ascii="Arial" w:hAnsi="Arial" w:cs="Arial"/>
        <w:sz w:val="14"/>
        <w:szCs w:val="14"/>
      </w:rPr>
      <w:t>April</w:t>
    </w:r>
    <w:r w:rsidRPr="005E7468">
      <w:rPr>
        <w:rFonts w:ascii="Arial" w:hAnsi="Arial" w:cs="Arial"/>
        <w:sz w:val="14"/>
        <w:szCs w:val="14"/>
      </w:rPr>
      <w:t xml:space="preserve"> 2014</w:t>
    </w:r>
    <w:r w:rsidRPr="005E7468">
      <w:rPr>
        <w:rFonts w:ascii="Times New Roman" w:hAnsi="Times New Roman"/>
        <w:sz w:val="14"/>
        <w:szCs w:val="14"/>
      </w:rPr>
      <w:tab/>
      <w:t xml:space="preserve">Page </w:t>
    </w:r>
    <w:r w:rsidRPr="00E3431A">
      <w:rPr>
        <w:rStyle w:val="Numeropagina"/>
        <w:rFonts w:ascii="Times New Roman" w:hAnsi="Times New Roman"/>
        <w:smallCaps w:val="0"/>
        <w:sz w:val="14"/>
        <w:szCs w:val="14"/>
      </w:rPr>
      <w:fldChar w:fldCharType="begin"/>
    </w:r>
    <w:r w:rsidRPr="00E3431A">
      <w:rPr>
        <w:rStyle w:val="Numeropagina"/>
        <w:rFonts w:ascii="Times New Roman" w:hAnsi="Times New Roman"/>
        <w:sz w:val="14"/>
        <w:szCs w:val="14"/>
      </w:rPr>
      <w:instrText xml:space="preserve"> PAGE </w:instrText>
    </w:r>
    <w:r w:rsidRPr="00E3431A">
      <w:rPr>
        <w:rStyle w:val="Numeropagina"/>
        <w:rFonts w:ascii="Times New Roman" w:hAnsi="Times New Roman"/>
        <w:smallCaps w:val="0"/>
        <w:sz w:val="14"/>
        <w:szCs w:val="14"/>
      </w:rPr>
      <w:fldChar w:fldCharType="separate"/>
    </w:r>
    <w:r w:rsidR="00444DFA">
      <w:rPr>
        <w:rStyle w:val="Numeropagina"/>
        <w:rFonts w:ascii="Times New Roman" w:hAnsi="Times New Roman"/>
        <w:noProof/>
        <w:sz w:val="14"/>
        <w:szCs w:val="14"/>
      </w:rPr>
      <w:t>75</w:t>
    </w:r>
    <w:r w:rsidRPr="00E3431A">
      <w:rPr>
        <w:rStyle w:val="Numeropagina"/>
        <w:rFonts w:ascii="Times New Roman" w:hAnsi="Times New Roman"/>
        <w:smallCaps w:val="0"/>
        <w:sz w:val="14"/>
        <w:szCs w:val="14"/>
      </w:rPr>
      <w:fldChar w:fldCharType="end"/>
    </w: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72C2" w:rsidRPr="00E3431A" w:rsidRDefault="005D72C2" w:rsidP="004C76A5">
    <w:pPr>
      <w:pStyle w:val="Pidipagina"/>
      <w:pBdr>
        <w:top w:val="single" w:sz="4" w:space="1" w:color="auto"/>
      </w:pBdr>
      <w:tabs>
        <w:tab w:val="clear" w:pos="4320"/>
        <w:tab w:val="clear" w:pos="8640"/>
        <w:tab w:val="center" w:pos="4678"/>
        <w:tab w:val="right" w:pos="9639"/>
        <w:tab w:val="right" w:pos="14034"/>
      </w:tabs>
      <w:ind w:right="-17"/>
      <w:rPr>
        <w:rFonts w:ascii="Times New Roman" w:hAnsi="Times New Roman"/>
        <w:sz w:val="14"/>
        <w:szCs w:val="14"/>
        <w:lang w:val="pl-PL"/>
      </w:rPr>
    </w:pPr>
    <w:r w:rsidRPr="005E7468">
      <w:rPr>
        <w:rFonts w:ascii="Arial" w:hAnsi="Arial" w:cs="Arial"/>
        <w:sz w:val="14"/>
        <w:szCs w:val="14"/>
      </w:rPr>
      <w:t>Final Report –Volume 2 Annexes</w:t>
    </w:r>
    <w:r w:rsidRPr="005E7468">
      <w:rPr>
        <w:rFonts w:ascii="Arial" w:hAnsi="Arial" w:cs="Arial"/>
        <w:sz w:val="14"/>
        <w:szCs w:val="14"/>
      </w:rPr>
      <w:tab/>
    </w:r>
    <w:r>
      <w:rPr>
        <w:rFonts w:ascii="Arial" w:hAnsi="Arial" w:cs="Arial"/>
        <w:sz w:val="14"/>
        <w:szCs w:val="14"/>
      </w:rPr>
      <w:t xml:space="preserve">May </w:t>
    </w:r>
    <w:r w:rsidRPr="005E7468">
      <w:rPr>
        <w:rFonts w:ascii="Arial" w:hAnsi="Arial" w:cs="Arial"/>
        <w:sz w:val="14"/>
        <w:szCs w:val="14"/>
      </w:rPr>
      <w:t>2014</w:t>
    </w:r>
    <w:r w:rsidRPr="005E7468">
      <w:rPr>
        <w:rFonts w:ascii="Times New Roman" w:hAnsi="Times New Roman"/>
        <w:sz w:val="14"/>
        <w:szCs w:val="14"/>
      </w:rPr>
      <w:tab/>
      <w:t xml:space="preserve">Page </w:t>
    </w:r>
    <w:r w:rsidRPr="00E3431A">
      <w:rPr>
        <w:rStyle w:val="Numeropagina"/>
        <w:rFonts w:ascii="Times New Roman" w:hAnsi="Times New Roman"/>
        <w:smallCaps w:val="0"/>
        <w:sz w:val="14"/>
        <w:szCs w:val="14"/>
      </w:rPr>
      <w:fldChar w:fldCharType="begin"/>
    </w:r>
    <w:r w:rsidRPr="00E3431A">
      <w:rPr>
        <w:rStyle w:val="Numeropagina"/>
        <w:rFonts w:ascii="Times New Roman" w:hAnsi="Times New Roman"/>
        <w:sz w:val="14"/>
        <w:szCs w:val="14"/>
      </w:rPr>
      <w:instrText xml:space="preserve"> PAGE </w:instrText>
    </w:r>
    <w:r w:rsidRPr="00E3431A">
      <w:rPr>
        <w:rStyle w:val="Numeropagina"/>
        <w:rFonts w:ascii="Times New Roman" w:hAnsi="Times New Roman"/>
        <w:smallCaps w:val="0"/>
        <w:sz w:val="14"/>
        <w:szCs w:val="14"/>
      </w:rPr>
      <w:fldChar w:fldCharType="separate"/>
    </w:r>
    <w:r w:rsidR="00444DFA">
      <w:rPr>
        <w:rStyle w:val="Numeropagina"/>
        <w:rFonts w:ascii="Times New Roman" w:hAnsi="Times New Roman"/>
        <w:noProof/>
        <w:sz w:val="14"/>
        <w:szCs w:val="14"/>
      </w:rPr>
      <w:t>104</w:t>
    </w:r>
    <w:r w:rsidRPr="00E3431A">
      <w:rPr>
        <w:rStyle w:val="Numeropagina"/>
        <w:rFonts w:ascii="Times New Roman" w:hAnsi="Times New Roman"/>
        <w:smallCaps w:val="0"/>
        <w:sz w:val="14"/>
        <w:szCs w:val="14"/>
      </w:rPr>
      <w:fldChar w:fldCharType="end"/>
    </w: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72C2" w:rsidRPr="00E3431A" w:rsidRDefault="005D72C2" w:rsidP="00A23C41">
    <w:pPr>
      <w:pStyle w:val="Pidipagina"/>
      <w:pBdr>
        <w:top w:val="single" w:sz="4" w:space="1" w:color="auto"/>
      </w:pBdr>
      <w:tabs>
        <w:tab w:val="clear" w:pos="4320"/>
        <w:tab w:val="clear" w:pos="8640"/>
        <w:tab w:val="center" w:pos="4820"/>
        <w:tab w:val="right" w:pos="9639"/>
        <w:tab w:val="right" w:pos="14034"/>
      </w:tabs>
      <w:ind w:right="-17"/>
      <w:rPr>
        <w:rFonts w:ascii="Times New Roman" w:hAnsi="Times New Roman"/>
        <w:sz w:val="14"/>
        <w:szCs w:val="14"/>
        <w:lang w:val="pl-PL"/>
      </w:rPr>
    </w:pPr>
    <w:r w:rsidRPr="00E601AA">
      <w:rPr>
        <w:rFonts w:ascii="Times New Roman" w:hAnsi="Times New Roman"/>
        <w:sz w:val="14"/>
        <w:szCs w:val="14"/>
      </w:rPr>
      <w:t>Final Report –Volume 2Annexes</w:t>
    </w:r>
    <w:r w:rsidRPr="00E601AA">
      <w:rPr>
        <w:rFonts w:ascii="Times New Roman" w:hAnsi="Times New Roman"/>
        <w:sz w:val="14"/>
        <w:szCs w:val="14"/>
      </w:rPr>
      <w:tab/>
    </w:r>
    <w:r>
      <w:rPr>
        <w:rFonts w:ascii="Times New Roman" w:hAnsi="Times New Roman"/>
        <w:sz w:val="14"/>
        <w:szCs w:val="14"/>
      </w:rPr>
      <w:t>May</w:t>
    </w:r>
    <w:r w:rsidRPr="00E601AA">
      <w:rPr>
        <w:rFonts w:ascii="Times New Roman" w:hAnsi="Times New Roman"/>
        <w:sz w:val="14"/>
        <w:szCs w:val="14"/>
      </w:rPr>
      <w:t xml:space="preserve"> 2014</w:t>
    </w:r>
    <w:r w:rsidRPr="00E601AA">
      <w:rPr>
        <w:rFonts w:ascii="Times New Roman" w:hAnsi="Times New Roman"/>
        <w:sz w:val="14"/>
        <w:szCs w:val="14"/>
      </w:rPr>
      <w:tab/>
      <w:t xml:space="preserve">Page </w:t>
    </w:r>
    <w:r w:rsidRPr="00E3431A">
      <w:rPr>
        <w:rStyle w:val="Numeropagina"/>
        <w:rFonts w:ascii="Times New Roman" w:hAnsi="Times New Roman"/>
        <w:smallCaps w:val="0"/>
        <w:sz w:val="14"/>
        <w:szCs w:val="14"/>
      </w:rPr>
      <w:fldChar w:fldCharType="begin"/>
    </w:r>
    <w:r w:rsidRPr="00E3431A">
      <w:rPr>
        <w:rStyle w:val="Numeropagina"/>
        <w:rFonts w:ascii="Times New Roman" w:hAnsi="Times New Roman"/>
        <w:sz w:val="14"/>
        <w:szCs w:val="14"/>
      </w:rPr>
      <w:instrText xml:space="preserve"> PAGE </w:instrText>
    </w:r>
    <w:r w:rsidRPr="00E3431A">
      <w:rPr>
        <w:rStyle w:val="Numeropagina"/>
        <w:rFonts w:ascii="Times New Roman" w:hAnsi="Times New Roman"/>
        <w:smallCaps w:val="0"/>
        <w:sz w:val="14"/>
        <w:szCs w:val="14"/>
      </w:rPr>
      <w:fldChar w:fldCharType="separate"/>
    </w:r>
    <w:r w:rsidR="00444DFA">
      <w:rPr>
        <w:rStyle w:val="Numeropagina"/>
        <w:rFonts w:ascii="Times New Roman" w:hAnsi="Times New Roman"/>
        <w:noProof/>
        <w:sz w:val="14"/>
        <w:szCs w:val="14"/>
      </w:rPr>
      <w:t>113</w:t>
    </w:r>
    <w:r w:rsidRPr="00E3431A">
      <w:rPr>
        <w:rStyle w:val="Numeropagina"/>
        <w:rFonts w:ascii="Times New Roman" w:hAnsi="Times New Roman"/>
        <w:smallCaps w:val="0"/>
        <w:sz w:val="14"/>
        <w:szCs w:val="14"/>
      </w:rPr>
      <w:fldChar w:fldCharType="end"/>
    </w: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72C2" w:rsidRPr="00E3431A" w:rsidRDefault="005D72C2" w:rsidP="00A23C41">
    <w:pPr>
      <w:pStyle w:val="Pidipagina"/>
      <w:pBdr>
        <w:top w:val="single" w:sz="4" w:space="1" w:color="auto"/>
      </w:pBdr>
      <w:tabs>
        <w:tab w:val="clear" w:pos="4320"/>
        <w:tab w:val="clear" w:pos="8640"/>
        <w:tab w:val="center" w:pos="4820"/>
        <w:tab w:val="right" w:pos="9639"/>
        <w:tab w:val="right" w:pos="14034"/>
      </w:tabs>
      <w:ind w:right="-17"/>
      <w:rPr>
        <w:rFonts w:ascii="Times New Roman" w:hAnsi="Times New Roman"/>
        <w:sz w:val="14"/>
        <w:szCs w:val="14"/>
        <w:lang w:val="pl-PL"/>
      </w:rPr>
    </w:pPr>
    <w:r w:rsidRPr="00E601AA">
      <w:rPr>
        <w:rFonts w:ascii="Times New Roman" w:hAnsi="Times New Roman"/>
        <w:sz w:val="14"/>
        <w:szCs w:val="14"/>
      </w:rPr>
      <w:t>Final Report –Volume 2Annexes</w:t>
    </w:r>
    <w:r w:rsidRPr="00E601AA">
      <w:rPr>
        <w:rFonts w:ascii="Times New Roman" w:hAnsi="Times New Roman"/>
        <w:sz w:val="14"/>
        <w:szCs w:val="14"/>
      </w:rPr>
      <w:tab/>
    </w:r>
    <w:r>
      <w:rPr>
        <w:rFonts w:ascii="Times New Roman" w:hAnsi="Times New Roman"/>
        <w:sz w:val="14"/>
        <w:szCs w:val="14"/>
      </w:rPr>
      <w:t>April</w:t>
    </w:r>
    <w:r w:rsidRPr="00E601AA">
      <w:rPr>
        <w:rFonts w:ascii="Times New Roman" w:hAnsi="Times New Roman"/>
        <w:sz w:val="14"/>
        <w:szCs w:val="14"/>
      </w:rPr>
      <w:t xml:space="preserve"> 2014</w:t>
    </w:r>
    <w:r w:rsidRPr="00E601AA">
      <w:rPr>
        <w:rFonts w:ascii="Times New Roman" w:hAnsi="Times New Roman"/>
        <w:sz w:val="14"/>
        <w:szCs w:val="14"/>
      </w:rPr>
      <w:tab/>
      <w:t xml:space="preserve">Page </w:t>
    </w:r>
    <w:r w:rsidRPr="00E3431A">
      <w:rPr>
        <w:rStyle w:val="Numeropagina"/>
        <w:rFonts w:ascii="Times New Roman" w:hAnsi="Times New Roman"/>
        <w:smallCaps w:val="0"/>
        <w:sz w:val="14"/>
        <w:szCs w:val="14"/>
      </w:rPr>
      <w:fldChar w:fldCharType="begin"/>
    </w:r>
    <w:r w:rsidRPr="00E3431A">
      <w:rPr>
        <w:rStyle w:val="Numeropagina"/>
        <w:rFonts w:ascii="Times New Roman" w:hAnsi="Times New Roman"/>
        <w:sz w:val="14"/>
        <w:szCs w:val="14"/>
      </w:rPr>
      <w:instrText xml:space="preserve"> PAGE </w:instrText>
    </w:r>
    <w:r w:rsidRPr="00E3431A">
      <w:rPr>
        <w:rStyle w:val="Numeropagina"/>
        <w:rFonts w:ascii="Times New Roman" w:hAnsi="Times New Roman"/>
        <w:smallCaps w:val="0"/>
        <w:sz w:val="14"/>
        <w:szCs w:val="14"/>
      </w:rPr>
      <w:fldChar w:fldCharType="separate"/>
    </w:r>
    <w:r w:rsidR="00444DFA">
      <w:rPr>
        <w:rStyle w:val="Numeropagina"/>
        <w:rFonts w:ascii="Times New Roman" w:hAnsi="Times New Roman"/>
        <w:noProof/>
        <w:sz w:val="14"/>
        <w:szCs w:val="14"/>
      </w:rPr>
      <w:t>119</w:t>
    </w:r>
    <w:r w:rsidRPr="00E3431A">
      <w:rPr>
        <w:rStyle w:val="Numeropagina"/>
        <w:rFonts w:ascii="Times New Roman" w:hAnsi="Times New Roman"/>
        <w:smallCaps w:val="0"/>
        <w:sz w:val="14"/>
        <w:szCs w:val="14"/>
      </w:rPr>
      <w:fldChar w:fldCharType="end"/>
    </w:r>
  </w:p>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72C2" w:rsidRPr="00E3431A" w:rsidRDefault="005D72C2" w:rsidP="00A23C41">
    <w:pPr>
      <w:pStyle w:val="Pidipagina"/>
      <w:pBdr>
        <w:top w:val="single" w:sz="4" w:space="1" w:color="auto"/>
      </w:pBdr>
      <w:tabs>
        <w:tab w:val="clear" w:pos="4320"/>
        <w:tab w:val="clear" w:pos="8640"/>
        <w:tab w:val="center" w:pos="7088"/>
        <w:tab w:val="right" w:pos="14034"/>
      </w:tabs>
      <w:ind w:right="-17"/>
      <w:rPr>
        <w:rFonts w:ascii="Times New Roman" w:hAnsi="Times New Roman"/>
        <w:sz w:val="14"/>
        <w:szCs w:val="14"/>
        <w:lang w:val="pl-PL"/>
      </w:rPr>
    </w:pPr>
    <w:r w:rsidRPr="00417B89">
      <w:rPr>
        <w:rFonts w:ascii="Times New Roman" w:hAnsi="Times New Roman"/>
        <w:sz w:val="14"/>
        <w:szCs w:val="14"/>
        <w:lang w:val="fr-FR"/>
      </w:rPr>
      <w:t>Desk Report –Volume 2Annexes</w:t>
    </w:r>
    <w:r w:rsidRPr="00417B89">
      <w:rPr>
        <w:rFonts w:ascii="Times New Roman" w:hAnsi="Times New Roman"/>
        <w:sz w:val="14"/>
        <w:szCs w:val="14"/>
        <w:lang w:val="fr-FR"/>
      </w:rPr>
      <w:tab/>
    </w:r>
    <w:r>
      <w:rPr>
        <w:rFonts w:ascii="Times New Roman" w:hAnsi="Times New Roman"/>
        <w:sz w:val="14"/>
        <w:szCs w:val="14"/>
        <w:lang w:val="fr-FR"/>
      </w:rPr>
      <w:t xml:space="preserve">May </w:t>
    </w:r>
    <w:r w:rsidRPr="00417B89">
      <w:rPr>
        <w:rFonts w:ascii="Times New Roman" w:hAnsi="Times New Roman"/>
        <w:sz w:val="14"/>
        <w:szCs w:val="14"/>
        <w:lang w:val="fr-FR"/>
      </w:rPr>
      <w:t>2013</w:t>
    </w:r>
    <w:r w:rsidRPr="00417B89">
      <w:rPr>
        <w:rFonts w:ascii="Times New Roman" w:hAnsi="Times New Roman"/>
        <w:sz w:val="14"/>
        <w:szCs w:val="14"/>
        <w:lang w:val="fr-FR"/>
      </w:rPr>
      <w:tab/>
      <w:t xml:space="preserve">Page </w:t>
    </w:r>
    <w:r w:rsidRPr="00E3431A">
      <w:rPr>
        <w:rStyle w:val="Numeropagina"/>
        <w:rFonts w:ascii="Times New Roman" w:hAnsi="Times New Roman"/>
        <w:smallCaps w:val="0"/>
        <w:sz w:val="14"/>
        <w:szCs w:val="14"/>
      </w:rPr>
      <w:fldChar w:fldCharType="begin"/>
    </w:r>
    <w:r w:rsidRPr="00E3431A">
      <w:rPr>
        <w:rStyle w:val="Numeropagina"/>
        <w:rFonts w:ascii="Times New Roman" w:hAnsi="Times New Roman"/>
        <w:sz w:val="14"/>
        <w:szCs w:val="14"/>
      </w:rPr>
      <w:instrText xml:space="preserve"> PAGE </w:instrText>
    </w:r>
    <w:r w:rsidRPr="00E3431A">
      <w:rPr>
        <w:rStyle w:val="Numeropagina"/>
        <w:rFonts w:ascii="Times New Roman" w:hAnsi="Times New Roman"/>
        <w:smallCaps w:val="0"/>
        <w:sz w:val="14"/>
        <w:szCs w:val="14"/>
      </w:rPr>
      <w:fldChar w:fldCharType="separate"/>
    </w:r>
    <w:r w:rsidR="00444DFA">
      <w:rPr>
        <w:rStyle w:val="Numeropagina"/>
        <w:rFonts w:ascii="Times New Roman" w:hAnsi="Times New Roman"/>
        <w:noProof/>
        <w:sz w:val="14"/>
        <w:szCs w:val="14"/>
      </w:rPr>
      <w:t>120</w:t>
    </w:r>
    <w:r w:rsidRPr="00E3431A">
      <w:rPr>
        <w:rStyle w:val="Numeropagina"/>
        <w:rFonts w:ascii="Times New Roman" w:hAnsi="Times New Roman"/>
        <w:smallCaps w:val="0"/>
        <w:sz w:val="14"/>
        <w:szCs w:val="14"/>
      </w:rPr>
      <w:fldChar w:fldCharType="end"/>
    </w:r>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72C2" w:rsidRPr="00E3431A" w:rsidRDefault="005D72C2" w:rsidP="00140882">
    <w:pPr>
      <w:pStyle w:val="Pidipagina"/>
      <w:pBdr>
        <w:top w:val="single" w:sz="4" w:space="1" w:color="auto"/>
      </w:pBdr>
      <w:tabs>
        <w:tab w:val="clear" w:pos="4320"/>
        <w:tab w:val="clear" w:pos="8640"/>
        <w:tab w:val="center" w:pos="4820"/>
        <w:tab w:val="right" w:pos="9639"/>
        <w:tab w:val="right" w:pos="14034"/>
      </w:tabs>
      <w:ind w:right="-17"/>
      <w:rPr>
        <w:rFonts w:ascii="Times New Roman" w:hAnsi="Times New Roman"/>
        <w:sz w:val="14"/>
        <w:szCs w:val="14"/>
        <w:lang w:val="pl-PL"/>
      </w:rPr>
    </w:pPr>
    <w:r w:rsidRPr="005E7468">
      <w:rPr>
        <w:rFonts w:ascii="Arial" w:hAnsi="Arial" w:cs="Arial"/>
        <w:sz w:val="14"/>
        <w:szCs w:val="14"/>
      </w:rPr>
      <w:t>Final Report –Volume 2 Annexes</w:t>
    </w:r>
    <w:r w:rsidRPr="005E7468">
      <w:rPr>
        <w:rFonts w:ascii="Arial" w:hAnsi="Arial" w:cs="Arial"/>
        <w:sz w:val="14"/>
        <w:szCs w:val="14"/>
      </w:rPr>
      <w:tab/>
    </w:r>
    <w:r>
      <w:rPr>
        <w:rFonts w:ascii="Arial" w:hAnsi="Arial" w:cs="Arial"/>
        <w:sz w:val="14"/>
        <w:szCs w:val="14"/>
      </w:rPr>
      <w:t>May</w:t>
    </w:r>
    <w:r w:rsidRPr="005E7468">
      <w:rPr>
        <w:rFonts w:ascii="Arial" w:hAnsi="Arial" w:cs="Arial"/>
        <w:sz w:val="14"/>
        <w:szCs w:val="14"/>
      </w:rPr>
      <w:t xml:space="preserve"> 2014</w:t>
    </w:r>
    <w:r w:rsidRPr="005E7468">
      <w:rPr>
        <w:rFonts w:ascii="Times New Roman" w:hAnsi="Times New Roman"/>
        <w:sz w:val="14"/>
        <w:szCs w:val="14"/>
      </w:rPr>
      <w:tab/>
      <w:t xml:space="preserve">Page </w:t>
    </w:r>
    <w:r w:rsidRPr="00E3431A">
      <w:rPr>
        <w:rStyle w:val="Numeropagina"/>
        <w:rFonts w:ascii="Times New Roman" w:hAnsi="Times New Roman"/>
        <w:smallCaps w:val="0"/>
        <w:sz w:val="14"/>
        <w:szCs w:val="14"/>
      </w:rPr>
      <w:fldChar w:fldCharType="begin"/>
    </w:r>
    <w:r w:rsidRPr="00E3431A">
      <w:rPr>
        <w:rStyle w:val="Numeropagina"/>
        <w:rFonts w:ascii="Times New Roman" w:hAnsi="Times New Roman"/>
        <w:sz w:val="14"/>
        <w:szCs w:val="14"/>
      </w:rPr>
      <w:instrText xml:space="preserve"> PAGE </w:instrText>
    </w:r>
    <w:r w:rsidRPr="00E3431A">
      <w:rPr>
        <w:rStyle w:val="Numeropagina"/>
        <w:rFonts w:ascii="Times New Roman" w:hAnsi="Times New Roman"/>
        <w:smallCaps w:val="0"/>
        <w:sz w:val="14"/>
        <w:szCs w:val="14"/>
      </w:rPr>
      <w:fldChar w:fldCharType="separate"/>
    </w:r>
    <w:r w:rsidR="0067386E">
      <w:rPr>
        <w:rStyle w:val="Numeropagina"/>
        <w:rFonts w:ascii="Times New Roman" w:hAnsi="Times New Roman"/>
        <w:noProof/>
        <w:sz w:val="14"/>
        <w:szCs w:val="14"/>
      </w:rPr>
      <w:t>126</w:t>
    </w:r>
    <w:r w:rsidRPr="00E3431A">
      <w:rPr>
        <w:rStyle w:val="Numeropagina"/>
        <w:rFonts w:ascii="Times New Roman" w:hAnsi="Times New Roman"/>
        <w:smallCaps w:val="0"/>
        <w:sz w:val="14"/>
        <w:szCs w:val="14"/>
      </w:rPr>
      <w:fldChar w:fldCharType="end"/>
    </w:r>
  </w:p>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72C2" w:rsidRPr="00E3431A" w:rsidRDefault="005D72C2" w:rsidP="003C6F5E">
    <w:pPr>
      <w:pStyle w:val="Pidipagina"/>
      <w:pBdr>
        <w:top w:val="single" w:sz="4" w:space="1" w:color="auto"/>
      </w:pBdr>
      <w:tabs>
        <w:tab w:val="clear" w:pos="4320"/>
        <w:tab w:val="clear" w:pos="8640"/>
        <w:tab w:val="center" w:pos="7088"/>
        <w:tab w:val="right" w:pos="14175"/>
      </w:tabs>
      <w:ind w:right="-17"/>
      <w:rPr>
        <w:rFonts w:ascii="Times New Roman" w:hAnsi="Times New Roman"/>
        <w:sz w:val="14"/>
        <w:szCs w:val="14"/>
        <w:lang w:val="pl-PL"/>
      </w:rPr>
    </w:pPr>
    <w:r w:rsidRPr="005E7468">
      <w:rPr>
        <w:rFonts w:ascii="Arial" w:hAnsi="Arial" w:cs="Arial"/>
        <w:sz w:val="14"/>
        <w:szCs w:val="14"/>
      </w:rPr>
      <w:t>Final Report –Volume 2 Annexes</w:t>
    </w:r>
    <w:r w:rsidRPr="005E7468">
      <w:rPr>
        <w:rFonts w:ascii="Arial" w:hAnsi="Arial" w:cs="Arial"/>
        <w:sz w:val="14"/>
        <w:szCs w:val="14"/>
      </w:rPr>
      <w:tab/>
    </w:r>
    <w:r>
      <w:rPr>
        <w:rFonts w:ascii="Arial" w:hAnsi="Arial" w:cs="Arial"/>
        <w:sz w:val="14"/>
        <w:szCs w:val="14"/>
      </w:rPr>
      <w:t xml:space="preserve">May </w:t>
    </w:r>
    <w:r w:rsidRPr="005E7468">
      <w:rPr>
        <w:rFonts w:ascii="Arial" w:hAnsi="Arial" w:cs="Arial"/>
        <w:sz w:val="14"/>
        <w:szCs w:val="14"/>
      </w:rPr>
      <w:t>2014</w:t>
    </w:r>
    <w:r w:rsidRPr="005E7468">
      <w:rPr>
        <w:rFonts w:ascii="Times New Roman" w:hAnsi="Times New Roman"/>
        <w:sz w:val="14"/>
        <w:szCs w:val="14"/>
      </w:rPr>
      <w:tab/>
      <w:t xml:space="preserve">Page </w:t>
    </w:r>
    <w:r w:rsidRPr="00E3431A">
      <w:rPr>
        <w:rStyle w:val="Numeropagina"/>
        <w:rFonts w:ascii="Times New Roman" w:hAnsi="Times New Roman"/>
        <w:smallCaps w:val="0"/>
        <w:sz w:val="14"/>
        <w:szCs w:val="14"/>
      </w:rPr>
      <w:fldChar w:fldCharType="begin"/>
    </w:r>
    <w:r w:rsidRPr="00E3431A">
      <w:rPr>
        <w:rStyle w:val="Numeropagina"/>
        <w:rFonts w:ascii="Times New Roman" w:hAnsi="Times New Roman"/>
        <w:sz w:val="14"/>
        <w:szCs w:val="14"/>
      </w:rPr>
      <w:instrText xml:space="preserve"> PAGE </w:instrText>
    </w:r>
    <w:r w:rsidRPr="00E3431A">
      <w:rPr>
        <w:rStyle w:val="Numeropagina"/>
        <w:rFonts w:ascii="Times New Roman" w:hAnsi="Times New Roman"/>
        <w:smallCaps w:val="0"/>
        <w:sz w:val="14"/>
        <w:szCs w:val="14"/>
      </w:rPr>
      <w:fldChar w:fldCharType="separate"/>
    </w:r>
    <w:r w:rsidR="0067386E">
      <w:rPr>
        <w:rStyle w:val="Numeropagina"/>
        <w:rFonts w:ascii="Times New Roman" w:hAnsi="Times New Roman"/>
        <w:noProof/>
        <w:sz w:val="14"/>
        <w:szCs w:val="14"/>
      </w:rPr>
      <w:t>128</w:t>
    </w:r>
    <w:r w:rsidRPr="00E3431A">
      <w:rPr>
        <w:rStyle w:val="Numeropagina"/>
        <w:rFonts w:ascii="Times New Roman" w:hAnsi="Times New Roman"/>
        <w:smallCaps w:val="0"/>
        <w:sz w:val="14"/>
        <w:szCs w:val="14"/>
      </w:rPr>
      <w:fldChar w:fldCharType="end"/>
    </w:r>
  </w:p>
</w:ftr>
</file>

<file path=word/footer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72C2" w:rsidRPr="005E7468" w:rsidRDefault="005D72C2" w:rsidP="00417B89">
    <w:pPr>
      <w:pStyle w:val="Pidipagina"/>
      <w:pBdr>
        <w:top w:val="single" w:sz="4" w:space="1" w:color="auto"/>
      </w:pBdr>
      <w:tabs>
        <w:tab w:val="clear" w:pos="4320"/>
        <w:tab w:val="clear" w:pos="8640"/>
        <w:tab w:val="center" w:pos="7088"/>
        <w:tab w:val="right" w:pos="14317"/>
      </w:tabs>
      <w:ind w:right="-17"/>
      <w:rPr>
        <w:rFonts w:ascii="Arial" w:hAnsi="Arial" w:cs="Arial"/>
        <w:sz w:val="14"/>
        <w:szCs w:val="14"/>
        <w:lang w:val="pl-PL"/>
      </w:rPr>
    </w:pPr>
    <w:r w:rsidRPr="005E7468">
      <w:rPr>
        <w:rFonts w:ascii="Arial" w:hAnsi="Arial" w:cs="Arial"/>
        <w:sz w:val="14"/>
        <w:szCs w:val="14"/>
      </w:rPr>
      <w:t>Draft Final Report –Volume 2 Annexes</w:t>
    </w:r>
    <w:r w:rsidRPr="005E7468">
      <w:rPr>
        <w:rFonts w:ascii="Arial" w:hAnsi="Arial" w:cs="Arial"/>
        <w:sz w:val="14"/>
        <w:szCs w:val="14"/>
      </w:rPr>
      <w:tab/>
    </w:r>
    <w:r>
      <w:rPr>
        <w:rFonts w:ascii="Arial" w:hAnsi="Arial" w:cs="Arial"/>
        <w:sz w:val="14"/>
        <w:szCs w:val="14"/>
      </w:rPr>
      <w:t>May</w:t>
    </w:r>
    <w:r w:rsidRPr="005E7468">
      <w:rPr>
        <w:rFonts w:ascii="Arial" w:hAnsi="Arial" w:cs="Arial"/>
        <w:sz w:val="14"/>
        <w:szCs w:val="14"/>
      </w:rPr>
      <w:t xml:space="preserve"> 2014</w:t>
    </w:r>
    <w:r w:rsidRPr="005E7468">
      <w:rPr>
        <w:rFonts w:ascii="Times New Roman" w:hAnsi="Times New Roman"/>
        <w:sz w:val="14"/>
        <w:szCs w:val="14"/>
      </w:rPr>
      <w:tab/>
    </w:r>
    <w:r w:rsidRPr="005E7468">
      <w:rPr>
        <w:rFonts w:ascii="Arial" w:hAnsi="Arial" w:cs="Arial"/>
        <w:sz w:val="14"/>
        <w:szCs w:val="14"/>
      </w:rPr>
      <w:t xml:space="preserve">Page </w:t>
    </w:r>
    <w:r w:rsidRPr="005E7468">
      <w:rPr>
        <w:rStyle w:val="Numeropagina"/>
        <w:rFonts w:ascii="Arial" w:hAnsi="Arial" w:cs="Arial"/>
        <w:smallCaps w:val="0"/>
        <w:sz w:val="14"/>
        <w:szCs w:val="14"/>
      </w:rPr>
      <w:fldChar w:fldCharType="begin"/>
    </w:r>
    <w:r w:rsidRPr="005E7468">
      <w:rPr>
        <w:rStyle w:val="Numeropagina"/>
        <w:rFonts w:ascii="Arial" w:hAnsi="Arial" w:cs="Arial"/>
        <w:sz w:val="14"/>
        <w:szCs w:val="14"/>
      </w:rPr>
      <w:instrText xml:space="preserve"> PAGE </w:instrText>
    </w:r>
    <w:r w:rsidRPr="005E7468">
      <w:rPr>
        <w:rStyle w:val="Numeropagina"/>
        <w:rFonts w:ascii="Arial" w:hAnsi="Arial" w:cs="Arial"/>
        <w:smallCaps w:val="0"/>
        <w:sz w:val="14"/>
        <w:szCs w:val="14"/>
      </w:rPr>
      <w:fldChar w:fldCharType="separate"/>
    </w:r>
    <w:r w:rsidR="0067386E">
      <w:rPr>
        <w:rStyle w:val="Numeropagina"/>
        <w:rFonts w:ascii="Arial" w:hAnsi="Arial" w:cs="Arial"/>
        <w:noProof/>
        <w:sz w:val="14"/>
        <w:szCs w:val="14"/>
      </w:rPr>
      <w:t>174</w:t>
    </w:r>
    <w:r w:rsidRPr="005E7468">
      <w:rPr>
        <w:rStyle w:val="Numeropagina"/>
        <w:rFonts w:ascii="Arial" w:hAnsi="Arial" w:cs="Arial"/>
        <w:smallCaps w:val="0"/>
        <w:sz w:val="14"/>
        <w:szCs w:val="14"/>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72C2" w:rsidRPr="00E3431A" w:rsidRDefault="005D72C2" w:rsidP="004D3D6D">
    <w:pPr>
      <w:pStyle w:val="Pidipagina"/>
      <w:pBdr>
        <w:top w:val="single" w:sz="4" w:space="1" w:color="auto"/>
      </w:pBdr>
      <w:tabs>
        <w:tab w:val="clear" w:pos="4320"/>
        <w:tab w:val="clear" w:pos="8640"/>
        <w:tab w:val="center" w:pos="4820"/>
        <w:tab w:val="right" w:pos="9639"/>
        <w:tab w:val="right" w:pos="14034"/>
      </w:tabs>
      <w:ind w:right="-17"/>
      <w:rPr>
        <w:rFonts w:ascii="Times New Roman" w:hAnsi="Times New Roman"/>
        <w:sz w:val="14"/>
        <w:szCs w:val="14"/>
      </w:rPr>
    </w:pPr>
    <w:r w:rsidRPr="005E7468">
      <w:rPr>
        <w:rFonts w:ascii="Arial" w:hAnsi="Arial" w:cs="Arial"/>
        <w:sz w:val="14"/>
        <w:szCs w:val="14"/>
      </w:rPr>
      <w:t>Final Report –Volume 2 Annexes</w:t>
    </w:r>
    <w:r w:rsidRPr="005E7468">
      <w:rPr>
        <w:rFonts w:ascii="Arial" w:hAnsi="Arial" w:cs="Arial"/>
        <w:sz w:val="14"/>
        <w:szCs w:val="14"/>
      </w:rPr>
      <w:tab/>
    </w:r>
    <w:r>
      <w:rPr>
        <w:rFonts w:ascii="Arial" w:hAnsi="Arial" w:cs="Arial"/>
        <w:sz w:val="14"/>
        <w:szCs w:val="14"/>
      </w:rPr>
      <w:t xml:space="preserve">May </w:t>
    </w:r>
    <w:r w:rsidRPr="005E7468">
      <w:rPr>
        <w:rFonts w:ascii="Arial" w:hAnsi="Arial" w:cs="Arial"/>
        <w:sz w:val="14"/>
        <w:szCs w:val="14"/>
      </w:rPr>
      <w:t>2014</w:t>
    </w:r>
    <w:r w:rsidRPr="00E3431A">
      <w:rPr>
        <w:rFonts w:ascii="Times New Roman" w:hAnsi="Times New Roman"/>
        <w:sz w:val="14"/>
        <w:szCs w:val="14"/>
      </w:rPr>
      <w:tab/>
      <w:t xml:space="preserve">Page </w:t>
    </w:r>
    <w:r w:rsidRPr="00E3431A">
      <w:rPr>
        <w:rStyle w:val="Numeropagina"/>
        <w:rFonts w:ascii="Times New Roman" w:hAnsi="Times New Roman"/>
        <w:smallCaps w:val="0"/>
        <w:sz w:val="14"/>
        <w:szCs w:val="14"/>
      </w:rPr>
      <w:fldChar w:fldCharType="begin"/>
    </w:r>
    <w:r w:rsidRPr="00E3431A">
      <w:rPr>
        <w:rStyle w:val="Numeropagina"/>
        <w:rFonts w:ascii="Times New Roman" w:hAnsi="Times New Roman"/>
        <w:sz w:val="14"/>
        <w:szCs w:val="14"/>
      </w:rPr>
      <w:instrText xml:space="preserve"> PAGE </w:instrText>
    </w:r>
    <w:r w:rsidRPr="00E3431A">
      <w:rPr>
        <w:rStyle w:val="Numeropagina"/>
        <w:rFonts w:ascii="Times New Roman" w:hAnsi="Times New Roman"/>
        <w:smallCaps w:val="0"/>
        <w:sz w:val="14"/>
        <w:szCs w:val="14"/>
      </w:rPr>
      <w:fldChar w:fldCharType="separate"/>
    </w:r>
    <w:r w:rsidR="00444DFA">
      <w:rPr>
        <w:rStyle w:val="Numeropagina"/>
        <w:rFonts w:ascii="Times New Roman" w:hAnsi="Times New Roman"/>
        <w:noProof/>
        <w:sz w:val="14"/>
        <w:szCs w:val="14"/>
      </w:rPr>
      <w:t>2</w:t>
    </w:r>
    <w:r w:rsidRPr="00E3431A">
      <w:rPr>
        <w:rStyle w:val="Numeropagina"/>
        <w:rFonts w:ascii="Times New Roman" w:hAnsi="Times New Roman"/>
        <w:smallCaps w:val="0"/>
        <w:sz w:val="14"/>
        <w:szCs w:val="14"/>
      </w:rPr>
      <w:fldChar w:fldCharType="end"/>
    </w:r>
  </w:p>
</w:ftr>
</file>

<file path=word/footer2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72C2" w:rsidRPr="00E3431A" w:rsidRDefault="005D72C2" w:rsidP="00ED1BE3">
    <w:pPr>
      <w:pStyle w:val="Pidipagina"/>
      <w:pBdr>
        <w:top w:val="single" w:sz="4" w:space="1" w:color="auto"/>
      </w:pBdr>
      <w:tabs>
        <w:tab w:val="clear" w:pos="4320"/>
        <w:tab w:val="clear" w:pos="8640"/>
        <w:tab w:val="center" w:pos="4820"/>
        <w:tab w:val="right" w:pos="9639"/>
        <w:tab w:val="right" w:pos="14317"/>
      </w:tabs>
      <w:ind w:right="-17"/>
      <w:rPr>
        <w:rFonts w:ascii="Times New Roman" w:hAnsi="Times New Roman"/>
        <w:sz w:val="14"/>
        <w:szCs w:val="14"/>
        <w:lang w:val="pl-PL"/>
      </w:rPr>
    </w:pPr>
    <w:r w:rsidRPr="005E7468">
      <w:rPr>
        <w:rFonts w:ascii="Arial" w:hAnsi="Arial" w:cs="Arial"/>
        <w:sz w:val="14"/>
        <w:szCs w:val="14"/>
      </w:rPr>
      <w:t>Draft Final Report –Volume 2 Annexes</w:t>
    </w:r>
    <w:r w:rsidRPr="005E7468">
      <w:rPr>
        <w:rFonts w:ascii="Arial" w:hAnsi="Arial" w:cs="Arial"/>
        <w:sz w:val="14"/>
        <w:szCs w:val="14"/>
      </w:rPr>
      <w:tab/>
    </w:r>
    <w:r>
      <w:rPr>
        <w:rFonts w:ascii="Arial" w:hAnsi="Arial" w:cs="Arial"/>
        <w:sz w:val="14"/>
        <w:szCs w:val="14"/>
      </w:rPr>
      <w:t>May</w:t>
    </w:r>
    <w:r w:rsidRPr="005E7468">
      <w:rPr>
        <w:rFonts w:ascii="Arial" w:hAnsi="Arial" w:cs="Arial"/>
        <w:sz w:val="14"/>
        <w:szCs w:val="14"/>
      </w:rPr>
      <w:t xml:space="preserve"> 2014</w:t>
    </w:r>
    <w:r w:rsidRPr="005E7468">
      <w:rPr>
        <w:rFonts w:ascii="Times New Roman" w:hAnsi="Times New Roman"/>
        <w:sz w:val="14"/>
        <w:szCs w:val="14"/>
      </w:rPr>
      <w:tab/>
      <w:t xml:space="preserve">Page </w:t>
    </w:r>
    <w:r w:rsidRPr="00E3431A">
      <w:rPr>
        <w:rStyle w:val="Numeropagina"/>
        <w:rFonts w:ascii="Times New Roman" w:hAnsi="Times New Roman"/>
        <w:smallCaps w:val="0"/>
        <w:sz w:val="14"/>
        <w:szCs w:val="14"/>
      </w:rPr>
      <w:fldChar w:fldCharType="begin"/>
    </w:r>
    <w:r w:rsidRPr="00E3431A">
      <w:rPr>
        <w:rStyle w:val="Numeropagina"/>
        <w:rFonts w:ascii="Times New Roman" w:hAnsi="Times New Roman"/>
        <w:sz w:val="14"/>
        <w:szCs w:val="14"/>
      </w:rPr>
      <w:instrText xml:space="preserve"> PAGE </w:instrText>
    </w:r>
    <w:r w:rsidRPr="00E3431A">
      <w:rPr>
        <w:rStyle w:val="Numeropagina"/>
        <w:rFonts w:ascii="Times New Roman" w:hAnsi="Times New Roman"/>
        <w:smallCaps w:val="0"/>
        <w:sz w:val="14"/>
        <w:szCs w:val="14"/>
      </w:rPr>
      <w:fldChar w:fldCharType="separate"/>
    </w:r>
    <w:r w:rsidR="0067386E">
      <w:rPr>
        <w:rStyle w:val="Numeropagina"/>
        <w:rFonts w:ascii="Times New Roman" w:hAnsi="Times New Roman"/>
        <w:noProof/>
        <w:sz w:val="14"/>
        <w:szCs w:val="14"/>
      </w:rPr>
      <w:t>180</w:t>
    </w:r>
    <w:r w:rsidRPr="00E3431A">
      <w:rPr>
        <w:rStyle w:val="Numeropagina"/>
        <w:rFonts w:ascii="Times New Roman" w:hAnsi="Times New Roman"/>
        <w:smallCaps w:val="0"/>
        <w:sz w:val="14"/>
        <w:szCs w:val="14"/>
      </w:rPr>
      <w:fldChar w:fldCharType="end"/>
    </w:r>
  </w:p>
</w:ftr>
</file>

<file path=word/footer2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72C2" w:rsidRPr="005E7468" w:rsidRDefault="005D72C2" w:rsidP="00ED1BE3">
    <w:pPr>
      <w:pStyle w:val="Pidipagina"/>
      <w:pBdr>
        <w:top w:val="single" w:sz="4" w:space="1" w:color="auto"/>
      </w:pBdr>
      <w:tabs>
        <w:tab w:val="clear" w:pos="4320"/>
        <w:tab w:val="clear" w:pos="8640"/>
        <w:tab w:val="center" w:pos="7088"/>
        <w:tab w:val="right" w:pos="14317"/>
      </w:tabs>
      <w:ind w:right="-17"/>
      <w:rPr>
        <w:rFonts w:ascii="Arial" w:hAnsi="Arial" w:cs="Arial"/>
        <w:sz w:val="14"/>
        <w:szCs w:val="14"/>
        <w:lang w:val="pl-PL"/>
      </w:rPr>
    </w:pPr>
    <w:r w:rsidRPr="005E7468">
      <w:rPr>
        <w:rFonts w:ascii="Arial" w:hAnsi="Arial" w:cs="Arial"/>
        <w:sz w:val="14"/>
        <w:szCs w:val="14"/>
      </w:rPr>
      <w:t>Draft Final Report –Volume 2 Annexes</w:t>
    </w:r>
    <w:r w:rsidRPr="005E7468">
      <w:rPr>
        <w:rFonts w:ascii="Arial" w:hAnsi="Arial" w:cs="Arial"/>
        <w:sz w:val="14"/>
        <w:szCs w:val="14"/>
      </w:rPr>
      <w:tab/>
    </w:r>
    <w:r>
      <w:rPr>
        <w:rFonts w:ascii="Arial" w:hAnsi="Arial" w:cs="Arial"/>
        <w:sz w:val="14"/>
        <w:szCs w:val="14"/>
      </w:rPr>
      <w:t xml:space="preserve">May </w:t>
    </w:r>
    <w:r w:rsidRPr="005E7468">
      <w:rPr>
        <w:rFonts w:ascii="Arial" w:hAnsi="Arial" w:cs="Arial"/>
        <w:sz w:val="14"/>
        <w:szCs w:val="14"/>
      </w:rPr>
      <w:t>2014</w:t>
    </w:r>
    <w:r w:rsidRPr="005E7468">
      <w:rPr>
        <w:rFonts w:ascii="Times New Roman" w:hAnsi="Times New Roman"/>
        <w:sz w:val="14"/>
        <w:szCs w:val="14"/>
      </w:rPr>
      <w:tab/>
    </w:r>
    <w:r w:rsidRPr="005E7468">
      <w:rPr>
        <w:rFonts w:ascii="Arial" w:hAnsi="Arial" w:cs="Arial"/>
        <w:sz w:val="14"/>
        <w:szCs w:val="14"/>
      </w:rPr>
      <w:t xml:space="preserve">Page </w:t>
    </w:r>
    <w:r w:rsidRPr="005E7468">
      <w:rPr>
        <w:rStyle w:val="Numeropagina"/>
        <w:rFonts w:ascii="Arial" w:hAnsi="Arial" w:cs="Arial"/>
        <w:smallCaps w:val="0"/>
        <w:sz w:val="14"/>
        <w:szCs w:val="14"/>
      </w:rPr>
      <w:fldChar w:fldCharType="begin"/>
    </w:r>
    <w:r w:rsidRPr="005E7468">
      <w:rPr>
        <w:rStyle w:val="Numeropagina"/>
        <w:rFonts w:ascii="Arial" w:hAnsi="Arial" w:cs="Arial"/>
        <w:sz w:val="14"/>
        <w:szCs w:val="14"/>
      </w:rPr>
      <w:instrText xml:space="preserve"> PAGE </w:instrText>
    </w:r>
    <w:r w:rsidRPr="005E7468">
      <w:rPr>
        <w:rStyle w:val="Numeropagina"/>
        <w:rFonts w:ascii="Arial" w:hAnsi="Arial" w:cs="Arial"/>
        <w:smallCaps w:val="0"/>
        <w:sz w:val="14"/>
        <w:szCs w:val="14"/>
      </w:rPr>
      <w:fldChar w:fldCharType="separate"/>
    </w:r>
    <w:r w:rsidR="0067386E">
      <w:rPr>
        <w:rStyle w:val="Numeropagina"/>
        <w:rFonts w:ascii="Arial" w:hAnsi="Arial" w:cs="Arial"/>
        <w:noProof/>
        <w:sz w:val="14"/>
        <w:szCs w:val="14"/>
      </w:rPr>
      <w:t>182</w:t>
    </w:r>
    <w:r w:rsidRPr="005E7468">
      <w:rPr>
        <w:rStyle w:val="Numeropagina"/>
        <w:rFonts w:ascii="Arial" w:hAnsi="Arial" w:cs="Arial"/>
        <w:smallCaps w:val="0"/>
        <w:sz w:val="14"/>
        <w:szCs w:val="14"/>
      </w:rPr>
      <w:fldChar w:fldCharType="end"/>
    </w:r>
  </w:p>
</w:ftr>
</file>

<file path=word/footer2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72C2" w:rsidRDefault="005D72C2" w:rsidP="004A7840">
    <w:pPr>
      <w:pStyle w:val="Pidipagina"/>
      <w:pBdr>
        <w:top w:val="single" w:sz="4" w:space="1" w:color="auto"/>
      </w:pBdr>
      <w:tabs>
        <w:tab w:val="clear" w:pos="4320"/>
        <w:tab w:val="clear" w:pos="8640"/>
        <w:tab w:val="left" w:pos="4111"/>
        <w:tab w:val="center" w:pos="4536"/>
        <w:tab w:val="right" w:pos="9781"/>
        <w:tab w:val="left" w:pos="11907"/>
      </w:tabs>
      <w:ind w:right="-10"/>
      <w:rPr>
        <w:rFonts w:ascii="Verdana" w:hAnsi="Verdana"/>
        <w:sz w:val="14"/>
        <w:szCs w:val="14"/>
      </w:rPr>
    </w:pPr>
    <w:r w:rsidRPr="00DF5F8E">
      <w:rPr>
        <w:rFonts w:ascii="Verdana" w:hAnsi="Verdana"/>
        <w:sz w:val="14"/>
        <w:szCs w:val="14"/>
      </w:rPr>
      <w:t xml:space="preserve">Page </w:t>
    </w:r>
    <w:r w:rsidRPr="003A440D">
      <w:rPr>
        <w:rStyle w:val="Numeropagina"/>
        <w:rFonts w:ascii="Verdana" w:hAnsi="Verdana"/>
        <w:sz w:val="14"/>
        <w:szCs w:val="14"/>
      </w:rPr>
      <w:fldChar w:fldCharType="begin"/>
    </w:r>
    <w:r w:rsidRPr="00DF5F8E">
      <w:rPr>
        <w:rStyle w:val="Numeropagina"/>
        <w:rFonts w:ascii="Verdana" w:hAnsi="Verdana"/>
        <w:sz w:val="14"/>
        <w:szCs w:val="14"/>
      </w:rPr>
      <w:instrText xml:space="preserve"> PAGE </w:instrText>
    </w:r>
    <w:r w:rsidRPr="003A440D">
      <w:rPr>
        <w:rStyle w:val="Numeropagina"/>
        <w:rFonts w:ascii="Verdana" w:hAnsi="Verdana"/>
        <w:sz w:val="14"/>
        <w:szCs w:val="14"/>
      </w:rPr>
      <w:fldChar w:fldCharType="separate"/>
    </w:r>
    <w:r>
      <w:rPr>
        <w:rStyle w:val="Numeropagina"/>
        <w:rFonts w:ascii="Verdana" w:hAnsi="Verdana"/>
        <w:noProof/>
        <w:sz w:val="14"/>
        <w:szCs w:val="14"/>
      </w:rPr>
      <w:t>6</w:t>
    </w:r>
    <w:r w:rsidRPr="003A440D">
      <w:rPr>
        <w:rStyle w:val="Numeropagina"/>
        <w:rFonts w:ascii="Verdana" w:hAnsi="Verdana"/>
        <w:sz w:val="14"/>
        <w:szCs w:val="14"/>
      </w:rPr>
      <w:fldChar w:fldCharType="end"/>
    </w:r>
    <w:r>
      <w:rPr>
        <w:rStyle w:val="Numeropagina"/>
        <w:rFonts w:ascii="Verdana" w:hAnsi="Verdana"/>
        <w:sz w:val="14"/>
        <w:szCs w:val="14"/>
      </w:rPr>
      <w:tab/>
    </w:r>
    <w:r>
      <w:rPr>
        <w:rFonts w:ascii="Verdana" w:hAnsi="Verdana"/>
        <w:sz w:val="14"/>
        <w:szCs w:val="14"/>
      </w:rPr>
      <w:t>October 2012</w:t>
    </w:r>
    <w:r>
      <w:rPr>
        <w:rFonts w:ascii="Verdana" w:hAnsi="Verdana"/>
        <w:sz w:val="14"/>
        <w:szCs w:val="14"/>
      </w:rPr>
      <w:tab/>
      <w:t xml:space="preserve">Final </w:t>
    </w:r>
    <w:r w:rsidRPr="0069299B">
      <w:rPr>
        <w:rFonts w:ascii="Verdana" w:hAnsi="Verdana"/>
        <w:sz w:val="14"/>
        <w:szCs w:val="14"/>
      </w:rPr>
      <w:t>Report</w:t>
    </w:r>
  </w:p>
</w:ftr>
</file>

<file path=word/footer2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72C2" w:rsidRPr="007A2ED2" w:rsidRDefault="005D72C2" w:rsidP="004C76A5">
    <w:pPr>
      <w:pStyle w:val="Pidipagina"/>
      <w:pBdr>
        <w:top w:val="single" w:sz="4" w:space="1" w:color="auto"/>
      </w:pBdr>
      <w:tabs>
        <w:tab w:val="clear" w:pos="4320"/>
        <w:tab w:val="clear" w:pos="8640"/>
        <w:tab w:val="decimal" w:pos="7088"/>
        <w:tab w:val="right" w:pos="14317"/>
      </w:tabs>
      <w:ind w:right="-11"/>
      <w:rPr>
        <w:rFonts w:ascii="Arial" w:hAnsi="Arial" w:cs="Arial"/>
        <w:sz w:val="14"/>
        <w:szCs w:val="14"/>
      </w:rPr>
    </w:pPr>
    <w:r>
      <w:rPr>
        <w:rFonts w:ascii="Arial" w:hAnsi="Arial" w:cs="Arial"/>
        <w:sz w:val="14"/>
        <w:szCs w:val="14"/>
      </w:rPr>
      <w:t>Draft Final Report</w:t>
    </w:r>
    <w:r>
      <w:rPr>
        <w:rFonts w:ascii="Arial" w:hAnsi="Arial" w:cs="Arial"/>
        <w:sz w:val="14"/>
        <w:szCs w:val="14"/>
      </w:rPr>
      <w:tab/>
      <w:t xml:space="preserve">May </w:t>
    </w:r>
    <w:r w:rsidRPr="007A2ED2">
      <w:rPr>
        <w:rFonts w:ascii="Arial" w:hAnsi="Arial" w:cs="Arial"/>
        <w:sz w:val="14"/>
        <w:szCs w:val="14"/>
      </w:rPr>
      <w:t>2014</w:t>
    </w:r>
    <w:r w:rsidRPr="007A2ED2">
      <w:rPr>
        <w:rFonts w:ascii="Arial" w:hAnsi="Arial" w:cs="Arial"/>
        <w:sz w:val="14"/>
        <w:szCs w:val="14"/>
      </w:rPr>
      <w:tab/>
      <w:t xml:space="preserve">Page </w:t>
    </w:r>
    <w:r w:rsidRPr="007A2ED2">
      <w:rPr>
        <w:rStyle w:val="Numeropagina"/>
        <w:rFonts w:ascii="Arial" w:hAnsi="Arial" w:cs="Arial"/>
        <w:sz w:val="14"/>
        <w:szCs w:val="14"/>
      </w:rPr>
      <w:fldChar w:fldCharType="begin"/>
    </w:r>
    <w:r w:rsidRPr="007A2ED2">
      <w:rPr>
        <w:rStyle w:val="Numeropagina"/>
        <w:rFonts w:ascii="Arial" w:hAnsi="Arial" w:cs="Arial"/>
        <w:sz w:val="14"/>
        <w:szCs w:val="14"/>
      </w:rPr>
      <w:instrText xml:space="preserve"> PAGE </w:instrText>
    </w:r>
    <w:r w:rsidRPr="007A2ED2">
      <w:rPr>
        <w:rStyle w:val="Numeropagina"/>
        <w:rFonts w:ascii="Arial" w:hAnsi="Arial" w:cs="Arial"/>
        <w:sz w:val="14"/>
        <w:szCs w:val="14"/>
      </w:rPr>
      <w:fldChar w:fldCharType="separate"/>
    </w:r>
    <w:r w:rsidR="0067386E">
      <w:rPr>
        <w:rStyle w:val="Numeropagina"/>
        <w:rFonts w:ascii="Arial" w:hAnsi="Arial" w:cs="Arial"/>
        <w:noProof/>
        <w:sz w:val="14"/>
        <w:szCs w:val="14"/>
      </w:rPr>
      <w:t>183</w:t>
    </w:r>
    <w:r w:rsidRPr="007A2ED2">
      <w:rPr>
        <w:rStyle w:val="Numeropagina"/>
        <w:rFonts w:ascii="Arial" w:hAnsi="Arial" w:cs="Arial"/>
        <w:sz w:val="14"/>
        <w:szCs w:val="14"/>
      </w:rP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72C2" w:rsidRPr="00E3431A" w:rsidRDefault="005D72C2" w:rsidP="004D3D6D">
    <w:pPr>
      <w:pStyle w:val="Pidipagina"/>
      <w:pBdr>
        <w:top w:val="single" w:sz="4" w:space="1" w:color="auto"/>
      </w:pBdr>
      <w:tabs>
        <w:tab w:val="clear" w:pos="4320"/>
        <w:tab w:val="clear" w:pos="8640"/>
        <w:tab w:val="center" w:pos="4820"/>
        <w:tab w:val="right" w:pos="9639"/>
        <w:tab w:val="right" w:pos="14034"/>
      </w:tabs>
      <w:ind w:right="-17"/>
      <w:rPr>
        <w:rFonts w:ascii="Times New Roman" w:hAnsi="Times New Roman"/>
        <w:sz w:val="14"/>
        <w:szCs w:val="14"/>
      </w:rPr>
    </w:pPr>
    <w:r w:rsidRPr="005E7468">
      <w:rPr>
        <w:rFonts w:ascii="Arial" w:hAnsi="Arial" w:cs="Arial"/>
        <w:sz w:val="14"/>
        <w:szCs w:val="14"/>
      </w:rPr>
      <w:t>Final Report –Volume 2 Annexes</w:t>
    </w:r>
    <w:r w:rsidRPr="005E7468">
      <w:rPr>
        <w:rFonts w:ascii="Arial" w:hAnsi="Arial" w:cs="Arial"/>
        <w:sz w:val="14"/>
        <w:szCs w:val="14"/>
      </w:rPr>
      <w:tab/>
    </w:r>
    <w:r>
      <w:rPr>
        <w:rFonts w:ascii="Arial" w:hAnsi="Arial" w:cs="Arial"/>
        <w:sz w:val="14"/>
        <w:szCs w:val="14"/>
      </w:rPr>
      <w:t>May</w:t>
    </w:r>
    <w:r w:rsidRPr="005E7468">
      <w:rPr>
        <w:rFonts w:ascii="Arial" w:hAnsi="Arial" w:cs="Arial"/>
        <w:sz w:val="14"/>
        <w:szCs w:val="14"/>
      </w:rPr>
      <w:t xml:space="preserve"> 2014</w:t>
    </w:r>
    <w:r w:rsidRPr="00E3431A">
      <w:rPr>
        <w:rFonts w:ascii="Times New Roman" w:hAnsi="Times New Roman"/>
        <w:sz w:val="14"/>
        <w:szCs w:val="14"/>
      </w:rPr>
      <w:tab/>
      <w:t xml:space="preserve">Page </w:t>
    </w:r>
    <w:r w:rsidRPr="00E3431A">
      <w:rPr>
        <w:rStyle w:val="Numeropagina"/>
        <w:rFonts w:ascii="Times New Roman" w:hAnsi="Times New Roman"/>
        <w:smallCaps w:val="0"/>
        <w:sz w:val="14"/>
        <w:szCs w:val="14"/>
      </w:rPr>
      <w:fldChar w:fldCharType="begin"/>
    </w:r>
    <w:r w:rsidRPr="00E3431A">
      <w:rPr>
        <w:rStyle w:val="Numeropagina"/>
        <w:rFonts w:ascii="Times New Roman" w:hAnsi="Times New Roman"/>
        <w:sz w:val="14"/>
        <w:szCs w:val="14"/>
      </w:rPr>
      <w:instrText xml:space="preserve"> PAGE </w:instrText>
    </w:r>
    <w:r w:rsidRPr="00E3431A">
      <w:rPr>
        <w:rStyle w:val="Numeropagina"/>
        <w:rFonts w:ascii="Times New Roman" w:hAnsi="Times New Roman"/>
        <w:smallCaps w:val="0"/>
        <w:sz w:val="14"/>
        <w:szCs w:val="14"/>
      </w:rPr>
      <w:fldChar w:fldCharType="separate"/>
    </w:r>
    <w:r w:rsidR="00444DFA">
      <w:rPr>
        <w:rStyle w:val="Numeropagina"/>
        <w:rFonts w:ascii="Times New Roman" w:hAnsi="Times New Roman"/>
        <w:noProof/>
        <w:sz w:val="14"/>
        <w:szCs w:val="14"/>
      </w:rPr>
      <w:t>30</w:t>
    </w:r>
    <w:r w:rsidRPr="00E3431A">
      <w:rPr>
        <w:rStyle w:val="Numeropagina"/>
        <w:rFonts w:ascii="Times New Roman" w:hAnsi="Times New Roman"/>
        <w:smallCaps w:val="0"/>
        <w:sz w:val="14"/>
        <w:szCs w:val="14"/>
      </w:rPr>
      <w:fldChar w:fldCharType="end"/>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72C2" w:rsidRPr="00E3431A" w:rsidRDefault="005D72C2" w:rsidP="00140882">
    <w:pPr>
      <w:pStyle w:val="Pidipagina"/>
      <w:pBdr>
        <w:top w:val="single" w:sz="4" w:space="1" w:color="auto"/>
      </w:pBdr>
      <w:tabs>
        <w:tab w:val="clear" w:pos="4320"/>
        <w:tab w:val="clear" w:pos="8640"/>
        <w:tab w:val="center" w:pos="4820"/>
        <w:tab w:val="right" w:pos="9639"/>
        <w:tab w:val="right" w:pos="14034"/>
      </w:tabs>
      <w:ind w:right="-17"/>
      <w:rPr>
        <w:rFonts w:ascii="Times New Roman" w:hAnsi="Times New Roman"/>
        <w:sz w:val="14"/>
        <w:szCs w:val="14"/>
        <w:lang w:val="pl-PL"/>
      </w:rPr>
    </w:pPr>
    <w:r w:rsidRPr="005E7468">
      <w:rPr>
        <w:rFonts w:ascii="Arial" w:hAnsi="Arial" w:cs="Arial"/>
        <w:sz w:val="14"/>
        <w:szCs w:val="14"/>
      </w:rPr>
      <w:t>Final Report –Volume 2 Annexes</w:t>
    </w:r>
    <w:r w:rsidRPr="005E7468">
      <w:rPr>
        <w:rFonts w:ascii="Arial" w:hAnsi="Arial" w:cs="Arial"/>
        <w:sz w:val="14"/>
        <w:szCs w:val="14"/>
      </w:rPr>
      <w:tab/>
    </w:r>
    <w:r>
      <w:rPr>
        <w:rFonts w:ascii="Arial" w:hAnsi="Arial" w:cs="Arial"/>
        <w:sz w:val="14"/>
        <w:szCs w:val="14"/>
      </w:rPr>
      <w:t>May</w:t>
    </w:r>
    <w:r w:rsidRPr="005E7468">
      <w:rPr>
        <w:rFonts w:ascii="Arial" w:hAnsi="Arial" w:cs="Arial"/>
        <w:sz w:val="14"/>
        <w:szCs w:val="14"/>
      </w:rPr>
      <w:t xml:space="preserve"> 2014</w:t>
    </w:r>
    <w:r w:rsidRPr="005E7468">
      <w:rPr>
        <w:rFonts w:ascii="Times New Roman" w:hAnsi="Times New Roman"/>
        <w:sz w:val="14"/>
        <w:szCs w:val="14"/>
      </w:rPr>
      <w:tab/>
      <w:t xml:space="preserve">Page </w:t>
    </w:r>
    <w:r w:rsidRPr="00E3431A">
      <w:rPr>
        <w:rStyle w:val="Numeropagina"/>
        <w:rFonts w:ascii="Times New Roman" w:hAnsi="Times New Roman"/>
        <w:smallCaps w:val="0"/>
        <w:sz w:val="14"/>
        <w:szCs w:val="14"/>
      </w:rPr>
      <w:fldChar w:fldCharType="begin"/>
    </w:r>
    <w:r w:rsidRPr="00E3431A">
      <w:rPr>
        <w:rStyle w:val="Numeropagina"/>
        <w:rFonts w:ascii="Times New Roman" w:hAnsi="Times New Roman"/>
        <w:sz w:val="14"/>
        <w:szCs w:val="14"/>
      </w:rPr>
      <w:instrText xml:space="preserve"> PAGE </w:instrText>
    </w:r>
    <w:r w:rsidRPr="00E3431A">
      <w:rPr>
        <w:rStyle w:val="Numeropagina"/>
        <w:rFonts w:ascii="Times New Roman" w:hAnsi="Times New Roman"/>
        <w:smallCaps w:val="0"/>
        <w:sz w:val="14"/>
        <w:szCs w:val="14"/>
      </w:rPr>
      <w:fldChar w:fldCharType="separate"/>
    </w:r>
    <w:r w:rsidR="00444DFA">
      <w:rPr>
        <w:rStyle w:val="Numeropagina"/>
        <w:rFonts w:ascii="Times New Roman" w:hAnsi="Times New Roman"/>
        <w:noProof/>
        <w:sz w:val="14"/>
        <w:szCs w:val="14"/>
      </w:rPr>
      <w:t>49</w:t>
    </w:r>
    <w:r w:rsidRPr="00E3431A">
      <w:rPr>
        <w:rStyle w:val="Numeropagina"/>
        <w:rFonts w:ascii="Times New Roman" w:hAnsi="Times New Roman"/>
        <w:smallCaps w:val="0"/>
        <w:sz w:val="14"/>
        <w:szCs w:val="14"/>
      </w:rPr>
      <w:fldChar w:fldCharType="end"/>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72C2" w:rsidRPr="00E3431A" w:rsidRDefault="005D72C2" w:rsidP="005E7468">
    <w:pPr>
      <w:pStyle w:val="Pidipagina"/>
      <w:pBdr>
        <w:top w:val="single" w:sz="4" w:space="1" w:color="auto"/>
      </w:pBdr>
      <w:tabs>
        <w:tab w:val="clear" w:pos="4320"/>
        <w:tab w:val="clear" w:pos="8640"/>
        <w:tab w:val="center" w:pos="6946"/>
        <w:tab w:val="right" w:pos="14034"/>
      </w:tabs>
      <w:ind w:right="-17"/>
      <w:rPr>
        <w:rFonts w:ascii="Times New Roman" w:hAnsi="Times New Roman"/>
        <w:sz w:val="14"/>
        <w:szCs w:val="14"/>
        <w:lang w:val="pl-PL"/>
      </w:rPr>
    </w:pPr>
    <w:r w:rsidRPr="005E7468">
      <w:rPr>
        <w:rFonts w:ascii="Arial" w:hAnsi="Arial" w:cs="Arial"/>
        <w:sz w:val="14"/>
        <w:szCs w:val="14"/>
      </w:rPr>
      <w:t>Final Report –Volume 2 Annexes</w:t>
    </w:r>
    <w:r w:rsidRPr="005E7468">
      <w:rPr>
        <w:rFonts w:ascii="Arial" w:hAnsi="Arial" w:cs="Arial"/>
        <w:sz w:val="14"/>
        <w:szCs w:val="14"/>
      </w:rPr>
      <w:tab/>
    </w:r>
    <w:r>
      <w:rPr>
        <w:rFonts w:ascii="Arial" w:hAnsi="Arial" w:cs="Arial"/>
        <w:sz w:val="14"/>
        <w:szCs w:val="14"/>
      </w:rPr>
      <w:t xml:space="preserve">May </w:t>
    </w:r>
    <w:r w:rsidRPr="005E7468">
      <w:rPr>
        <w:rFonts w:ascii="Arial" w:hAnsi="Arial" w:cs="Arial"/>
        <w:sz w:val="14"/>
        <w:szCs w:val="14"/>
      </w:rPr>
      <w:t>2014</w:t>
    </w:r>
    <w:r w:rsidRPr="005E7468">
      <w:rPr>
        <w:rFonts w:ascii="Times New Roman" w:hAnsi="Times New Roman"/>
        <w:sz w:val="14"/>
        <w:szCs w:val="14"/>
      </w:rPr>
      <w:tab/>
      <w:t xml:space="preserve">Page </w:t>
    </w:r>
    <w:r w:rsidRPr="00E3431A">
      <w:rPr>
        <w:rStyle w:val="Numeropagina"/>
        <w:rFonts w:ascii="Times New Roman" w:hAnsi="Times New Roman"/>
        <w:smallCaps w:val="0"/>
        <w:sz w:val="14"/>
        <w:szCs w:val="14"/>
      </w:rPr>
      <w:fldChar w:fldCharType="begin"/>
    </w:r>
    <w:r w:rsidRPr="00E3431A">
      <w:rPr>
        <w:rStyle w:val="Numeropagina"/>
        <w:rFonts w:ascii="Times New Roman" w:hAnsi="Times New Roman"/>
        <w:sz w:val="14"/>
        <w:szCs w:val="14"/>
      </w:rPr>
      <w:instrText xml:space="preserve"> PAGE </w:instrText>
    </w:r>
    <w:r w:rsidRPr="00E3431A">
      <w:rPr>
        <w:rStyle w:val="Numeropagina"/>
        <w:rFonts w:ascii="Times New Roman" w:hAnsi="Times New Roman"/>
        <w:smallCaps w:val="0"/>
        <w:sz w:val="14"/>
        <w:szCs w:val="14"/>
      </w:rPr>
      <w:fldChar w:fldCharType="separate"/>
    </w:r>
    <w:r w:rsidR="00444DFA">
      <w:rPr>
        <w:rStyle w:val="Numeropagina"/>
        <w:rFonts w:ascii="Times New Roman" w:hAnsi="Times New Roman"/>
        <w:noProof/>
        <w:sz w:val="14"/>
        <w:szCs w:val="14"/>
      </w:rPr>
      <w:t>53</w:t>
    </w:r>
    <w:r w:rsidRPr="00E3431A">
      <w:rPr>
        <w:rStyle w:val="Numeropagina"/>
        <w:rFonts w:ascii="Times New Roman" w:hAnsi="Times New Roman"/>
        <w:smallCaps w:val="0"/>
        <w:sz w:val="14"/>
        <w:szCs w:val="14"/>
      </w:rPr>
      <w:fldChar w:fldCharType="end"/>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72C2" w:rsidRPr="00E3431A" w:rsidRDefault="005D72C2" w:rsidP="004A7840">
    <w:pPr>
      <w:pStyle w:val="Pidipagina"/>
      <w:pBdr>
        <w:top w:val="single" w:sz="4" w:space="1" w:color="auto"/>
      </w:pBdr>
      <w:tabs>
        <w:tab w:val="clear" w:pos="4320"/>
        <w:tab w:val="clear" w:pos="8640"/>
        <w:tab w:val="center" w:pos="4820"/>
        <w:tab w:val="right" w:pos="9639"/>
        <w:tab w:val="right" w:pos="14034"/>
      </w:tabs>
      <w:ind w:right="-17"/>
      <w:rPr>
        <w:rFonts w:ascii="Times New Roman" w:hAnsi="Times New Roman"/>
        <w:sz w:val="14"/>
        <w:szCs w:val="14"/>
        <w:lang w:val="pl-PL"/>
      </w:rPr>
    </w:pPr>
    <w:r w:rsidRPr="005E7468">
      <w:rPr>
        <w:rFonts w:ascii="Arial" w:hAnsi="Arial" w:cs="Arial"/>
        <w:sz w:val="14"/>
        <w:szCs w:val="14"/>
      </w:rPr>
      <w:t>Final Report –Volume 2 Annexes</w:t>
    </w:r>
    <w:r w:rsidRPr="005E7468">
      <w:rPr>
        <w:rFonts w:ascii="Arial" w:hAnsi="Arial" w:cs="Arial"/>
        <w:sz w:val="14"/>
        <w:szCs w:val="14"/>
      </w:rPr>
      <w:tab/>
    </w:r>
    <w:r>
      <w:rPr>
        <w:rFonts w:ascii="Arial" w:hAnsi="Arial" w:cs="Arial"/>
        <w:sz w:val="14"/>
        <w:szCs w:val="14"/>
      </w:rPr>
      <w:t xml:space="preserve">May </w:t>
    </w:r>
    <w:r w:rsidRPr="005E7468">
      <w:rPr>
        <w:rFonts w:ascii="Arial" w:hAnsi="Arial" w:cs="Arial"/>
        <w:sz w:val="14"/>
        <w:szCs w:val="14"/>
      </w:rPr>
      <w:t>2014</w:t>
    </w:r>
    <w:r w:rsidRPr="005E7468">
      <w:rPr>
        <w:rFonts w:ascii="Times New Roman" w:hAnsi="Times New Roman"/>
        <w:sz w:val="14"/>
        <w:szCs w:val="14"/>
      </w:rPr>
      <w:tab/>
      <w:t xml:space="preserve">Page </w:t>
    </w:r>
    <w:r w:rsidRPr="00E3431A">
      <w:rPr>
        <w:rStyle w:val="Numeropagina"/>
        <w:rFonts w:ascii="Times New Roman" w:hAnsi="Times New Roman"/>
        <w:smallCaps w:val="0"/>
        <w:sz w:val="14"/>
        <w:szCs w:val="14"/>
      </w:rPr>
      <w:fldChar w:fldCharType="begin"/>
    </w:r>
    <w:r w:rsidRPr="00E3431A">
      <w:rPr>
        <w:rStyle w:val="Numeropagina"/>
        <w:rFonts w:ascii="Times New Roman" w:hAnsi="Times New Roman"/>
        <w:sz w:val="14"/>
        <w:szCs w:val="14"/>
      </w:rPr>
      <w:instrText xml:space="preserve"> PAGE </w:instrText>
    </w:r>
    <w:r w:rsidRPr="00E3431A">
      <w:rPr>
        <w:rStyle w:val="Numeropagina"/>
        <w:rFonts w:ascii="Times New Roman" w:hAnsi="Times New Roman"/>
        <w:smallCaps w:val="0"/>
        <w:sz w:val="14"/>
        <w:szCs w:val="14"/>
      </w:rPr>
      <w:fldChar w:fldCharType="separate"/>
    </w:r>
    <w:r w:rsidR="00444DFA">
      <w:rPr>
        <w:rStyle w:val="Numeropagina"/>
        <w:rFonts w:ascii="Times New Roman" w:hAnsi="Times New Roman"/>
        <w:noProof/>
        <w:sz w:val="14"/>
        <w:szCs w:val="14"/>
      </w:rPr>
      <w:t>54</w:t>
    </w:r>
    <w:r w:rsidRPr="00E3431A">
      <w:rPr>
        <w:rStyle w:val="Numeropagina"/>
        <w:rFonts w:ascii="Times New Roman" w:hAnsi="Times New Roman"/>
        <w:smallCaps w:val="0"/>
        <w:sz w:val="14"/>
        <w:szCs w:val="14"/>
      </w:rPr>
      <w:fldChar w:fldCharType="end"/>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72C2" w:rsidRPr="00E3431A" w:rsidRDefault="005D72C2" w:rsidP="005E7468">
    <w:pPr>
      <w:pStyle w:val="Pidipagina"/>
      <w:pBdr>
        <w:top w:val="single" w:sz="4" w:space="1" w:color="auto"/>
      </w:pBdr>
      <w:tabs>
        <w:tab w:val="clear" w:pos="4320"/>
        <w:tab w:val="clear" w:pos="8640"/>
        <w:tab w:val="center" w:pos="6946"/>
        <w:tab w:val="right" w:pos="14034"/>
      </w:tabs>
      <w:ind w:right="-17"/>
      <w:rPr>
        <w:rFonts w:ascii="Times New Roman" w:hAnsi="Times New Roman"/>
        <w:sz w:val="14"/>
        <w:szCs w:val="14"/>
        <w:lang w:val="pl-PL"/>
      </w:rPr>
    </w:pPr>
    <w:r w:rsidRPr="005E7468">
      <w:rPr>
        <w:rFonts w:ascii="Arial" w:hAnsi="Arial" w:cs="Arial"/>
        <w:sz w:val="14"/>
        <w:szCs w:val="14"/>
      </w:rPr>
      <w:t>Final Report –Volume 2 Annexes</w:t>
    </w:r>
    <w:r w:rsidRPr="005E7468">
      <w:rPr>
        <w:rFonts w:ascii="Arial" w:hAnsi="Arial" w:cs="Arial"/>
        <w:sz w:val="14"/>
        <w:szCs w:val="14"/>
      </w:rPr>
      <w:tab/>
    </w:r>
    <w:r>
      <w:rPr>
        <w:rFonts w:ascii="Arial" w:hAnsi="Arial" w:cs="Arial"/>
        <w:sz w:val="14"/>
        <w:szCs w:val="14"/>
      </w:rPr>
      <w:t xml:space="preserve">May </w:t>
    </w:r>
    <w:r w:rsidRPr="005E7468">
      <w:rPr>
        <w:rFonts w:ascii="Arial" w:hAnsi="Arial" w:cs="Arial"/>
        <w:sz w:val="14"/>
        <w:szCs w:val="14"/>
      </w:rPr>
      <w:t>2014</w:t>
    </w:r>
    <w:r w:rsidRPr="005E7468">
      <w:rPr>
        <w:rFonts w:ascii="Times New Roman" w:hAnsi="Times New Roman"/>
        <w:sz w:val="14"/>
        <w:szCs w:val="14"/>
      </w:rPr>
      <w:tab/>
      <w:t xml:space="preserve">Page </w:t>
    </w:r>
    <w:r w:rsidRPr="00E3431A">
      <w:rPr>
        <w:rStyle w:val="Numeropagina"/>
        <w:rFonts w:ascii="Times New Roman" w:hAnsi="Times New Roman"/>
        <w:smallCaps w:val="0"/>
        <w:sz w:val="14"/>
        <w:szCs w:val="14"/>
      </w:rPr>
      <w:fldChar w:fldCharType="begin"/>
    </w:r>
    <w:r w:rsidRPr="00E3431A">
      <w:rPr>
        <w:rStyle w:val="Numeropagina"/>
        <w:rFonts w:ascii="Times New Roman" w:hAnsi="Times New Roman"/>
        <w:sz w:val="14"/>
        <w:szCs w:val="14"/>
      </w:rPr>
      <w:instrText xml:space="preserve"> PAGE </w:instrText>
    </w:r>
    <w:r w:rsidRPr="00E3431A">
      <w:rPr>
        <w:rStyle w:val="Numeropagina"/>
        <w:rFonts w:ascii="Times New Roman" w:hAnsi="Times New Roman"/>
        <w:smallCaps w:val="0"/>
        <w:sz w:val="14"/>
        <w:szCs w:val="14"/>
      </w:rPr>
      <w:fldChar w:fldCharType="separate"/>
    </w:r>
    <w:r w:rsidR="00444DFA">
      <w:rPr>
        <w:rStyle w:val="Numeropagina"/>
        <w:rFonts w:ascii="Times New Roman" w:hAnsi="Times New Roman"/>
        <w:noProof/>
        <w:sz w:val="14"/>
        <w:szCs w:val="14"/>
      </w:rPr>
      <w:t>55</w:t>
    </w:r>
    <w:r w:rsidRPr="00E3431A">
      <w:rPr>
        <w:rStyle w:val="Numeropagina"/>
        <w:rFonts w:ascii="Times New Roman" w:hAnsi="Times New Roman"/>
        <w:smallCaps w:val="0"/>
        <w:sz w:val="14"/>
        <w:szCs w:val="14"/>
      </w:rPr>
      <w:fldChar w:fldCharType="end"/>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72C2" w:rsidRPr="00E3431A" w:rsidRDefault="005D72C2" w:rsidP="004A7840">
    <w:pPr>
      <w:pStyle w:val="Pidipagina"/>
      <w:pBdr>
        <w:top w:val="single" w:sz="4" w:space="1" w:color="auto"/>
      </w:pBdr>
      <w:tabs>
        <w:tab w:val="clear" w:pos="4320"/>
        <w:tab w:val="clear" w:pos="8640"/>
        <w:tab w:val="center" w:pos="4820"/>
        <w:tab w:val="right" w:pos="9639"/>
        <w:tab w:val="right" w:pos="14034"/>
      </w:tabs>
      <w:ind w:right="-17"/>
      <w:rPr>
        <w:rFonts w:ascii="Times New Roman" w:hAnsi="Times New Roman"/>
        <w:sz w:val="14"/>
        <w:szCs w:val="14"/>
        <w:lang w:val="pl-PL"/>
      </w:rPr>
    </w:pPr>
    <w:r w:rsidRPr="005E7468">
      <w:rPr>
        <w:rFonts w:ascii="Arial" w:hAnsi="Arial" w:cs="Arial"/>
        <w:sz w:val="14"/>
        <w:szCs w:val="14"/>
      </w:rPr>
      <w:t>Final Report –Volume 2 Annexes</w:t>
    </w:r>
    <w:r w:rsidRPr="005E7468">
      <w:rPr>
        <w:rFonts w:ascii="Arial" w:hAnsi="Arial" w:cs="Arial"/>
        <w:sz w:val="14"/>
        <w:szCs w:val="14"/>
      </w:rPr>
      <w:tab/>
    </w:r>
    <w:r>
      <w:rPr>
        <w:rFonts w:ascii="Arial" w:hAnsi="Arial" w:cs="Arial"/>
        <w:sz w:val="14"/>
        <w:szCs w:val="14"/>
      </w:rPr>
      <w:t xml:space="preserve">May </w:t>
    </w:r>
    <w:r w:rsidRPr="005E7468">
      <w:rPr>
        <w:rFonts w:ascii="Arial" w:hAnsi="Arial" w:cs="Arial"/>
        <w:sz w:val="14"/>
        <w:szCs w:val="14"/>
      </w:rPr>
      <w:t>2014</w:t>
    </w:r>
    <w:r w:rsidRPr="005E7468">
      <w:rPr>
        <w:rFonts w:ascii="Times New Roman" w:hAnsi="Times New Roman"/>
        <w:sz w:val="14"/>
        <w:szCs w:val="14"/>
      </w:rPr>
      <w:tab/>
      <w:t xml:space="preserve">Page </w:t>
    </w:r>
    <w:r w:rsidRPr="00E3431A">
      <w:rPr>
        <w:rStyle w:val="Numeropagina"/>
        <w:rFonts w:ascii="Times New Roman" w:hAnsi="Times New Roman"/>
        <w:smallCaps w:val="0"/>
        <w:sz w:val="14"/>
        <w:szCs w:val="14"/>
      </w:rPr>
      <w:fldChar w:fldCharType="begin"/>
    </w:r>
    <w:r w:rsidRPr="00E3431A">
      <w:rPr>
        <w:rStyle w:val="Numeropagina"/>
        <w:rFonts w:ascii="Times New Roman" w:hAnsi="Times New Roman"/>
        <w:sz w:val="14"/>
        <w:szCs w:val="14"/>
      </w:rPr>
      <w:instrText xml:space="preserve"> PAGE </w:instrText>
    </w:r>
    <w:r w:rsidRPr="00E3431A">
      <w:rPr>
        <w:rStyle w:val="Numeropagina"/>
        <w:rFonts w:ascii="Times New Roman" w:hAnsi="Times New Roman"/>
        <w:smallCaps w:val="0"/>
        <w:sz w:val="14"/>
        <w:szCs w:val="14"/>
      </w:rPr>
      <w:fldChar w:fldCharType="separate"/>
    </w:r>
    <w:r w:rsidR="00444DFA">
      <w:rPr>
        <w:rStyle w:val="Numeropagina"/>
        <w:rFonts w:ascii="Times New Roman" w:hAnsi="Times New Roman"/>
        <w:noProof/>
        <w:sz w:val="14"/>
        <w:szCs w:val="14"/>
      </w:rPr>
      <w:t>56</w:t>
    </w:r>
    <w:r w:rsidRPr="00E3431A">
      <w:rPr>
        <w:rStyle w:val="Numeropagina"/>
        <w:rFonts w:ascii="Times New Roman" w:hAnsi="Times New Roman"/>
        <w:smallCaps w:val="0"/>
        <w:sz w:val="14"/>
        <w:szCs w:val="14"/>
      </w:rPr>
      <w:fldChar w:fldCharType="end"/>
    </w: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72C2" w:rsidRPr="00E3431A" w:rsidRDefault="005D72C2" w:rsidP="005E7468">
    <w:pPr>
      <w:pStyle w:val="Pidipagina"/>
      <w:pBdr>
        <w:top w:val="single" w:sz="4" w:space="1" w:color="auto"/>
      </w:pBdr>
      <w:tabs>
        <w:tab w:val="clear" w:pos="4320"/>
        <w:tab w:val="clear" w:pos="8640"/>
        <w:tab w:val="center" w:pos="6946"/>
        <w:tab w:val="right" w:pos="14034"/>
      </w:tabs>
      <w:ind w:right="-17"/>
      <w:rPr>
        <w:rFonts w:ascii="Times New Roman" w:hAnsi="Times New Roman"/>
        <w:sz w:val="14"/>
        <w:szCs w:val="14"/>
        <w:lang w:val="pl-PL"/>
      </w:rPr>
    </w:pPr>
    <w:r w:rsidRPr="005E7468">
      <w:rPr>
        <w:rFonts w:ascii="Arial" w:hAnsi="Arial" w:cs="Arial"/>
        <w:sz w:val="14"/>
        <w:szCs w:val="14"/>
      </w:rPr>
      <w:t>Final Report –Volume 2 Annexes</w:t>
    </w:r>
    <w:r w:rsidRPr="005E7468">
      <w:rPr>
        <w:rFonts w:ascii="Arial" w:hAnsi="Arial" w:cs="Arial"/>
        <w:sz w:val="14"/>
        <w:szCs w:val="14"/>
      </w:rPr>
      <w:tab/>
    </w:r>
    <w:r>
      <w:rPr>
        <w:rFonts w:ascii="Arial" w:hAnsi="Arial" w:cs="Arial"/>
        <w:sz w:val="14"/>
        <w:szCs w:val="14"/>
      </w:rPr>
      <w:t xml:space="preserve">May </w:t>
    </w:r>
    <w:r w:rsidRPr="005E7468">
      <w:rPr>
        <w:rFonts w:ascii="Arial" w:hAnsi="Arial" w:cs="Arial"/>
        <w:sz w:val="14"/>
        <w:szCs w:val="14"/>
      </w:rPr>
      <w:t>2014</w:t>
    </w:r>
    <w:r w:rsidRPr="005E7468">
      <w:rPr>
        <w:rFonts w:ascii="Times New Roman" w:hAnsi="Times New Roman"/>
        <w:sz w:val="14"/>
        <w:szCs w:val="14"/>
      </w:rPr>
      <w:tab/>
      <w:t xml:space="preserve">Page </w:t>
    </w:r>
    <w:r w:rsidRPr="00E3431A">
      <w:rPr>
        <w:rStyle w:val="Numeropagina"/>
        <w:rFonts w:ascii="Times New Roman" w:hAnsi="Times New Roman"/>
        <w:smallCaps w:val="0"/>
        <w:sz w:val="14"/>
        <w:szCs w:val="14"/>
      </w:rPr>
      <w:fldChar w:fldCharType="begin"/>
    </w:r>
    <w:r w:rsidRPr="00E3431A">
      <w:rPr>
        <w:rStyle w:val="Numeropagina"/>
        <w:rFonts w:ascii="Times New Roman" w:hAnsi="Times New Roman"/>
        <w:sz w:val="14"/>
        <w:szCs w:val="14"/>
      </w:rPr>
      <w:instrText xml:space="preserve"> PAGE </w:instrText>
    </w:r>
    <w:r w:rsidRPr="00E3431A">
      <w:rPr>
        <w:rStyle w:val="Numeropagina"/>
        <w:rFonts w:ascii="Times New Roman" w:hAnsi="Times New Roman"/>
        <w:smallCaps w:val="0"/>
        <w:sz w:val="14"/>
        <w:szCs w:val="14"/>
      </w:rPr>
      <w:fldChar w:fldCharType="separate"/>
    </w:r>
    <w:r w:rsidR="00444DFA">
      <w:rPr>
        <w:rStyle w:val="Numeropagina"/>
        <w:rFonts w:ascii="Times New Roman" w:hAnsi="Times New Roman"/>
        <w:noProof/>
        <w:sz w:val="14"/>
        <w:szCs w:val="14"/>
      </w:rPr>
      <w:t>57</w:t>
    </w:r>
    <w:r w:rsidRPr="00E3431A">
      <w:rPr>
        <w:rStyle w:val="Numeropagina"/>
        <w:rFonts w:ascii="Times New Roman" w:hAnsi="Times New Roman"/>
        <w:smallCaps w:val="0"/>
        <w:sz w:val="14"/>
        <w:szCs w:val="14"/>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510DF" w:rsidRDefault="009510DF" w:rsidP="003B0CD7">
      <w:pPr>
        <w:spacing w:before="0" w:after="0"/>
      </w:pPr>
      <w:r>
        <w:separator/>
      </w:r>
    </w:p>
  </w:footnote>
  <w:footnote w:type="continuationSeparator" w:id="0">
    <w:p w:rsidR="009510DF" w:rsidRDefault="009510DF" w:rsidP="003B0CD7">
      <w:pPr>
        <w:spacing w:before="0" w:after="0"/>
      </w:pPr>
      <w:r>
        <w:continuationSeparator/>
      </w:r>
    </w:p>
  </w:footnote>
  <w:footnote w:id="1">
    <w:p w:rsidR="005D72C2" w:rsidRPr="008F7EE1" w:rsidRDefault="005D72C2" w:rsidP="008F7EE1">
      <w:pPr>
        <w:pStyle w:val="Testonotaapidipagina"/>
        <w:spacing w:before="0" w:after="0"/>
        <w:rPr>
          <w:rFonts w:ascii="Arial" w:hAnsi="Arial" w:cs="Arial"/>
          <w:sz w:val="18"/>
          <w:szCs w:val="18"/>
        </w:rPr>
      </w:pPr>
      <w:r w:rsidRPr="008F7EE1">
        <w:rPr>
          <w:rStyle w:val="Rimandonotaapidipagina"/>
          <w:rFonts w:ascii="Arial" w:hAnsi="Arial" w:cs="Arial"/>
          <w:sz w:val="18"/>
          <w:szCs w:val="18"/>
        </w:rPr>
        <w:footnoteRef/>
      </w:r>
      <w:r w:rsidRPr="008F7EE1">
        <w:rPr>
          <w:rFonts w:ascii="Arial" w:hAnsi="Arial" w:cs="Arial"/>
          <w:sz w:val="18"/>
          <w:szCs w:val="18"/>
        </w:rPr>
        <w:t xml:space="preserve"> The methodological note on the quality control system will be produced together with the final report</w:t>
      </w:r>
    </w:p>
  </w:footnote>
  <w:footnote w:id="2">
    <w:p w:rsidR="005D72C2" w:rsidRPr="00A375EE" w:rsidRDefault="005D72C2" w:rsidP="00A375EE">
      <w:pPr>
        <w:spacing w:before="0" w:after="0"/>
        <w:rPr>
          <w:rFonts w:ascii="Arial" w:hAnsi="Arial" w:cs="Arial"/>
          <w:sz w:val="16"/>
          <w:szCs w:val="16"/>
        </w:rPr>
      </w:pPr>
      <w:r w:rsidRPr="00A375EE">
        <w:footnoteRef/>
      </w:r>
      <w:r w:rsidRPr="00A375EE">
        <w:rPr>
          <w:rFonts w:ascii="Arial" w:hAnsi="Arial" w:cs="Arial"/>
          <w:sz w:val="16"/>
          <w:szCs w:val="16"/>
        </w:rPr>
        <w:t xml:space="preserve">Palestine, as referred to in this Evaluation includes three separate parts: the West Bank, East Jerusalem and the Gaza Strip. While the Oslo Agreement reserved the status of East Jerusalem for final status negotiations, Israel has annexed all of Jerusalem, extending its municipal boundaries into what Palestinians consider to be the West Bank. The Oslo II Accord designated three levels of  territorial and functional governance within the West Bank: </w:t>
      </w:r>
    </w:p>
    <w:p w:rsidR="005D72C2" w:rsidRPr="00A375EE" w:rsidRDefault="005D72C2" w:rsidP="00A375EE">
      <w:pPr>
        <w:spacing w:before="0" w:after="0"/>
        <w:rPr>
          <w:rFonts w:ascii="Arial" w:hAnsi="Arial" w:cs="Arial"/>
          <w:sz w:val="16"/>
          <w:szCs w:val="16"/>
        </w:rPr>
      </w:pPr>
      <w:r w:rsidRPr="00A375EE">
        <w:rPr>
          <w:rFonts w:ascii="Arial" w:hAnsi="Arial" w:cs="Arial"/>
          <w:sz w:val="16"/>
          <w:szCs w:val="16"/>
        </w:rPr>
        <w:t>Area A – Palestinian autonomy as far as most public service delivery is considered but no exclusive competence for authoritative allocation of resources or security (currently 18%)</w:t>
      </w:r>
    </w:p>
    <w:p w:rsidR="005D72C2" w:rsidRPr="00A375EE" w:rsidRDefault="005D72C2" w:rsidP="00A375EE">
      <w:pPr>
        <w:spacing w:before="0" w:after="0"/>
        <w:rPr>
          <w:rFonts w:ascii="Arial" w:hAnsi="Arial" w:cs="Arial"/>
          <w:sz w:val="16"/>
          <w:szCs w:val="16"/>
        </w:rPr>
      </w:pPr>
      <w:r w:rsidRPr="00A375EE">
        <w:rPr>
          <w:rFonts w:ascii="Arial" w:hAnsi="Arial" w:cs="Arial"/>
          <w:sz w:val="16"/>
          <w:szCs w:val="16"/>
        </w:rPr>
        <w:t>Area B - Palestinian civil administration with joint Israeli-Palestinian security control (currently 21%)</w:t>
      </w:r>
    </w:p>
    <w:p w:rsidR="005D72C2" w:rsidRPr="00A375EE" w:rsidRDefault="005D72C2" w:rsidP="00A375EE">
      <w:pPr>
        <w:spacing w:before="0" w:after="0"/>
        <w:rPr>
          <w:rFonts w:ascii="Arial" w:hAnsi="Arial" w:cs="Arial"/>
          <w:sz w:val="16"/>
          <w:szCs w:val="16"/>
        </w:rPr>
      </w:pPr>
      <w:r w:rsidRPr="00A375EE">
        <w:rPr>
          <w:rFonts w:ascii="Arial" w:hAnsi="Arial" w:cs="Arial"/>
          <w:sz w:val="16"/>
          <w:szCs w:val="16"/>
        </w:rPr>
        <w:t>Area C - Full Israeli control, with some exceptions for Palestinian residents (currently 61%)</w:t>
      </w:r>
    </w:p>
    <w:p w:rsidR="005D72C2" w:rsidRPr="00A375EE" w:rsidRDefault="005D72C2" w:rsidP="00A375EE">
      <w:pPr>
        <w:spacing w:before="0" w:after="0"/>
        <w:rPr>
          <w:rFonts w:ascii="Arial" w:hAnsi="Arial" w:cs="Arial"/>
          <w:sz w:val="16"/>
          <w:szCs w:val="16"/>
        </w:rPr>
      </w:pPr>
      <w:r w:rsidRPr="00A375EE">
        <w:rPr>
          <w:rFonts w:ascii="Arial" w:hAnsi="Arial" w:cs="Arial"/>
          <w:sz w:val="16"/>
          <w:szCs w:val="16"/>
        </w:rPr>
        <w:t xml:space="preserve">Sources: Natural Earth, </w:t>
      </w:r>
      <w:proofErr w:type="spellStart"/>
      <w:r w:rsidRPr="00A375EE">
        <w:rPr>
          <w:rFonts w:ascii="Arial" w:hAnsi="Arial" w:cs="Arial"/>
          <w:sz w:val="16"/>
          <w:szCs w:val="16"/>
        </w:rPr>
        <w:t>B'Tselem</w:t>
      </w:r>
      <w:proofErr w:type="spellEnd"/>
      <w:r w:rsidRPr="00A375EE">
        <w:rPr>
          <w:rFonts w:ascii="Arial" w:hAnsi="Arial" w:cs="Arial"/>
          <w:sz w:val="16"/>
          <w:szCs w:val="16"/>
        </w:rPr>
        <w:t xml:space="preserve"> U.N. OCHA Palestine</w:t>
      </w:r>
    </w:p>
  </w:footnote>
  <w:footnote w:id="3">
    <w:p w:rsidR="005D72C2" w:rsidRPr="00A375EE" w:rsidRDefault="005D72C2" w:rsidP="00A375EE">
      <w:pPr>
        <w:pStyle w:val="Testonotaapidipagina"/>
        <w:spacing w:before="0" w:after="0"/>
        <w:rPr>
          <w:rFonts w:ascii="Arial" w:hAnsi="Arial" w:cs="Arial"/>
          <w:sz w:val="16"/>
          <w:szCs w:val="16"/>
        </w:rPr>
      </w:pPr>
      <w:r w:rsidRPr="00A375EE">
        <w:rPr>
          <w:rStyle w:val="Rimandonotaapidipagina"/>
          <w:rFonts w:ascii="Arial" w:hAnsi="Arial" w:cs="Arial"/>
          <w:sz w:val="16"/>
          <w:szCs w:val="16"/>
        </w:rPr>
        <w:footnoteRef/>
      </w:r>
      <w:r w:rsidRPr="00A375EE">
        <w:rPr>
          <w:rFonts w:ascii="Arial" w:hAnsi="Arial" w:cs="Arial"/>
          <w:sz w:val="16"/>
          <w:szCs w:val="16"/>
        </w:rPr>
        <w:t xml:space="preserve">Agreement on </w:t>
      </w:r>
      <w:proofErr w:type="spellStart"/>
      <w:r w:rsidRPr="00A375EE">
        <w:rPr>
          <w:rFonts w:ascii="Arial" w:hAnsi="Arial" w:cs="Arial"/>
          <w:sz w:val="16"/>
          <w:szCs w:val="16"/>
        </w:rPr>
        <w:t>Prepatory</w:t>
      </w:r>
      <w:proofErr w:type="spellEnd"/>
      <w:r w:rsidRPr="00A375EE">
        <w:rPr>
          <w:rFonts w:ascii="Arial" w:hAnsi="Arial" w:cs="Arial"/>
          <w:sz w:val="16"/>
          <w:szCs w:val="16"/>
        </w:rPr>
        <w:t xml:space="preserve"> Transfer of Powers and Responsibilities between Israel and the PLO, Article 1, 1994.</w:t>
      </w:r>
    </w:p>
  </w:footnote>
  <w:footnote w:id="4">
    <w:p w:rsidR="005D72C2" w:rsidRPr="00A375EE" w:rsidRDefault="005D72C2" w:rsidP="00A375EE">
      <w:pPr>
        <w:pStyle w:val="Testonotaapidipagina"/>
        <w:spacing w:before="0" w:after="0"/>
        <w:rPr>
          <w:rFonts w:ascii="Arial" w:hAnsi="Arial" w:cs="Arial"/>
          <w:sz w:val="16"/>
          <w:szCs w:val="16"/>
        </w:rPr>
      </w:pPr>
      <w:r w:rsidRPr="00A375EE">
        <w:rPr>
          <w:rStyle w:val="Rimandonotaapidipagina"/>
          <w:rFonts w:ascii="Arial" w:hAnsi="Arial" w:cs="Arial"/>
          <w:sz w:val="16"/>
          <w:szCs w:val="16"/>
        </w:rPr>
        <w:footnoteRef/>
      </w:r>
      <w:r w:rsidRPr="00A375EE">
        <w:rPr>
          <w:rFonts w:ascii="Arial" w:hAnsi="Arial" w:cs="Arial"/>
          <w:sz w:val="16"/>
          <w:szCs w:val="16"/>
        </w:rPr>
        <w:t>Egypt, Jordan, and Saudi Arabia declared in late June 2007 that the Fatah led PA was the sole legitimate representative of the Palestinians and Egypt moved its Embassy from Gaza to the West Bank.</w:t>
      </w:r>
    </w:p>
  </w:footnote>
  <w:footnote w:id="5">
    <w:p w:rsidR="005D72C2" w:rsidRPr="00A375EE" w:rsidRDefault="005D72C2" w:rsidP="00A375EE">
      <w:pPr>
        <w:pStyle w:val="Testonotaapidipagina"/>
        <w:spacing w:before="0" w:after="0"/>
        <w:rPr>
          <w:rFonts w:ascii="Arial" w:hAnsi="Arial" w:cs="Arial"/>
          <w:sz w:val="16"/>
          <w:szCs w:val="16"/>
        </w:rPr>
      </w:pPr>
      <w:r w:rsidRPr="00A375EE">
        <w:rPr>
          <w:rStyle w:val="Rimandonotaapidipagina"/>
          <w:rFonts w:ascii="Arial" w:hAnsi="Arial" w:cs="Arial"/>
          <w:sz w:val="16"/>
          <w:szCs w:val="16"/>
        </w:rPr>
        <w:footnoteRef/>
      </w:r>
      <w:r w:rsidRPr="00A375EE">
        <w:rPr>
          <w:rFonts w:ascii="Arial" w:hAnsi="Arial" w:cs="Arial"/>
          <w:sz w:val="16"/>
          <w:szCs w:val="16"/>
          <w:lang w:val="en-GB"/>
        </w:rPr>
        <w:t xml:space="preserve"> </w:t>
      </w:r>
      <w:r w:rsidRPr="00A375EE">
        <w:rPr>
          <w:rFonts w:ascii="Arial" w:hAnsi="Arial" w:cs="Arial"/>
          <w:sz w:val="16"/>
          <w:szCs w:val="16"/>
        </w:rPr>
        <w:t xml:space="preserve">The Israeli newspaper </w:t>
      </w:r>
      <w:proofErr w:type="spellStart"/>
      <w:r w:rsidRPr="00A375EE">
        <w:rPr>
          <w:rFonts w:ascii="Arial" w:hAnsi="Arial" w:cs="Arial"/>
          <w:sz w:val="16"/>
          <w:szCs w:val="16"/>
        </w:rPr>
        <w:t>Haaretz</w:t>
      </w:r>
      <w:proofErr w:type="spellEnd"/>
      <w:r w:rsidRPr="00A375EE">
        <w:rPr>
          <w:rFonts w:ascii="Arial" w:hAnsi="Arial" w:cs="Arial"/>
          <w:sz w:val="16"/>
          <w:szCs w:val="16"/>
        </w:rPr>
        <w:t xml:space="preserve"> reported at end of 2008, a total of over 800 tracks, the US Congressional research Service reported in 2010 over 1,000, with about 400 paying a tunnel trade tax to Hamas of about US$2500 each per year. By contrast, UNSCO reported an average of 10,000 trucks per month entering the Gaza Strip before the blockade.</w:t>
      </w:r>
    </w:p>
  </w:footnote>
  <w:footnote w:id="6">
    <w:p w:rsidR="005D72C2" w:rsidRPr="00A375EE" w:rsidRDefault="005D72C2" w:rsidP="00A375EE">
      <w:pPr>
        <w:widowControl w:val="0"/>
        <w:autoSpaceDE w:val="0"/>
        <w:autoSpaceDN w:val="0"/>
        <w:adjustRightInd w:val="0"/>
        <w:spacing w:before="0" w:after="0"/>
        <w:rPr>
          <w:rFonts w:ascii="Arial" w:eastAsia="Calibri" w:hAnsi="Arial" w:cs="Arial"/>
          <w:sz w:val="16"/>
          <w:szCs w:val="16"/>
        </w:rPr>
      </w:pPr>
      <w:r w:rsidRPr="00A375EE">
        <w:rPr>
          <w:rStyle w:val="Rimandonotaapidipagina"/>
          <w:rFonts w:ascii="Arial" w:hAnsi="Arial" w:cs="Arial"/>
          <w:sz w:val="16"/>
          <w:szCs w:val="16"/>
        </w:rPr>
        <w:footnoteRef/>
      </w:r>
      <w:r w:rsidRPr="00A375EE">
        <w:rPr>
          <w:rFonts w:ascii="Arial" w:hAnsi="Arial" w:cs="Arial"/>
          <w:sz w:val="16"/>
          <w:szCs w:val="16"/>
        </w:rPr>
        <w:t xml:space="preserve"> IMF Staff Report: </w:t>
      </w:r>
      <w:r w:rsidRPr="00A375EE">
        <w:rPr>
          <w:rFonts w:ascii="Arial" w:eastAsia="Calibri" w:hAnsi="Arial" w:cs="Arial"/>
          <w:sz w:val="16"/>
          <w:szCs w:val="16"/>
        </w:rPr>
        <w:t>Recent Experience and Prospects of the Economy of the West Bank and Gaza.  March 19, 2013</w:t>
      </w:r>
    </w:p>
  </w:footnote>
  <w:footnote w:id="7">
    <w:p w:rsidR="005D72C2" w:rsidRPr="00A375EE" w:rsidRDefault="005D72C2" w:rsidP="00A375EE">
      <w:pPr>
        <w:pStyle w:val="Testonotaapidipagina"/>
        <w:spacing w:before="0" w:after="0"/>
        <w:rPr>
          <w:rFonts w:ascii="Arial" w:hAnsi="Arial" w:cs="Arial"/>
          <w:sz w:val="16"/>
          <w:szCs w:val="16"/>
        </w:rPr>
      </w:pPr>
      <w:r w:rsidRPr="00A375EE">
        <w:rPr>
          <w:rStyle w:val="Rimandonotaapidipagina"/>
          <w:rFonts w:ascii="Arial" w:hAnsi="Arial" w:cs="Arial"/>
          <w:sz w:val="16"/>
          <w:szCs w:val="16"/>
        </w:rPr>
        <w:footnoteRef/>
      </w:r>
      <w:r w:rsidRPr="00A375EE">
        <w:rPr>
          <w:rFonts w:ascii="Arial" w:hAnsi="Arial" w:cs="Arial"/>
          <w:sz w:val="16"/>
          <w:szCs w:val="16"/>
          <w:lang w:val="en-GB"/>
        </w:rPr>
        <w:t xml:space="preserve"> </w:t>
      </w:r>
      <w:r w:rsidRPr="00A375EE">
        <w:rPr>
          <w:rFonts w:ascii="Arial" w:hAnsi="Arial" w:cs="Arial"/>
          <w:sz w:val="16"/>
          <w:szCs w:val="16"/>
        </w:rPr>
        <w:t>World Development Report 2009.</w:t>
      </w:r>
    </w:p>
  </w:footnote>
  <w:footnote w:id="8">
    <w:p w:rsidR="005D72C2" w:rsidRPr="00A375EE" w:rsidRDefault="005D72C2" w:rsidP="00A375EE">
      <w:pPr>
        <w:pStyle w:val="Testonotaapidipagina"/>
        <w:spacing w:before="0" w:after="0"/>
        <w:rPr>
          <w:rFonts w:ascii="Arial" w:hAnsi="Arial" w:cs="Arial"/>
          <w:sz w:val="16"/>
          <w:szCs w:val="16"/>
        </w:rPr>
      </w:pPr>
      <w:r w:rsidRPr="00A375EE">
        <w:rPr>
          <w:rStyle w:val="Rimandonotaapidipagina"/>
          <w:rFonts w:ascii="Arial" w:hAnsi="Arial" w:cs="Arial"/>
          <w:sz w:val="16"/>
          <w:szCs w:val="16"/>
        </w:rPr>
        <w:footnoteRef/>
      </w:r>
      <w:r w:rsidRPr="00A375EE">
        <w:rPr>
          <w:rFonts w:ascii="Arial" w:hAnsi="Arial" w:cs="Arial"/>
          <w:sz w:val="16"/>
          <w:szCs w:val="16"/>
        </w:rPr>
        <w:t>These restrictions are extensively documented in any number of documents by USAID, World Bank and UN</w:t>
      </w:r>
    </w:p>
  </w:footnote>
  <w:footnote w:id="9">
    <w:p w:rsidR="005D72C2" w:rsidRPr="00A375EE" w:rsidRDefault="005D72C2" w:rsidP="00A375EE">
      <w:pPr>
        <w:pStyle w:val="Testonotaapidipagina"/>
        <w:spacing w:before="0" w:after="0"/>
        <w:rPr>
          <w:rFonts w:ascii="Arial" w:hAnsi="Arial" w:cs="Arial"/>
          <w:sz w:val="16"/>
          <w:szCs w:val="16"/>
        </w:rPr>
      </w:pPr>
      <w:r w:rsidRPr="00A375EE">
        <w:rPr>
          <w:rStyle w:val="Rimandonotaapidipagina"/>
          <w:rFonts w:ascii="Arial" w:hAnsi="Arial" w:cs="Arial"/>
          <w:sz w:val="16"/>
          <w:szCs w:val="16"/>
        </w:rPr>
        <w:footnoteRef/>
      </w:r>
      <w:r w:rsidRPr="00A375EE">
        <w:rPr>
          <w:rFonts w:ascii="Arial" w:hAnsi="Arial" w:cs="Arial"/>
          <w:sz w:val="16"/>
          <w:szCs w:val="16"/>
          <w:lang w:val="en-GB"/>
        </w:rPr>
        <w:t xml:space="preserve"> </w:t>
      </w:r>
      <w:r w:rsidRPr="00A375EE">
        <w:rPr>
          <w:rFonts w:ascii="Arial" w:hAnsi="Arial" w:cs="Arial"/>
          <w:sz w:val="16"/>
          <w:szCs w:val="16"/>
        </w:rPr>
        <w:t>2009 PCBS’ economic survey.</w:t>
      </w:r>
    </w:p>
  </w:footnote>
  <w:footnote w:id="10">
    <w:p w:rsidR="005D72C2" w:rsidRPr="00A375EE" w:rsidRDefault="005D72C2" w:rsidP="00A375EE">
      <w:pPr>
        <w:pStyle w:val="Testonotaapidipagina"/>
        <w:spacing w:before="0" w:after="0"/>
        <w:rPr>
          <w:rFonts w:ascii="Arial" w:hAnsi="Arial" w:cs="Arial"/>
          <w:sz w:val="16"/>
          <w:szCs w:val="16"/>
        </w:rPr>
      </w:pPr>
      <w:r w:rsidRPr="00A375EE">
        <w:rPr>
          <w:rStyle w:val="Rimandonotaapidipagina"/>
          <w:rFonts w:ascii="Arial" w:hAnsi="Arial" w:cs="Arial"/>
          <w:sz w:val="16"/>
          <w:szCs w:val="16"/>
        </w:rPr>
        <w:footnoteRef/>
      </w:r>
      <w:r w:rsidRPr="00A375EE">
        <w:rPr>
          <w:rFonts w:ascii="Arial" w:hAnsi="Arial" w:cs="Arial"/>
          <w:sz w:val="16"/>
          <w:szCs w:val="16"/>
        </w:rPr>
        <w:t>Doing Business in the Arab World, 2011, p.87</w:t>
      </w:r>
    </w:p>
  </w:footnote>
  <w:footnote w:id="11">
    <w:p w:rsidR="005D72C2" w:rsidRPr="00A375EE" w:rsidRDefault="005D72C2" w:rsidP="00A375EE">
      <w:pPr>
        <w:pStyle w:val="Testonotaapidipagina"/>
        <w:spacing w:before="0" w:after="0"/>
        <w:rPr>
          <w:rFonts w:ascii="Arial" w:hAnsi="Arial" w:cs="Arial"/>
          <w:sz w:val="16"/>
          <w:szCs w:val="16"/>
        </w:rPr>
      </w:pPr>
      <w:r w:rsidRPr="00A375EE">
        <w:rPr>
          <w:rStyle w:val="Rimandonotaapidipagina"/>
          <w:rFonts w:ascii="Arial" w:hAnsi="Arial" w:cs="Arial"/>
          <w:sz w:val="16"/>
          <w:szCs w:val="16"/>
        </w:rPr>
        <w:footnoteRef/>
      </w:r>
      <w:r w:rsidRPr="00A375EE">
        <w:rPr>
          <w:rFonts w:ascii="Arial" w:hAnsi="Arial" w:cs="Arial"/>
          <w:sz w:val="16"/>
          <w:szCs w:val="16"/>
        </w:rPr>
        <w:t xml:space="preserve"> Source:  World Bank, Coping with Conflict:  Inclusion in the West Bank and Gaza, October 2011</w:t>
      </w:r>
    </w:p>
  </w:footnote>
  <w:footnote w:id="12">
    <w:p w:rsidR="005D72C2" w:rsidRPr="00A375EE" w:rsidRDefault="005D72C2" w:rsidP="00A375EE">
      <w:pPr>
        <w:pStyle w:val="Testonotaapidipagina"/>
        <w:spacing w:before="0" w:after="0"/>
        <w:rPr>
          <w:rFonts w:ascii="Arial" w:hAnsi="Arial" w:cs="Arial"/>
          <w:sz w:val="16"/>
          <w:szCs w:val="16"/>
        </w:rPr>
      </w:pPr>
      <w:r w:rsidRPr="00A375EE">
        <w:rPr>
          <w:rStyle w:val="Rimandonotaapidipagina"/>
          <w:rFonts w:ascii="Arial" w:hAnsi="Arial" w:cs="Arial"/>
          <w:sz w:val="16"/>
          <w:szCs w:val="16"/>
        </w:rPr>
        <w:footnoteRef/>
      </w:r>
      <w:r w:rsidRPr="00A375EE">
        <w:rPr>
          <w:rFonts w:ascii="Arial" w:hAnsi="Arial" w:cs="Arial"/>
          <w:sz w:val="16"/>
          <w:szCs w:val="16"/>
        </w:rPr>
        <w:t xml:space="preserve"> The GOI cites security concerns that restrict its ability to ease restrictions.</w:t>
      </w:r>
    </w:p>
  </w:footnote>
  <w:footnote w:id="13">
    <w:p w:rsidR="005D72C2" w:rsidRPr="00A375EE" w:rsidRDefault="005D72C2" w:rsidP="00A375EE">
      <w:pPr>
        <w:pStyle w:val="Testonotaapidipagina"/>
        <w:spacing w:before="0" w:after="0"/>
        <w:rPr>
          <w:rFonts w:ascii="Arial" w:hAnsi="Arial" w:cs="Arial"/>
          <w:sz w:val="16"/>
          <w:szCs w:val="16"/>
        </w:rPr>
      </w:pPr>
      <w:r w:rsidRPr="00A375EE">
        <w:rPr>
          <w:rStyle w:val="Rimandonotaapidipagina"/>
          <w:rFonts w:ascii="Arial" w:hAnsi="Arial" w:cs="Arial"/>
          <w:sz w:val="16"/>
          <w:szCs w:val="16"/>
        </w:rPr>
        <w:footnoteRef/>
      </w:r>
      <w:r w:rsidRPr="00A375EE">
        <w:rPr>
          <w:rFonts w:ascii="Arial" w:hAnsi="Arial" w:cs="Arial"/>
          <w:sz w:val="16"/>
          <w:szCs w:val="16"/>
        </w:rPr>
        <w:t xml:space="preserve"> Coping with Conflict:  Poverty and Inclusion in the West Bank and Gaza.  The World Bank, October 2011.</w:t>
      </w:r>
    </w:p>
  </w:footnote>
  <w:footnote w:id="14">
    <w:p w:rsidR="005D72C2" w:rsidRPr="00A375EE" w:rsidRDefault="005D72C2" w:rsidP="00A375EE">
      <w:pPr>
        <w:pStyle w:val="Testonotaapidipagina"/>
        <w:spacing w:before="0" w:after="0"/>
        <w:rPr>
          <w:rFonts w:ascii="Arial" w:hAnsi="Arial" w:cs="Arial"/>
          <w:sz w:val="16"/>
          <w:szCs w:val="16"/>
        </w:rPr>
      </w:pPr>
      <w:r w:rsidRPr="00A375EE">
        <w:rPr>
          <w:rStyle w:val="Rimandonotaapidipagina"/>
          <w:rFonts w:ascii="Arial" w:hAnsi="Arial" w:cs="Arial"/>
          <w:sz w:val="16"/>
          <w:szCs w:val="16"/>
        </w:rPr>
        <w:footnoteRef/>
      </w:r>
      <w:r w:rsidRPr="00A375EE">
        <w:rPr>
          <w:rFonts w:ascii="Arial" w:hAnsi="Arial" w:cs="Arial"/>
          <w:sz w:val="16"/>
          <w:szCs w:val="16"/>
        </w:rPr>
        <w:t xml:space="preserve"> This section draws substantially from a report of the World Bank, Coping with Conflict: Poverty and Inclusion in the West Bank and Gaza, October 2011.</w:t>
      </w:r>
    </w:p>
  </w:footnote>
  <w:footnote w:id="15">
    <w:p w:rsidR="005D72C2" w:rsidRPr="00740262" w:rsidRDefault="005D72C2" w:rsidP="00B020F1">
      <w:pPr>
        <w:pStyle w:val="Testonotaapidipagina"/>
        <w:spacing w:before="0" w:after="0"/>
        <w:rPr>
          <w:rFonts w:ascii="Arial" w:hAnsi="Arial" w:cs="Arial"/>
          <w:sz w:val="16"/>
          <w:szCs w:val="16"/>
        </w:rPr>
      </w:pPr>
      <w:r w:rsidRPr="00B020F1">
        <w:rPr>
          <w:rStyle w:val="Rimandonotaapidipagina"/>
          <w:rFonts w:ascii="Arial" w:hAnsi="Arial" w:cs="Arial"/>
          <w:sz w:val="16"/>
          <w:szCs w:val="16"/>
        </w:rPr>
        <w:footnoteRef/>
      </w:r>
      <w:r w:rsidRPr="00B020F1">
        <w:rPr>
          <w:rFonts w:ascii="Arial" w:hAnsi="Arial" w:cs="Arial"/>
          <w:sz w:val="16"/>
          <w:szCs w:val="16"/>
        </w:rPr>
        <w:t xml:space="preserve"> UNICEF “Investing in Public Education in Gaza:  A Case Study.” March 2013</w:t>
      </w:r>
    </w:p>
  </w:footnote>
  <w:footnote w:id="16">
    <w:p w:rsidR="005D72C2" w:rsidRPr="00A375EE" w:rsidRDefault="005D72C2" w:rsidP="00A375EE">
      <w:pPr>
        <w:pStyle w:val="Testonotaapidipagina"/>
        <w:spacing w:before="0" w:after="0"/>
        <w:rPr>
          <w:rFonts w:ascii="Arial" w:hAnsi="Arial" w:cs="Arial"/>
          <w:sz w:val="16"/>
          <w:szCs w:val="16"/>
        </w:rPr>
      </w:pPr>
      <w:r w:rsidRPr="00A375EE">
        <w:rPr>
          <w:rStyle w:val="Rimandonotaapidipagina"/>
          <w:rFonts w:ascii="Arial" w:hAnsi="Arial" w:cs="Arial"/>
          <w:sz w:val="16"/>
          <w:szCs w:val="16"/>
        </w:rPr>
        <w:footnoteRef/>
      </w:r>
      <w:r w:rsidRPr="00A375EE">
        <w:rPr>
          <w:rFonts w:ascii="Arial" w:hAnsi="Arial" w:cs="Arial"/>
          <w:sz w:val="16"/>
          <w:szCs w:val="16"/>
        </w:rPr>
        <w:t xml:space="preserve"> World Bank.  From Education-to-Work:  exploring Opportunities and Challenges for West Bank and Gaza, March 2011.  And, World Bank, Towards Economic Sustainability of a Future Palestinian State:  Promoting Private Sector-Led Growth.  April 2012.</w:t>
      </w:r>
    </w:p>
  </w:footnote>
  <w:footnote w:id="17">
    <w:p w:rsidR="005D72C2" w:rsidRPr="00A375EE" w:rsidRDefault="005D72C2" w:rsidP="00205969">
      <w:pPr>
        <w:pStyle w:val="Testonotaapidipagina"/>
        <w:spacing w:before="0" w:after="0"/>
        <w:rPr>
          <w:rFonts w:ascii="Arial" w:hAnsi="Arial" w:cs="Arial"/>
          <w:sz w:val="16"/>
          <w:szCs w:val="16"/>
        </w:rPr>
      </w:pPr>
      <w:r w:rsidRPr="00A375EE">
        <w:rPr>
          <w:rStyle w:val="Rimandonotaapidipagina"/>
          <w:rFonts w:ascii="Arial" w:hAnsi="Arial" w:cs="Arial"/>
          <w:sz w:val="16"/>
          <w:szCs w:val="16"/>
        </w:rPr>
        <w:footnoteRef/>
      </w:r>
      <w:r w:rsidRPr="00A375EE">
        <w:rPr>
          <w:rFonts w:ascii="Arial" w:hAnsi="Arial" w:cs="Arial"/>
          <w:sz w:val="16"/>
          <w:szCs w:val="16"/>
        </w:rPr>
        <w:t xml:space="preserve"> Coping with Conflict:  Poverty and Inclusion in the West Bank and Gaza: Overview.   World Bank 2011.</w:t>
      </w:r>
    </w:p>
  </w:footnote>
  <w:footnote w:id="18">
    <w:p w:rsidR="005D72C2" w:rsidRPr="00A375EE" w:rsidRDefault="005D72C2" w:rsidP="00A375EE">
      <w:pPr>
        <w:pStyle w:val="Testonotaapidipagina"/>
        <w:spacing w:before="0" w:after="0"/>
        <w:rPr>
          <w:rFonts w:ascii="Arial" w:hAnsi="Arial" w:cs="Arial"/>
          <w:sz w:val="16"/>
          <w:szCs w:val="16"/>
        </w:rPr>
      </w:pPr>
      <w:r w:rsidRPr="00A375EE">
        <w:rPr>
          <w:rStyle w:val="Rimandonotaapidipagina"/>
          <w:rFonts w:ascii="Arial" w:hAnsi="Arial" w:cs="Arial"/>
          <w:sz w:val="16"/>
          <w:szCs w:val="16"/>
        </w:rPr>
        <w:footnoteRef/>
      </w:r>
      <w:r w:rsidRPr="00A375EE">
        <w:rPr>
          <w:rFonts w:ascii="Arial" w:hAnsi="Arial" w:cs="Arial"/>
          <w:sz w:val="16"/>
          <w:szCs w:val="16"/>
        </w:rPr>
        <w:t xml:space="preserve"> Abdul </w:t>
      </w:r>
      <w:proofErr w:type="spellStart"/>
      <w:r w:rsidRPr="00A375EE">
        <w:rPr>
          <w:rFonts w:ascii="Arial" w:hAnsi="Arial" w:cs="Arial"/>
          <w:sz w:val="16"/>
          <w:szCs w:val="16"/>
        </w:rPr>
        <w:t>Rahin</w:t>
      </w:r>
      <w:proofErr w:type="spellEnd"/>
      <w:r w:rsidRPr="00A375EE">
        <w:rPr>
          <w:rFonts w:ascii="Arial" w:hAnsi="Arial" w:cs="Arial"/>
          <w:sz w:val="16"/>
          <w:szCs w:val="16"/>
        </w:rPr>
        <w:t>, 2009.</w:t>
      </w:r>
    </w:p>
  </w:footnote>
  <w:footnote w:id="19">
    <w:p w:rsidR="005D72C2" w:rsidRPr="00A375EE" w:rsidRDefault="005D72C2" w:rsidP="00A375EE">
      <w:pPr>
        <w:pStyle w:val="Testonotaapidipagina"/>
        <w:spacing w:before="0" w:after="0"/>
        <w:rPr>
          <w:rFonts w:ascii="Arial" w:hAnsi="Arial" w:cs="Arial"/>
          <w:sz w:val="16"/>
          <w:szCs w:val="16"/>
        </w:rPr>
      </w:pPr>
      <w:r w:rsidRPr="00A375EE">
        <w:rPr>
          <w:rStyle w:val="Rimandonotaapidipagina"/>
          <w:rFonts w:ascii="Arial" w:hAnsi="Arial" w:cs="Arial"/>
          <w:sz w:val="16"/>
          <w:szCs w:val="16"/>
        </w:rPr>
        <w:footnoteRef/>
      </w:r>
      <w:r w:rsidRPr="00A375EE">
        <w:rPr>
          <w:rFonts w:ascii="Arial" w:hAnsi="Arial" w:cs="Arial"/>
          <w:sz w:val="16"/>
          <w:szCs w:val="16"/>
        </w:rPr>
        <w:t xml:space="preserve"> Palestinian Bureau of Statistics and Ministry of Health.   National Health Accounts 2009, 2010, Main Findings.  Published Feb 2012</w:t>
      </w:r>
    </w:p>
  </w:footnote>
  <w:footnote w:id="20">
    <w:p w:rsidR="005D72C2" w:rsidRPr="00A375EE" w:rsidRDefault="005D72C2" w:rsidP="00A375EE">
      <w:pPr>
        <w:pStyle w:val="Testonotaapidipagina"/>
        <w:spacing w:before="0" w:after="0"/>
        <w:rPr>
          <w:rFonts w:ascii="Arial" w:hAnsi="Arial" w:cs="Arial"/>
          <w:sz w:val="16"/>
          <w:szCs w:val="16"/>
        </w:rPr>
      </w:pPr>
      <w:r w:rsidRPr="00A375EE">
        <w:rPr>
          <w:rStyle w:val="Rimandonotaapidipagina"/>
          <w:rFonts w:ascii="Arial" w:hAnsi="Arial" w:cs="Arial"/>
          <w:sz w:val="16"/>
          <w:szCs w:val="16"/>
        </w:rPr>
        <w:footnoteRef/>
      </w:r>
      <w:r w:rsidRPr="00A375EE">
        <w:rPr>
          <w:rFonts w:ascii="Arial" w:hAnsi="Arial" w:cs="Arial"/>
          <w:sz w:val="16"/>
          <w:szCs w:val="16"/>
        </w:rPr>
        <w:t xml:space="preserve"> Reforming Prudently Under Pressure:  Health Financing Reform and the Rationalization of Public Sector Health Expenditures.  World Bank,  August 2009.</w:t>
      </w:r>
    </w:p>
  </w:footnote>
  <w:footnote w:id="21">
    <w:p w:rsidR="005D72C2" w:rsidRPr="00A375EE" w:rsidRDefault="005D72C2" w:rsidP="00A375EE">
      <w:pPr>
        <w:pStyle w:val="Testonotaapidipagina"/>
        <w:spacing w:before="0" w:after="0"/>
        <w:rPr>
          <w:rFonts w:ascii="Arial" w:hAnsi="Arial" w:cs="Arial"/>
          <w:sz w:val="16"/>
          <w:szCs w:val="16"/>
        </w:rPr>
      </w:pPr>
      <w:r w:rsidRPr="00A375EE">
        <w:rPr>
          <w:rStyle w:val="Rimandonotaapidipagina"/>
          <w:rFonts w:ascii="Arial" w:hAnsi="Arial" w:cs="Arial"/>
          <w:sz w:val="16"/>
          <w:szCs w:val="16"/>
        </w:rPr>
        <w:footnoteRef/>
      </w:r>
      <w:r w:rsidRPr="00A375EE">
        <w:rPr>
          <w:rFonts w:ascii="Arial" w:hAnsi="Arial" w:cs="Arial"/>
          <w:sz w:val="16"/>
          <w:szCs w:val="16"/>
        </w:rPr>
        <w:t xml:space="preserve"> Health and Education efficiency in UNRWA, UNRWA 2013.</w:t>
      </w:r>
    </w:p>
  </w:footnote>
  <w:footnote w:id="22">
    <w:p w:rsidR="005D72C2" w:rsidRPr="00A375EE" w:rsidRDefault="005D72C2" w:rsidP="00A375EE">
      <w:pPr>
        <w:pStyle w:val="Testonotaapidipagina"/>
        <w:spacing w:before="0" w:after="0"/>
        <w:rPr>
          <w:rFonts w:ascii="Arial" w:hAnsi="Arial" w:cs="Arial"/>
          <w:sz w:val="16"/>
          <w:szCs w:val="16"/>
        </w:rPr>
      </w:pPr>
      <w:r w:rsidRPr="00A375EE">
        <w:rPr>
          <w:rStyle w:val="Rimandonotaapidipagina"/>
          <w:rFonts w:ascii="Arial" w:hAnsi="Arial" w:cs="Arial"/>
          <w:sz w:val="16"/>
          <w:szCs w:val="16"/>
        </w:rPr>
        <w:footnoteRef/>
      </w:r>
      <w:r w:rsidRPr="00A375EE">
        <w:rPr>
          <w:rFonts w:ascii="Arial" w:hAnsi="Arial" w:cs="Arial"/>
          <w:sz w:val="16"/>
          <w:szCs w:val="16"/>
        </w:rPr>
        <w:t xml:space="preserve"> The World Bank.  Targeting </w:t>
      </w:r>
      <w:proofErr w:type="spellStart"/>
      <w:r w:rsidRPr="00A375EE">
        <w:rPr>
          <w:rFonts w:ascii="Arial" w:hAnsi="Arial" w:cs="Arial"/>
          <w:sz w:val="16"/>
          <w:szCs w:val="16"/>
        </w:rPr>
        <w:t>Assesment</w:t>
      </w:r>
      <w:proofErr w:type="spellEnd"/>
      <w:r w:rsidRPr="00A375EE">
        <w:rPr>
          <w:rFonts w:ascii="Arial" w:hAnsi="Arial" w:cs="Arial"/>
          <w:sz w:val="16"/>
          <w:szCs w:val="16"/>
        </w:rPr>
        <w:t xml:space="preserve"> of the Cash Transfer Program in West Bank and Gaza.  June 25, 2012</w:t>
      </w:r>
    </w:p>
  </w:footnote>
  <w:footnote w:id="23">
    <w:p w:rsidR="005D72C2" w:rsidRPr="00A375EE" w:rsidRDefault="005D72C2" w:rsidP="00A375EE">
      <w:pPr>
        <w:pStyle w:val="Testonotaapidipagina"/>
        <w:spacing w:before="0" w:after="0"/>
        <w:rPr>
          <w:rFonts w:ascii="Arial" w:hAnsi="Arial" w:cs="Arial"/>
          <w:sz w:val="16"/>
          <w:szCs w:val="16"/>
        </w:rPr>
      </w:pPr>
      <w:r w:rsidRPr="00A375EE">
        <w:rPr>
          <w:rStyle w:val="Rimandonotaapidipagina"/>
          <w:rFonts w:ascii="Arial" w:hAnsi="Arial" w:cs="Arial"/>
          <w:sz w:val="16"/>
          <w:szCs w:val="16"/>
        </w:rPr>
        <w:footnoteRef/>
      </w:r>
      <w:r w:rsidRPr="00A375EE">
        <w:rPr>
          <w:rFonts w:ascii="Arial" w:hAnsi="Arial" w:cs="Arial"/>
          <w:sz w:val="16"/>
          <w:szCs w:val="16"/>
        </w:rPr>
        <w:t xml:space="preserve"> Socio-Economic and Food Security Survey, West Bank and Gaza, 2012.  Joint Effort between the Palestinian Central Bureau of Statistics and the UN through FAO, UNRWA and WFP.</w:t>
      </w:r>
    </w:p>
  </w:footnote>
  <w:footnote w:id="24">
    <w:p w:rsidR="005D72C2" w:rsidRPr="00A375EE" w:rsidRDefault="005D72C2" w:rsidP="00A375EE">
      <w:pPr>
        <w:pStyle w:val="Testonotaapidipagina"/>
        <w:spacing w:before="0" w:after="0"/>
        <w:rPr>
          <w:rFonts w:ascii="Arial" w:hAnsi="Arial" w:cs="Arial"/>
          <w:sz w:val="16"/>
          <w:szCs w:val="16"/>
        </w:rPr>
      </w:pPr>
      <w:r w:rsidRPr="00A375EE">
        <w:rPr>
          <w:rStyle w:val="Rimandonotaapidipagina"/>
          <w:rFonts w:ascii="Arial" w:hAnsi="Arial" w:cs="Arial"/>
          <w:sz w:val="16"/>
          <w:szCs w:val="16"/>
        </w:rPr>
        <w:footnoteRef/>
      </w:r>
      <w:r w:rsidRPr="00A375EE">
        <w:rPr>
          <w:rFonts w:ascii="Arial" w:hAnsi="Arial" w:cs="Arial"/>
          <w:sz w:val="16"/>
          <w:szCs w:val="16"/>
          <w:lang w:val="en-GB"/>
        </w:rPr>
        <w:t xml:space="preserve"> </w:t>
      </w:r>
      <w:r w:rsidRPr="00A375EE">
        <w:rPr>
          <w:rFonts w:ascii="Arial" w:eastAsia="Calibri" w:hAnsi="Arial" w:cs="Arial"/>
          <w:sz w:val="16"/>
          <w:szCs w:val="16"/>
        </w:rPr>
        <w:t>Palestine country report of the Arab Barometer, http://www.arabbarometer.org</w:t>
      </w:r>
    </w:p>
  </w:footnote>
  <w:footnote w:id="25">
    <w:p w:rsidR="005D72C2" w:rsidRPr="00A375EE" w:rsidRDefault="005D72C2" w:rsidP="00A375EE">
      <w:pPr>
        <w:pStyle w:val="Testonotaapidipagina"/>
        <w:spacing w:before="0" w:after="0"/>
        <w:rPr>
          <w:rFonts w:ascii="Arial" w:hAnsi="Arial" w:cs="Arial"/>
          <w:sz w:val="16"/>
          <w:szCs w:val="16"/>
        </w:rPr>
      </w:pPr>
      <w:r w:rsidRPr="00A375EE">
        <w:rPr>
          <w:rStyle w:val="Rimandonotaapidipagina"/>
          <w:rFonts w:ascii="Arial" w:hAnsi="Arial" w:cs="Arial"/>
          <w:sz w:val="16"/>
          <w:szCs w:val="16"/>
        </w:rPr>
        <w:footnoteRef/>
      </w:r>
      <w:r w:rsidRPr="00A375EE">
        <w:rPr>
          <w:rFonts w:ascii="Arial" w:eastAsia="Calibri" w:hAnsi="Arial" w:cs="Arial"/>
          <w:sz w:val="16"/>
          <w:szCs w:val="16"/>
        </w:rPr>
        <w:t>Palestine Ending Occupation Establishing the State, Palestine National Authority, 2009;</w:t>
      </w:r>
    </w:p>
  </w:footnote>
  <w:footnote w:id="26">
    <w:p w:rsidR="005D72C2" w:rsidRPr="00A375EE" w:rsidRDefault="005D72C2" w:rsidP="00A375EE">
      <w:pPr>
        <w:pStyle w:val="Testonotaapidipagina"/>
        <w:spacing w:before="0" w:after="0"/>
        <w:rPr>
          <w:rFonts w:ascii="Arial" w:hAnsi="Arial" w:cs="Arial"/>
          <w:sz w:val="16"/>
          <w:szCs w:val="16"/>
        </w:rPr>
      </w:pPr>
      <w:r w:rsidRPr="00A375EE">
        <w:rPr>
          <w:rStyle w:val="Rimandonotaapidipagina"/>
          <w:rFonts w:ascii="Arial" w:hAnsi="Arial" w:cs="Arial"/>
          <w:sz w:val="16"/>
          <w:szCs w:val="16"/>
        </w:rPr>
        <w:footnoteRef/>
      </w:r>
      <w:r w:rsidRPr="00A375EE">
        <w:rPr>
          <w:rFonts w:ascii="Arial" w:eastAsia="Calibri" w:hAnsi="Arial" w:cs="Arial"/>
          <w:sz w:val="16"/>
          <w:szCs w:val="16"/>
          <w:lang w:eastAsia="it-IT"/>
        </w:rPr>
        <w:t>Transparency Palestine, Corruption report, 2012 ;</w:t>
      </w:r>
    </w:p>
  </w:footnote>
  <w:footnote w:id="27">
    <w:p w:rsidR="005D72C2" w:rsidRPr="001E470F" w:rsidRDefault="005D72C2" w:rsidP="001E470F">
      <w:pPr>
        <w:pStyle w:val="Testonotaapidipagina"/>
        <w:spacing w:before="0" w:after="0"/>
        <w:rPr>
          <w:rFonts w:ascii="Arial" w:hAnsi="Arial" w:cs="Arial"/>
          <w:sz w:val="16"/>
          <w:szCs w:val="16"/>
        </w:rPr>
      </w:pPr>
      <w:r w:rsidRPr="001E470F">
        <w:rPr>
          <w:rStyle w:val="Rimandonotaapidipagina"/>
          <w:rFonts w:ascii="Arial" w:hAnsi="Arial" w:cs="Arial"/>
          <w:sz w:val="16"/>
          <w:szCs w:val="16"/>
        </w:rPr>
        <w:footnoteRef/>
      </w:r>
      <w:r w:rsidRPr="001E470F">
        <w:rPr>
          <w:rFonts w:ascii="Arial" w:eastAsia="Calibri" w:hAnsi="Arial" w:cs="Arial"/>
          <w:sz w:val="16"/>
          <w:szCs w:val="16"/>
          <w:lang w:eastAsia="it-IT"/>
        </w:rPr>
        <w:t xml:space="preserve">EMHRN and the Palestinian Human Rights </w:t>
      </w:r>
      <w:proofErr w:type="spellStart"/>
      <w:r w:rsidRPr="001E470F">
        <w:rPr>
          <w:rFonts w:ascii="Arial" w:eastAsia="Calibri" w:hAnsi="Arial" w:cs="Arial"/>
          <w:sz w:val="16"/>
          <w:szCs w:val="16"/>
          <w:lang w:eastAsia="it-IT"/>
        </w:rPr>
        <w:t>Organisations</w:t>
      </w:r>
      <w:proofErr w:type="spellEnd"/>
      <w:r w:rsidRPr="001E470F">
        <w:rPr>
          <w:rFonts w:ascii="Arial" w:eastAsia="Calibri" w:hAnsi="Arial" w:cs="Arial"/>
          <w:sz w:val="16"/>
          <w:szCs w:val="16"/>
          <w:lang w:eastAsia="it-IT"/>
        </w:rPr>
        <w:t xml:space="preserve"> Council’s submission to the EU ahead of the EU-PA sub-committee on human rights, good governance and the rule of law, 2012</w:t>
      </w:r>
    </w:p>
  </w:footnote>
  <w:footnote w:id="28">
    <w:p w:rsidR="005D72C2" w:rsidRPr="00D804A2" w:rsidRDefault="005D72C2" w:rsidP="001E470F">
      <w:pPr>
        <w:pStyle w:val="Testonotaapidipagina"/>
        <w:spacing w:before="0" w:after="0"/>
      </w:pPr>
      <w:r w:rsidRPr="001E470F">
        <w:rPr>
          <w:rStyle w:val="Rimandonotaapidipagina"/>
          <w:rFonts w:ascii="Arial" w:hAnsi="Arial" w:cs="Arial"/>
          <w:sz w:val="16"/>
          <w:szCs w:val="16"/>
        </w:rPr>
        <w:footnoteRef/>
      </w:r>
      <w:r w:rsidRPr="001E470F">
        <w:rPr>
          <w:rFonts w:ascii="Arial" w:hAnsi="Arial" w:cs="Arial"/>
          <w:sz w:val="16"/>
          <w:szCs w:val="16"/>
        </w:rPr>
        <w:t xml:space="preserve"> From ‘National Water and Wastewater Strategy’ - PWA - July 2013</w:t>
      </w:r>
    </w:p>
  </w:footnote>
  <w:footnote w:id="29">
    <w:p w:rsidR="005D72C2" w:rsidRPr="00E416D9" w:rsidRDefault="005D72C2" w:rsidP="001E470F">
      <w:pPr>
        <w:rPr>
          <w:highlight w:val="yellow"/>
          <w:lang w:eastAsia="ja-JP"/>
        </w:rPr>
      </w:pPr>
      <w:r w:rsidRPr="00FC49EA">
        <w:rPr>
          <w:rStyle w:val="Rimandonotaapidipagina"/>
        </w:rPr>
        <w:footnoteRef/>
      </w:r>
      <w:r w:rsidRPr="00FC49EA">
        <w:t xml:space="preserve"> </w:t>
      </w:r>
      <w:proofErr w:type="spellStart"/>
      <w:r w:rsidRPr="001E470F">
        <w:rPr>
          <w:rFonts w:ascii="Arial" w:hAnsi="Arial" w:cs="Arial"/>
          <w:sz w:val="18"/>
          <w:szCs w:val="18"/>
          <w:lang w:eastAsia="ja-JP"/>
        </w:rPr>
        <w:t>Scarpa</w:t>
      </w:r>
      <w:proofErr w:type="spellEnd"/>
      <w:r w:rsidRPr="001E470F">
        <w:rPr>
          <w:rFonts w:ascii="Arial" w:hAnsi="Arial" w:cs="Arial"/>
          <w:sz w:val="18"/>
          <w:szCs w:val="18"/>
          <w:lang w:eastAsia="ja-JP"/>
        </w:rPr>
        <w:t xml:space="preserve">, David (2004), </w:t>
      </w:r>
      <w:proofErr w:type="spellStart"/>
      <w:r w:rsidRPr="001E470F">
        <w:rPr>
          <w:rFonts w:ascii="Arial" w:hAnsi="Arial" w:cs="Arial"/>
          <w:sz w:val="18"/>
          <w:szCs w:val="18"/>
          <w:lang w:eastAsia="ja-JP"/>
        </w:rPr>
        <w:t>Hydropolitics</w:t>
      </w:r>
      <w:proofErr w:type="spellEnd"/>
      <w:r w:rsidRPr="001E470F">
        <w:rPr>
          <w:rFonts w:ascii="Arial" w:hAnsi="Arial" w:cs="Arial"/>
          <w:sz w:val="18"/>
          <w:szCs w:val="18"/>
          <w:lang w:eastAsia="ja-JP"/>
        </w:rPr>
        <w:t xml:space="preserve"> in recent Israeli-Palestinian relations, Water and Soil Environ</w:t>
      </w:r>
      <w:r w:rsidRPr="001E470F">
        <w:rPr>
          <w:rFonts w:ascii="Arial" w:hAnsi="Arial" w:cs="Arial"/>
          <w:sz w:val="18"/>
          <w:szCs w:val="18"/>
          <w:lang w:eastAsia="ja-JP"/>
        </w:rPr>
        <w:softHyphen/>
        <w:t>mental Research Unit, Palestinian National Authority.</w:t>
      </w:r>
    </w:p>
  </w:footnote>
  <w:footnote w:id="30">
    <w:p w:rsidR="005D72C2" w:rsidRPr="001E470F" w:rsidRDefault="005D72C2" w:rsidP="001E470F">
      <w:pPr>
        <w:pStyle w:val="Testonotaapidipagina"/>
        <w:spacing w:before="0" w:after="0"/>
        <w:rPr>
          <w:rFonts w:ascii="Arial" w:hAnsi="Arial" w:cs="Arial"/>
          <w:sz w:val="16"/>
          <w:szCs w:val="16"/>
        </w:rPr>
      </w:pPr>
      <w:r w:rsidRPr="001E470F">
        <w:rPr>
          <w:rStyle w:val="Rimandonotaapidipagina"/>
          <w:rFonts w:ascii="Arial" w:hAnsi="Arial" w:cs="Arial"/>
          <w:sz w:val="16"/>
          <w:szCs w:val="16"/>
        </w:rPr>
        <w:footnoteRef/>
      </w:r>
      <w:r w:rsidRPr="001E470F">
        <w:rPr>
          <w:rFonts w:ascii="Arial" w:hAnsi="Arial" w:cs="Arial"/>
          <w:sz w:val="16"/>
          <w:szCs w:val="16"/>
        </w:rPr>
        <w:t xml:space="preserve"> World Bank report n°46657-GZ WB&amp;G – Assessment of restrictions on Palestinian water sector development – April 2009</w:t>
      </w:r>
    </w:p>
  </w:footnote>
  <w:footnote w:id="31">
    <w:p w:rsidR="005D72C2" w:rsidRPr="001E470F" w:rsidRDefault="005D72C2" w:rsidP="001E470F">
      <w:pPr>
        <w:pStyle w:val="Testonotaapidipagina"/>
        <w:spacing w:before="0" w:after="0"/>
        <w:rPr>
          <w:rFonts w:ascii="Arial" w:hAnsi="Arial" w:cs="Arial"/>
          <w:sz w:val="16"/>
          <w:szCs w:val="16"/>
        </w:rPr>
      </w:pPr>
      <w:r w:rsidRPr="001E470F">
        <w:rPr>
          <w:rStyle w:val="Rimandonotaapidipagina"/>
          <w:rFonts w:ascii="Arial" w:hAnsi="Arial" w:cs="Arial"/>
          <w:sz w:val="16"/>
          <w:szCs w:val="16"/>
        </w:rPr>
        <w:footnoteRef/>
      </w:r>
      <w:r w:rsidRPr="001E470F">
        <w:rPr>
          <w:rFonts w:ascii="Arial" w:hAnsi="Arial" w:cs="Arial"/>
          <w:sz w:val="16"/>
          <w:szCs w:val="16"/>
        </w:rPr>
        <w:t xml:space="preserve"> </w:t>
      </w:r>
      <w:r w:rsidRPr="001E470F">
        <w:rPr>
          <w:rFonts w:ascii="Arial" w:eastAsiaTheme="minorEastAsia" w:hAnsi="Arial" w:cs="Arial"/>
          <w:color w:val="000000"/>
          <w:sz w:val="16"/>
          <w:szCs w:val="16"/>
          <w:lang w:eastAsia="ja-JP"/>
        </w:rPr>
        <w:t>Ref. Statistical Abstract of Israel, 2010</w:t>
      </w:r>
    </w:p>
  </w:footnote>
  <w:footnote w:id="32">
    <w:p w:rsidR="005D72C2" w:rsidRDefault="005D72C2" w:rsidP="001E470F">
      <w:pPr>
        <w:pStyle w:val="Testonotaapidipagina"/>
        <w:spacing w:before="0" w:after="0"/>
      </w:pPr>
      <w:r w:rsidRPr="001E470F">
        <w:rPr>
          <w:rStyle w:val="Rimandonotaapidipagina"/>
          <w:rFonts w:ascii="Arial" w:hAnsi="Arial" w:cs="Arial"/>
          <w:sz w:val="16"/>
          <w:szCs w:val="16"/>
        </w:rPr>
        <w:footnoteRef/>
      </w:r>
      <w:r w:rsidRPr="001E470F">
        <w:rPr>
          <w:rFonts w:ascii="Arial" w:hAnsi="Arial" w:cs="Arial"/>
          <w:sz w:val="16"/>
          <w:szCs w:val="16"/>
        </w:rPr>
        <w:t xml:space="preserve"> However, due to poor maintenance and old facilities, the leakages in the water networks are estimated to be about 33% on average, leaving only around 69l/inhabitant/day as effective available water (source ARIJ – 2013)</w:t>
      </w:r>
    </w:p>
  </w:footnote>
  <w:footnote w:id="33">
    <w:p w:rsidR="005D72C2" w:rsidRPr="00EB5D33" w:rsidRDefault="005D72C2" w:rsidP="000D73B5">
      <w:pPr>
        <w:pStyle w:val="Testonotaapidipagina"/>
      </w:pPr>
      <w:r>
        <w:rPr>
          <w:rStyle w:val="Rimandonotaapidipagina"/>
        </w:rPr>
        <w:footnoteRef/>
      </w:r>
      <w:r>
        <w:t xml:space="preserve"> Source</w:t>
      </w:r>
      <w:r w:rsidRPr="009C582E">
        <w:t>: Statistical yearbook of Palestine 2013</w:t>
      </w:r>
      <w:r>
        <w:t xml:space="preserve"> – Palestinian central bureau o</w:t>
      </w:r>
      <w:r w:rsidRPr="009C582E">
        <w:t>f statistics</w:t>
      </w:r>
    </w:p>
  </w:footnote>
  <w:footnote w:id="34">
    <w:p w:rsidR="005D72C2" w:rsidRDefault="005D72C2" w:rsidP="000D73B5">
      <w:pPr>
        <w:pStyle w:val="Testonotaapidipagina"/>
      </w:pPr>
      <w:r>
        <w:rPr>
          <w:rStyle w:val="Rimandonotaapidipagina"/>
        </w:rPr>
        <w:footnoteRef/>
      </w:r>
      <w:r>
        <w:t xml:space="preserve"> First sentence of art.40 is </w:t>
      </w:r>
      <w:r w:rsidRPr="00844A18">
        <w:rPr>
          <w:i/>
        </w:rPr>
        <w:t>« On the basis of goodwill »</w:t>
      </w:r>
      <w:r>
        <w:rPr>
          <w:i/>
        </w:rPr>
        <w:t>.</w:t>
      </w:r>
    </w:p>
  </w:footnote>
  <w:footnote w:id="35">
    <w:p w:rsidR="005D72C2" w:rsidRPr="00E416D9" w:rsidRDefault="005D72C2" w:rsidP="000D73B5"/>
  </w:footnote>
  <w:footnote w:id="36">
    <w:p w:rsidR="005D72C2" w:rsidRPr="00B05A67" w:rsidRDefault="005D72C2" w:rsidP="00B05A67">
      <w:pPr>
        <w:pStyle w:val="Testonotaapidipagina"/>
        <w:spacing w:before="0" w:after="0"/>
        <w:rPr>
          <w:rFonts w:ascii="Arial" w:hAnsi="Arial" w:cs="Arial"/>
          <w:sz w:val="16"/>
          <w:szCs w:val="16"/>
        </w:rPr>
      </w:pPr>
      <w:r w:rsidRPr="00B05A67">
        <w:rPr>
          <w:rStyle w:val="Rimandonotaapidipagina"/>
          <w:rFonts w:ascii="Arial" w:hAnsi="Arial" w:cs="Arial"/>
          <w:sz w:val="16"/>
          <w:szCs w:val="16"/>
        </w:rPr>
        <w:footnoteRef/>
      </w:r>
      <w:r w:rsidRPr="00B05A67">
        <w:rPr>
          <w:rFonts w:ascii="Arial" w:hAnsi="Arial" w:cs="Arial"/>
          <w:sz w:val="16"/>
          <w:szCs w:val="16"/>
        </w:rPr>
        <w:t xml:space="preserve"> </w:t>
      </w:r>
      <w:r w:rsidRPr="00B05A67">
        <w:rPr>
          <w:rFonts w:ascii="Arial" w:eastAsiaTheme="minorEastAsia" w:hAnsi="Arial" w:cs="Arial"/>
          <w:sz w:val="16"/>
          <w:szCs w:val="16"/>
          <w:lang w:eastAsia="ja-JP"/>
        </w:rPr>
        <w:t xml:space="preserve">World Bank - </w:t>
      </w:r>
      <w:r w:rsidRPr="00B05A67">
        <w:rPr>
          <w:rFonts w:ascii="Arial" w:eastAsiaTheme="minorEastAsia" w:hAnsi="Arial" w:cs="Arial"/>
          <w:iCs/>
          <w:sz w:val="16"/>
          <w:szCs w:val="16"/>
          <w:lang w:eastAsia="ja-JP"/>
        </w:rPr>
        <w:t>West Bank and Gaza: ‘Assessment of Restrictions on Palestinian Water Sector Development’</w:t>
      </w:r>
    </w:p>
  </w:footnote>
  <w:footnote w:id="37">
    <w:p w:rsidR="005D72C2" w:rsidRPr="00B05A67" w:rsidRDefault="005D72C2" w:rsidP="00B05A67">
      <w:pPr>
        <w:pStyle w:val="Testonotaapidipagina"/>
        <w:spacing w:before="0" w:after="0"/>
        <w:rPr>
          <w:rFonts w:ascii="Arial" w:hAnsi="Arial" w:cs="Arial"/>
          <w:sz w:val="16"/>
          <w:szCs w:val="16"/>
        </w:rPr>
      </w:pPr>
      <w:r w:rsidRPr="00B05A67">
        <w:rPr>
          <w:rStyle w:val="Rimandonotaapidipagina"/>
          <w:rFonts w:ascii="Arial" w:hAnsi="Arial" w:cs="Arial"/>
          <w:sz w:val="16"/>
          <w:szCs w:val="16"/>
        </w:rPr>
        <w:footnoteRef/>
      </w:r>
      <w:r w:rsidRPr="00B05A67">
        <w:rPr>
          <w:rFonts w:ascii="Arial" w:hAnsi="Arial" w:cs="Arial"/>
          <w:sz w:val="16"/>
          <w:szCs w:val="16"/>
        </w:rPr>
        <w:t xml:space="preserve"> From ‘Construction and rehabilitation of water sources in area C: an overview of the applicable legal and permit regime’ – Norwegian Refugee Council NRC – </w:t>
      </w:r>
      <w:proofErr w:type="spellStart"/>
      <w:r w:rsidRPr="00B05A67">
        <w:rPr>
          <w:rFonts w:ascii="Arial" w:hAnsi="Arial" w:cs="Arial"/>
          <w:sz w:val="16"/>
          <w:szCs w:val="16"/>
        </w:rPr>
        <w:t>Malvina</w:t>
      </w:r>
      <w:proofErr w:type="spellEnd"/>
      <w:r w:rsidRPr="00B05A67">
        <w:rPr>
          <w:rFonts w:ascii="Arial" w:hAnsi="Arial" w:cs="Arial"/>
          <w:sz w:val="16"/>
          <w:szCs w:val="16"/>
        </w:rPr>
        <w:t xml:space="preserve"> </w:t>
      </w:r>
      <w:proofErr w:type="spellStart"/>
      <w:r w:rsidRPr="00B05A67">
        <w:rPr>
          <w:rFonts w:ascii="Arial" w:hAnsi="Arial" w:cs="Arial"/>
          <w:sz w:val="16"/>
          <w:szCs w:val="16"/>
        </w:rPr>
        <w:t>Khoury</w:t>
      </w:r>
      <w:proofErr w:type="spellEnd"/>
      <w:r w:rsidRPr="00B05A67">
        <w:rPr>
          <w:rFonts w:ascii="Arial" w:hAnsi="Arial" w:cs="Arial"/>
          <w:sz w:val="16"/>
          <w:szCs w:val="16"/>
        </w:rPr>
        <w:t xml:space="preserve"> - March 2013</w:t>
      </w:r>
    </w:p>
  </w:footnote>
  <w:footnote w:id="38">
    <w:p w:rsidR="005D72C2" w:rsidRDefault="005D72C2" w:rsidP="00B05A67">
      <w:pPr>
        <w:pStyle w:val="Testonotaapidipagina"/>
        <w:spacing w:before="0" w:after="0"/>
      </w:pPr>
      <w:r w:rsidRPr="00B05A67">
        <w:rPr>
          <w:rStyle w:val="Rimandonotaapidipagina"/>
          <w:rFonts w:ascii="Arial" w:hAnsi="Arial" w:cs="Arial"/>
          <w:sz w:val="16"/>
          <w:szCs w:val="16"/>
        </w:rPr>
        <w:footnoteRef/>
      </w:r>
      <w:r w:rsidRPr="00B05A67">
        <w:rPr>
          <w:rFonts w:ascii="Arial" w:hAnsi="Arial" w:cs="Arial"/>
          <w:sz w:val="16"/>
          <w:szCs w:val="16"/>
        </w:rPr>
        <w:t xml:space="preserve"> </w:t>
      </w:r>
      <w:r w:rsidRPr="00B05A67">
        <w:rPr>
          <w:rFonts w:ascii="Arial" w:eastAsiaTheme="minorEastAsia" w:hAnsi="Arial" w:cs="Arial"/>
          <w:sz w:val="16"/>
          <w:szCs w:val="16"/>
          <w:lang w:eastAsia="ja-JP"/>
        </w:rPr>
        <w:t xml:space="preserve">EWASH - </w:t>
      </w:r>
      <w:r w:rsidRPr="00B05A67">
        <w:rPr>
          <w:rFonts w:ascii="Arial" w:eastAsiaTheme="minorEastAsia" w:hAnsi="Arial" w:cs="Arial"/>
          <w:iCs/>
          <w:sz w:val="16"/>
          <w:szCs w:val="16"/>
          <w:lang w:eastAsia="ja-JP"/>
        </w:rPr>
        <w:t>Down the Drain</w:t>
      </w:r>
    </w:p>
  </w:footnote>
  <w:footnote w:id="39">
    <w:p w:rsidR="005D72C2" w:rsidRPr="00B05A67" w:rsidRDefault="005D72C2" w:rsidP="00B05A67">
      <w:pPr>
        <w:pStyle w:val="Testonotaapidipagina"/>
        <w:spacing w:before="0" w:after="0"/>
        <w:rPr>
          <w:rFonts w:ascii="Arial" w:hAnsi="Arial" w:cs="Arial"/>
          <w:sz w:val="16"/>
          <w:szCs w:val="16"/>
        </w:rPr>
      </w:pPr>
      <w:r w:rsidRPr="00B05A67">
        <w:rPr>
          <w:rStyle w:val="Rimandonotaapidipagina"/>
          <w:rFonts w:ascii="Arial" w:hAnsi="Arial" w:cs="Arial"/>
          <w:sz w:val="16"/>
          <w:szCs w:val="16"/>
        </w:rPr>
        <w:footnoteRef/>
      </w:r>
      <w:r w:rsidRPr="00B05A67">
        <w:rPr>
          <w:rFonts w:ascii="Arial" w:hAnsi="Arial" w:cs="Arial"/>
          <w:sz w:val="16"/>
          <w:szCs w:val="16"/>
        </w:rPr>
        <w:t xml:space="preserve"> </w:t>
      </w:r>
      <w:r w:rsidRPr="00B05A67">
        <w:rPr>
          <w:rFonts w:ascii="Arial" w:eastAsiaTheme="minorEastAsia" w:hAnsi="Arial" w:cs="Arial"/>
          <w:sz w:val="16"/>
          <w:szCs w:val="16"/>
          <w:lang w:eastAsia="ja-JP"/>
        </w:rPr>
        <w:t xml:space="preserve">Centre for Economic and Social Rights, </w:t>
      </w:r>
      <w:r w:rsidRPr="00B05A67">
        <w:rPr>
          <w:rFonts w:ascii="Arial" w:eastAsiaTheme="minorEastAsia" w:hAnsi="Arial" w:cs="Arial"/>
          <w:iCs/>
          <w:sz w:val="16"/>
          <w:szCs w:val="16"/>
          <w:lang w:eastAsia="ja-JP"/>
        </w:rPr>
        <w:t>Thirsting for Justice</w:t>
      </w:r>
    </w:p>
  </w:footnote>
  <w:footnote w:id="40">
    <w:p w:rsidR="005D72C2" w:rsidRPr="00B05A67" w:rsidRDefault="005D72C2" w:rsidP="00B05A67">
      <w:pPr>
        <w:pStyle w:val="Testonotaapidipagina"/>
        <w:spacing w:before="0" w:after="0"/>
        <w:rPr>
          <w:rFonts w:ascii="Arial" w:hAnsi="Arial" w:cs="Arial"/>
          <w:sz w:val="16"/>
          <w:szCs w:val="16"/>
        </w:rPr>
      </w:pPr>
      <w:r w:rsidRPr="00B05A67">
        <w:rPr>
          <w:rStyle w:val="Rimandonotaapidipagina"/>
          <w:rFonts w:ascii="Arial" w:hAnsi="Arial" w:cs="Arial"/>
          <w:sz w:val="16"/>
          <w:szCs w:val="16"/>
        </w:rPr>
        <w:footnoteRef/>
      </w:r>
      <w:r w:rsidRPr="00B05A67">
        <w:rPr>
          <w:rFonts w:ascii="Arial" w:hAnsi="Arial" w:cs="Arial"/>
          <w:sz w:val="16"/>
          <w:szCs w:val="16"/>
        </w:rPr>
        <w:t xml:space="preserve"> </w:t>
      </w:r>
      <w:r w:rsidRPr="00B05A67">
        <w:rPr>
          <w:rFonts w:ascii="Arial" w:eastAsiaTheme="minorEastAsia" w:hAnsi="Arial" w:cs="Arial"/>
          <w:sz w:val="16"/>
          <w:szCs w:val="16"/>
          <w:lang w:eastAsia="ja-JP"/>
        </w:rPr>
        <w:t xml:space="preserve">OCHA - </w:t>
      </w:r>
      <w:r w:rsidRPr="00B05A67">
        <w:rPr>
          <w:rFonts w:ascii="Arial" w:eastAsiaTheme="minorEastAsia" w:hAnsi="Arial" w:cs="Arial"/>
          <w:iCs/>
          <w:sz w:val="16"/>
          <w:szCs w:val="16"/>
          <w:lang w:eastAsia="ja-JP"/>
        </w:rPr>
        <w:t>How Dispossession Happens: The Humanitarian Impact of the Takeover of Palestinian Water Springs by Israeli Settlers</w:t>
      </w:r>
      <w:r w:rsidRPr="00B05A67">
        <w:rPr>
          <w:rFonts w:ascii="Arial" w:eastAsiaTheme="minorEastAsia" w:hAnsi="Arial" w:cs="Arial"/>
          <w:sz w:val="16"/>
          <w:szCs w:val="16"/>
          <w:lang w:eastAsia="ja-JP"/>
        </w:rPr>
        <w:t>, March 2012.</w:t>
      </w:r>
    </w:p>
  </w:footnote>
  <w:footnote w:id="41">
    <w:p w:rsidR="005D72C2" w:rsidRDefault="005D72C2" w:rsidP="00B05A67">
      <w:pPr>
        <w:pStyle w:val="Testonotaapidipagina"/>
        <w:spacing w:before="0" w:after="0"/>
      </w:pPr>
      <w:r w:rsidRPr="00B05A67">
        <w:rPr>
          <w:rStyle w:val="Rimandonotaapidipagina"/>
          <w:rFonts w:ascii="Arial" w:hAnsi="Arial" w:cs="Arial"/>
          <w:sz w:val="16"/>
          <w:szCs w:val="16"/>
        </w:rPr>
        <w:footnoteRef/>
      </w:r>
      <w:r w:rsidRPr="00B05A67">
        <w:rPr>
          <w:rFonts w:ascii="Arial" w:hAnsi="Arial" w:cs="Arial"/>
          <w:sz w:val="16"/>
          <w:szCs w:val="16"/>
        </w:rPr>
        <w:t xml:space="preserve"> </w:t>
      </w:r>
      <w:r w:rsidRPr="00B05A67">
        <w:rPr>
          <w:rFonts w:ascii="Arial" w:eastAsiaTheme="minorEastAsia" w:hAnsi="Arial" w:cs="Arial"/>
          <w:sz w:val="16"/>
          <w:szCs w:val="16"/>
          <w:lang w:eastAsia="ja-JP"/>
        </w:rPr>
        <w:t xml:space="preserve">Amnesty International - </w:t>
      </w:r>
      <w:r w:rsidRPr="00B05A67">
        <w:rPr>
          <w:rFonts w:ascii="Arial" w:eastAsiaTheme="minorEastAsia" w:hAnsi="Arial" w:cs="Arial"/>
          <w:iCs/>
          <w:sz w:val="16"/>
          <w:szCs w:val="16"/>
          <w:lang w:eastAsia="ja-JP"/>
        </w:rPr>
        <w:t>Thirsting for Justice: Palestinian Access to Water Restricted</w:t>
      </w:r>
      <w:r w:rsidRPr="00B05A67">
        <w:rPr>
          <w:rFonts w:ascii="Arial" w:eastAsiaTheme="minorEastAsia" w:hAnsi="Arial" w:cs="Arial"/>
          <w:sz w:val="16"/>
          <w:szCs w:val="16"/>
          <w:lang w:eastAsia="ja-JP"/>
        </w:rPr>
        <w:t>, October 2009 &amp; EWASH -</w:t>
      </w:r>
      <w:r w:rsidRPr="00B05A67">
        <w:rPr>
          <w:rFonts w:ascii="Arial" w:eastAsiaTheme="minorEastAsia" w:hAnsi="Arial" w:cs="Arial"/>
          <w:iCs/>
          <w:sz w:val="16"/>
          <w:szCs w:val="16"/>
          <w:lang w:eastAsia="ja-JP"/>
        </w:rPr>
        <w:t>Thirsting for Justice, Palestinian Rights to Water and Sanitation</w:t>
      </w:r>
      <w:r w:rsidRPr="00B05A67">
        <w:rPr>
          <w:rFonts w:ascii="Arial" w:eastAsiaTheme="minorEastAsia" w:hAnsi="Arial" w:cs="Arial"/>
          <w:sz w:val="16"/>
          <w:szCs w:val="16"/>
          <w:lang w:eastAsia="ja-JP"/>
        </w:rPr>
        <w:t>, March 2012</w:t>
      </w:r>
    </w:p>
  </w:footnote>
  <w:footnote w:id="42">
    <w:p w:rsidR="005D72C2" w:rsidRPr="00E61488" w:rsidRDefault="005D72C2" w:rsidP="00E61488">
      <w:pPr>
        <w:pStyle w:val="Testonotaapidipagina"/>
        <w:spacing w:before="0" w:after="0"/>
        <w:rPr>
          <w:rFonts w:ascii="Arial" w:hAnsi="Arial" w:cs="Arial"/>
          <w:sz w:val="16"/>
          <w:szCs w:val="16"/>
        </w:rPr>
      </w:pPr>
      <w:r w:rsidRPr="00E61488">
        <w:rPr>
          <w:rStyle w:val="Rimandonotaapidipagina"/>
          <w:rFonts w:ascii="Arial" w:hAnsi="Arial" w:cs="Arial"/>
          <w:sz w:val="16"/>
          <w:szCs w:val="16"/>
        </w:rPr>
        <w:footnoteRef/>
      </w:r>
      <w:r w:rsidRPr="00E61488">
        <w:rPr>
          <w:rFonts w:ascii="Arial" w:hAnsi="Arial" w:cs="Arial"/>
          <w:sz w:val="16"/>
          <w:szCs w:val="16"/>
        </w:rPr>
        <w:t xml:space="preserve"> </w:t>
      </w:r>
      <w:proofErr w:type="spellStart"/>
      <w:r w:rsidRPr="00E61488">
        <w:rPr>
          <w:rFonts w:ascii="Arial" w:hAnsi="Arial" w:cs="Arial"/>
          <w:color w:val="221E1F"/>
          <w:sz w:val="16"/>
          <w:szCs w:val="16"/>
          <w:lang w:eastAsia="ja-JP"/>
        </w:rPr>
        <w:t>Mess</w:t>
      </w:r>
      <w:r w:rsidRPr="00E61488">
        <w:rPr>
          <w:rFonts w:ascii="Arial" w:hAnsi="Arial" w:cs="Arial"/>
          <w:color w:val="221E1F"/>
          <w:sz w:val="16"/>
          <w:szCs w:val="16"/>
          <w:lang w:eastAsia="ja-JP"/>
        </w:rPr>
        <w:softHyphen/>
        <w:t>erschmid</w:t>
      </w:r>
      <w:proofErr w:type="spellEnd"/>
      <w:r w:rsidRPr="00E61488">
        <w:rPr>
          <w:rFonts w:ascii="Arial" w:hAnsi="Arial" w:cs="Arial"/>
          <w:color w:val="221E1F"/>
          <w:sz w:val="16"/>
          <w:szCs w:val="16"/>
          <w:lang w:eastAsia="ja-JP"/>
        </w:rPr>
        <w:t xml:space="preserve"> 2004</w:t>
      </w:r>
    </w:p>
  </w:footnote>
  <w:footnote w:id="43">
    <w:p w:rsidR="005D72C2" w:rsidRPr="00E61488" w:rsidRDefault="005D72C2" w:rsidP="00E61488">
      <w:pPr>
        <w:pStyle w:val="Testonotaapidipagina"/>
        <w:spacing w:before="0" w:after="0"/>
        <w:rPr>
          <w:rFonts w:ascii="Arial" w:hAnsi="Arial" w:cs="Arial"/>
          <w:sz w:val="16"/>
          <w:szCs w:val="16"/>
        </w:rPr>
      </w:pPr>
      <w:r w:rsidRPr="00E61488">
        <w:rPr>
          <w:rStyle w:val="Rimandonotaapidipagina"/>
          <w:rFonts w:ascii="Arial" w:hAnsi="Arial" w:cs="Arial"/>
          <w:sz w:val="16"/>
          <w:szCs w:val="16"/>
        </w:rPr>
        <w:footnoteRef/>
      </w:r>
      <w:r w:rsidRPr="00E61488">
        <w:rPr>
          <w:rFonts w:ascii="Arial" w:hAnsi="Arial" w:cs="Arial"/>
          <w:sz w:val="16"/>
          <w:szCs w:val="16"/>
        </w:rPr>
        <w:t xml:space="preserve"> </w:t>
      </w:r>
      <w:r w:rsidRPr="00E61488">
        <w:rPr>
          <w:rFonts w:ascii="Arial" w:hAnsi="Arial" w:cs="Arial"/>
          <w:iCs/>
          <w:sz w:val="16"/>
          <w:szCs w:val="16"/>
        </w:rPr>
        <w:t>« Powers of the Officer in Charge </w:t>
      </w:r>
      <w:r w:rsidRPr="00E61488">
        <w:rPr>
          <w:rFonts w:ascii="Arial" w:hAnsi="Arial" w:cs="Arial"/>
          <w:sz w:val="16"/>
          <w:szCs w:val="16"/>
        </w:rPr>
        <w:t xml:space="preserve">: All the powers that were vested in the Director on the strength of or pursuant to the Settlement Law </w:t>
      </w:r>
      <w:r w:rsidRPr="00E61488">
        <w:rPr>
          <w:rFonts w:ascii="Arial" w:hAnsi="Arial" w:cs="Arial"/>
          <w:i/>
          <w:sz w:val="16"/>
          <w:szCs w:val="16"/>
        </w:rPr>
        <w:t>(Law for Settlement of disputes in Land and Water Law No. 40, 1952, and every proclamation, regulation, directive, notification or order issued on the strength of or pursuant to it)</w:t>
      </w:r>
      <w:r w:rsidRPr="00E61488">
        <w:rPr>
          <w:rFonts w:ascii="Arial" w:hAnsi="Arial" w:cs="Arial"/>
          <w:sz w:val="16"/>
          <w:szCs w:val="16"/>
        </w:rPr>
        <w:t xml:space="preserve"> before the Prescribed Day shall be vested in the Officer in Charge ».</w:t>
      </w:r>
    </w:p>
  </w:footnote>
  <w:footnote w:id="44">
    <w:p w:rsidR="005D72C2" w:rsidRDefault="005D72C2" w:rsidP="00E61488">
      <w:pPr>
        <w:pStyle w:val="Testonotaapidipagina"/>
        <w:spacing w:before="0" w:after="0"/>
      </w:pPr>
      <w:r w:rsidRPr="00E61488">
        <w:rPr>
          <w:rStyle w:val="Rimandonotaapidipagina"/>
          <w:rFonts w:ascii="Arial" w:hAnsi="Arial" w:cs="Arial"/>
          <w:sz w:val="16"/>
          <w:szCs w:val="16"/>
        </w:rPr>
        <w:footnoteRef/>
      </w:r>
      <w:r w:rsidRPr="00E61488">
        <w:rPr>
          <w:rFonts w:ascii="Arial" w:hAnsi="Arial" w:cs="Arial"/>
          <w:sz w:val="16"/>
          <w:szCs w:val="16"/>
        </w:rPr>
        <w:t xml:space="preserve"> EWASH (Emergency Water, Sanitation and Hygiene group) ‘“Down the Drain” (n 148)</w:t>
      </w:r>
    </w:p>
  </w:footnote>
  <w:footnote w:id="45">
    <w:p w:rsidR="005D72C2" w:rsidRPr="00E61488" w:rsidRDefault="005D72C2" w:rsidP="00E61488">
      <w:pPr>
        <w:pStyle w:val="Testonotaapidipagina"/>
        <w:spacing w:before="0" w:after="0"/>
        <w:rPr>
          <w:rFonts w:ascii="Arial" w:hAnsi="Arial" w:cs="Arial"/>
          <w:sz w:val="16"/>
          <w:szCs w:val="16"/>
        </w:rPr>
      </w:pPr>
      <w:r w:rsidRPr="00E61488">
        <w:rPr>
          <w:rStyle w:val="Rimandonotaapidipagina"/>
          <w:rFonts w:ascii="Arial" w:hAnsi="Arial" w:cs="Arial"/>
          <w:sz w:val="16"/>
          <w:szCs w:val="16"/>
        </w:rPr>
        <w:footnoteRef/>
      </w:r>
      <w:r w:rsidRPr="00E61488">
        <w:rPr>
          <w:rFonts w:ascii="Arial" w:hAnsi="Arial" w:cs="Arial"/>
          <w:sz w:val="16"/>
          <w:szCs w:val="16"/>
        </w:rPr>
        <w:t xml:space="preserve"> </w:t>
      </w:r>
      <w:r w:rsidRPr="00E61488">
        <w:rPr>
          <w:rFonts w:ascii="Arial" w:hAnsi="Arial" w:cs="Arial"/>
          <w:bCs/>
          <w:sz w:val="16"/>
          <w:szCs w:val="16"/>
        </w:rPr>
        <w:t>Chris Davies (ALDE UK)</w:t>
      </w:r>
    </w:p>
  </w:footnote>
  <w:footnote w:id="46">
    <w:p w:rsidR="005D72C2" w:rsidRPr="00E61488" w:rsidRDefault="005D72C2" w:rsidP="00E61488">
      <w:pPr>
        <w:pStyle w:val="Testonotaapidipagina"/>
        <w:spacing w:before="0" w:after="0"/>
        <w:rPr>
          <w:rFonts w:ascii="Arial" w:hAnsi="Arial" w:cs="Arial"/>
          <w:sz w:val="16"/>
          <w:szCs w:val="16"/>
        </w:rPr>
      </w:pPr>
      <w:r w:rsidRPr="00E61488">
        <w:rPr>
          <w:rStyle w:val="Rimandonotaapidipagina"/>
          <w:rFonts w:ascii="Arial" w:hAnsi="Arial" w:cs="Arial"/>
          <w:sz w:val="16"/>
          <w:szCs w:val="16"/>
        </w:rPr>
        <w:footnoteRef/>
      </w:r>
      <w:r w:rsidRPr="00E61488">
        <w:rPr>
          <w:rFonts w:ascii="Arial" w:hAnsi="Arial" w:cs="Arial"/>
          <w:sz w:val="16"/>
          <w:szCs w:val="16"/>
        </w:rPr>
        <w:t xml:space="preserve"> </w:t>
      </w:r>
      <w:r w:rsidRPr="00E61488">
        <w:rPr>
          <w:rFonts w:ascii="Arial" w:hAnsi="Arial" w:cs="Arial"/>
          <w:sz w:val="16"/>
          <w:szCs w:val="16"/>
          <w:lang w:eastAsia="ja-JP"/>
        </w:rPr>
        <w:t xml:space="preserve">Joint answer given by </w:t>
      </w:r>
      <w:proofErr w:type="spellStart"/>
      <w:r w:rsidRPr="00E61488">
        <w:rPr>
          <w:rFonts w:ascii="Arial" w:hAnsi="Arial" w:cs="Arial"/>
          <w:sz w:val="16"/>
          <w:szCs w:val="16"/>
          <w:lang w:eastAsia="ja-JP"/>
        </w:rPr>
        <w:t>Mr</w:t>
      </w:r>
      <w:proofErr w:type="spellEnd"/>
      <w:r w:rsidRPr="00E61488">
        <w:rPr>
          <w:rFonts w:ascii="Arial" w:hAnsi="Arial" w:cs="Arial"/>
          <w:sz w:val="16"/>
          <w:szCs w:val="16"/>
          <w:lang w:eastAsia="ja-JP"/>
        </w:rPr>
        <w:t xml:space="preserve"> </w:t>
      </w:r>
      <w:proofErr w:type="spellStart"/>
      <w:r w:rsidRPr="00E61488">
        <w:rPr>
          <w:rFonts w:ascii="Arial" w:hAnsi="Arial" w:cs="Arial"/>
          <w:sz w:val="16"/>
          <w:szCs w:val="16"/>
          <w:lang w:eastAsia="ja-JP"/>
        </w:rPr>
        <w:t>Füle</w:t>
      </w:r>
      <w:proofErr w:type="spellEnd"/>
      <w:r w:rsidRPr="00E61488">
        <w:rPr>
          <w:rFonts w:ascii="Arial" w:hAnsi="Arial" w:cs="Arial"/>
          <w:sz w:val="16"/>
          <w:szCs w:val="16"/>
          <w:lang w:eastAsia="ja-JP"/>
        </w:rPr>
        <w:t xml:space="preserve"> on behalf of the Commission Written questions: E-009278/11 and E-009905/11</w:t>
      </w:r>
    </w:p>
  </w:footnote>
  <w:footnote w:id="47">
    <w:p w:rsidR="005D72C2" w:rsidRDefault="005D72C2" w:rsidP="00E61488">
      <w:pPr>
        <w:pStyle w:val="Testonotaapidipagina"/>
        <w:spacing w:before="0" w:after="0"/>
      </w:pPr>
      <w:r w:rsidRPr="00E61488">
        <w:rPr>
          <w:rStyle w:val="Rimandonotaapidipagina"/>
          <w:rFonts w:ascii="Arial" w:hAnsi="Arial" w:cs="Arial"/>
          <w:sz w:val="16"/>
          <w:szCs w:val="16"/>
        </w:rPr>
        <w:footnoteRef/>
      </w:r>
      <w:r w:rsidRPr="00E61488">
        <w:rPr>
          <w:rFonts w:ascii="Arial" w:hAnsi="Arial" w:cs="Arial"/>
          <w:sz w:val="16"/>
          <w:szCs w:val="16"/>
        </w:rPr>
        <w:t xml:space="preserve"> The right provided for under Article 55 of the Hague Regulations does not “[</w:t>
      </w:r>
      <w:proofErr w:type="spellStart"/>
      <w:r w:rsidRPr="00E61488">
        <w:rPr>
          <w:rFonts w:ascii="Arial" w:hAnsi="Arial" w:cs="Arial"/>
          <w:sz w:val="16"/>
          <w:szCs w:val="16"/>
        </w:rPr>
        <w:t>i</w:t>
      </w:r>
      <w:proofErr w:type="spellEnd"/>
      <w:r w:rsidRPr="00E61488">
        <w:rPr>
          <w:rFonts w:ascii="Arial" w:hAnsi="Arial" w:cs="Arial"/>
          <w:sz w:val="16"/>
          <w:szCs w:val="16"/>
        </w:rPr>
        <w:t>]</w:t>
      </w:r>
      <w:proofErr w:type="spellStart"/>
      <w:r w:rsidRPr="00E61488">
        <w:rPr>
          <w:rFonts w:ascii="Arial" w:hAnsi="Arial" w:cs="Arial"/>
          <w:sz w:val="16"/>
          <w:szCs w:val="16"/>
        </w:rPr>
        <w:t>nclude</w:t>
      </w:r>
      <w:proofErr w:type="spellEnd"/>
      <w:r w:rsidRPr="00E61488">
        <w:rPr>
          <w:rFonts w:ascii="Arial" w:hAnsi="Arial" w:cs="Arial"/>
          <w:sz w:val="16"/>
          <w:szCs w:val="16"/>
        </w:rPr>
        <w:t xml:space="preserve"> the privilege to commit waste or strip off the property involved, nor it is conceivable that the administrator or </w:t>
      </w:r>
      <w:proofErr w:type="spellStart"/>
      <w:r w:rsidRPr="00E61488">
        <w:rPr>
          <w:rFonts w:ascii="Arial" w:hAnsi="Arial" w:cs="Arial"/>
          <w:sz w:val="16"/>
          <w:szCs w:val="16"/>
        </w:rPr>
        <w:t>usufructuary</w:t>
      </w:r>
      <w:proofErr w:type="spellEnd"/>
      <w:r w:rsidRPr="00E61488">
        <w:rPr>
          <w:rFonts w:ascii="Arial" w:hAnsi="Arial" w:cs="Arial"/>
          <w:sz w:val="16"/>
          <w:szCs w:val="16"/>
        </w:rPr>
        <w:t xml:space="preserve"> [the Occupying Power] may with impunity so use the property as to ruin or destroy the economy of the occupied territory, or to deprive its inhabitants of […] coal, oil, iron, steel […],” as this would amount to unlawful spoliation.</w:t>
      </w:r>
    </w:p>
  </w:footnote>
  <w:footnote w:id="48">
    <w:p w:rsidR="005D72C2" w:rsidRPr="00E61488" w:rsidRDefault="005D72C2" w:rsidP="00E61488">
      <w:pPr>
        <w:pStyle w:val="Testonotaapidipagina"/>
        <w:spacing w:before="0" w:after="0"/>
        <w:rPr>
          <w:rFonts w:ascii="Arial" w:hAnsi="Arial" w:cs="Arial"/>
          <w:sz w:val="16"/>
          <w:szCs w:val="16"/>
        </w:rPr>
      </w:pPr>
      <w:r w:rsidRPr="00E61488">
        <w:rPr>
          <w:rStyle w:val="Rimandonotaapidipagina"/>
          <w:rFonts w:ascii="Arial" w:hAnsi="Arial" w:cs="Arial"/>
          <w:sz w:val="16"/>
          <w:szCs w:val="16"/>
        </w:rPr>
        <w:footnoteRef/>
      </w:r>
      <w:r w:rsidRPr="00E61488">
        <w:rPr>
          <w:rFonts w:ascii="Arial" w:hAnsi="Arial" w:cs="Arial"/>
          <w:sz w:val="16"/>
          <w:szCs w:val="16"/>
        </w:rPr>
        <w:t xml:space="preserve"> Among others </w:t>
      </w:r>
      <w:proofErr w:type="spellStart"/>
      <w:r w:rsidRPr="00E61488">
        <w:rPr>
          <w:rFonts w:ascii="Arial" w:hAnsi="Arial" w:cs="Arial"/>
          <w:sz w:val="16"/>
          <w:szCs w:val="16"/>
        </w:rPr>
        <w:t>i</w:t>
      </w:r>
      <w:proofErr w:type="spellEnd"/>
      <w:r w:rsidRPr="00E61488">
        <w:rPr>
          <w:rFonts w:ascii="Arial" w:hAnsi="Arial" w:cs="Arial"/>
          <w:sz w:val="16"/>
          <w:szCs w:val="16"/>
        </w:rPr>
        <w:t xml:space="preserve">/ </w:t>
      </w:r>
      <w:r w:rsidRPr="00E61488">
        <w:rPr>
          <w:rFonts w:ascii="Arial" w:eastAsiaTheme="minorEastAsia" w:hAnsi="Arial" w:cs="Arial"/>
          <w:iCs/>
          <w:color w:val="000000"/>
          <w:sz w:val="16"/>
          <w:szCs w:val="16"/>
          <w:lang w:eastAsia="ja-JP"/>
        </w:rPr>
        <w:t xml:space="preserve">Mideast Security and Policy Studies No. 94 </w:t>
      </w:r>
      <w:r w:rsidRPr="00E61488">
        <w:rPr>
          <w:rFonts w:ascii="Arial" w:eastAsiaTheme="minorEastAsia" w:hAnsi="Arial" w:cs="Arial"/>
          <w:color w:val="000000"/>
          <w:sz w:val="16"/>
          <w:szCs w:val="16"/>
          <w:lang w:eastAsia="ja-JP"/>
        </w:rPr>
        <w:t xml:space="preserve">- The Israeli-Palestinian Water Conflict: An Israeli Perspective - </w:t>
      </w:r>
      <w:proofErr w:type="spellStart"/>
      <w:r w:rsidRPr="00E61488">
        <w:rPr>
          <w:rFonts w:ascii="Arial" w:eastAsiaTheme="minorEastAsia" w:hAnsi="Arial" w:cs="Arial"/>
          <w:color w:val="000000"/>
          <w:sz w:val="16"/>
          <w:szCs w:val="16"/>
          <w:lang w:eastAsia="ja-JP"/>
        </w:rPr>
        <w:t>Haim</w:t>
      </w:r>
      <w:proofErr w:type="spellEnd"/>
      <w:r w:rsidRPr="00E61488">
        <w:rPr>
          <w:rFonts w:ascii="Arial" w:eastAsiaTheme="minorEastAsia" w:hAnsi="Arial" w:cs="Arial"/>
          <w:color w:val="000000"/>
          <w:sz w:val="16"/>
          <w:szCs w:val="16"/>
          <w:lang w:eastAsia="ja-JP"/>
        </w:rPr>
        <w:t xml:space="preserve"> </w:t>
      </w:r>
      <w:proofErr w:type="spellStart"/>
      <w:r w:rsidRPr="00E61488">
        <w:rPr>
          <w:rFonts w:ascii="Arial" w:eastAsiaTheme="minorEastAsia" w:hAnsi="Arial" w:cs="Arial"/>
          <w:color w:val="000000"/>
          <w:sz w:val="16"/>
          <w:szCs w:val="16"/>
          <w:lang w:eastAsia="ja-JP"/>
        </w:rPr>
        <w:t>Gvirtzman</w:t>
      </w:r>
      <w:proofErr w:type="spellEnd"/>
      <w:r w:rsidRPr="00E61488">
        <w:rPr>
          <w:rFonts w:ascii="Arial" w:eastAsiaTheme="minorEastAsia" w:hAnsi="Arial" w:cs="Arial"/>
          <w:color w:val="000000"/>
          <w:sz w:val="16"/>
          <w:szCs w:val="16"/>
          <w:lang w:eastAsia="ja-JP"/>
        </w:rPr>
        <w:t xml:space="preserve"> - The Begin-Sadat Center for Strategic Studies - January 2012; ii/</w:t>
      </w:r>
      <w:r w:rsidRPr="00E61488">
        <w:rPr>
          <w:rFonts w:ascii="Arial" w:hAnsi="Arial" w:cs="Arial"/>
          <w:sz w:val="16"/>
          <w:szCs w:val="16"/>
          <w:lang w:eastAsia="ja-JP"/>
        </w:rPr>
        <w:t xml:space="preserve"> How water became a weapon in Arab-Israeli conflict – </w:t>
      </w:r>
      <w:proofErr w:type="spellStart"/>
      <w:r w:rsidRPr="00E61488">
        <w:rPr>
          <w:rFonts w:ascii="Arial" w:hAnsi="Arial" w:cs="Arial"/>
          <w:sz w:val="16"/>
          <w:szCs w:val="16"/>
          <w:lang w:eastAsia="ja-JP"/>
        </w:rPr>
        <w:t>Yochanan</w:t>
      </w:r>
      <w:proofErr w:type="spellEnd"/>
      <w:r w:rsidRPr="00E61488">
        <w:rPr>
          <w:rFonts w:ascii="Arial" w:hAnsi="Arial" w:cs="Arial"/>
          <w:sz w:val="16"/>
          <w:szCs w:val="16"/>
          <w:lang w:eastAsia="ja-JP"/>
        </w:rPr>
        <w:t xml:space="preserve"> </w:t>
      </w:r>
      <w:proofErr w:type="spellStart"/>
      <w:r w:rsidRPr="00E61488">
        <w:rPr>
          <w:rFonts w:ascii="Arial" w:hAnsi="Arial" w:cs="Arial"/>
          <w:sz w:val="16"/>
          <w:szCs w:val="16"/>
          <w:lang w:eastAsia="ja-JP"/>
        </w:rPr>
        <w:t>Visser</w:t>
      </w:r>
      <w:proofErr w:type="spellEnd"/>
      <w:r w:rsidRPr="00E61488">
        <w:rPr>
          <w:rFonts w:ascii="Arial" w:hAnsi="Arial" w:cs="Arial"/>
          <w:sz w:val="16"/>
          <w:szCs w:val="16"/>
          <w:lang w:eastAsia="ja-JP"/>
        </w:rPr>
        <w:t xml:space="preserve"> – 2013</w:t>
      </w:r>
      <w:r w:rsidRPr="00E61488">
        <w:rPr>
          <w:rFonts w:ascii="Arial" w:hAnsi="Arial" w:cs="Arial"/>
          <w:sz w:val="16"/>
          <w:szCs w:val="16"/>
        </w:rPr>
        <w:t xml:space="preserve"> - Missing Peace Information, Gush </w:t>
      </w:r>
      <w:proofErr w:type="spellStart"/>
      <w:r w:rsidRPr="00E61488">
        <w:rPr>
          <w:rFonts w:ascii="Arial" w:hAnsi="Arial" w:cs="Arial"/>
          <w:sz w:val="16"/>
          <w:szCs w:val="16"/>
        </w:rPr>
        <w:t>Etzion</w:t>
      </w:r>
      <w:proofErr w:type="spellEnd"/>
      <w:r w:rsidRPr="00E61488">
        <w:rPr>
          <w:rFonts w:ascii="Arial" w:hAnsi="Arial" w:cs="Arial"/>
          <w:sz w:val="16"/>
          <w:szCs w:val="16"/>
        </w:rPr>
        <w:t xml:space="preserve">; iii/ </w:t>
      </w:r>
      <w:r w:rsidRPr="00E61488">
        <w:rPr>
          <w:rFonts w:ascii="Arial" w:eastAsiaTheme="minorEastAsia" w:hAnsi="Arial" w:cs="Arial"/>
          <w:bCs/>
          <w:sz w:val="16"/>
          <w:szCs w:val="16"/>
          <w:lang w:eastAsia="ja-JP"/>
        </w:rPr>
        <w:t>The</w:t>
      </w:r>
      <w:r w:rsidRPr="00E61488">
        <w:rPr>
          <w:rFonts w:ascii="Arial" w:hAnsi="Arial" w:cs="Arial"/>
          <w:sz w:val="16"/>
          <w:szCs w:val="16"/>
          <w:lang w:eastAsia="ja-JP"/>
        </w:rPr>
        <w:t xml:space="preserve"> Politicization of the Oslo Water Agreement –</w:t>
      </w:r>
      <w:r w:rsidRPr="00E61488">
        <w:rPr>
          <w:rFonts w:ascii="Arial" w:eastAsiaTheme="minorEastAsia" w:hAnsi="Arial" w:cs="Arial"/>
          <w:bCs/>
          <w:sz w:val="16"/>
          <w:szCs w:val="16"/>
          <w:lang w:eastAsia="ja-JP"/>
        </w:rPr>
        <w:t xml:space="preserve"> </w:t>
      </w:r>
      <w:proofErr w:type="spellStart"/>
      <w:r w:rsidRPr="00E61488">
        <w:rPr>
          <w:rFonts w:ascii="Arial" w:eastAsiaTheme="minorEastAsia" w:hAnsi="Arial" w:cs="Arial"/>
          <w:sz w:val="16"/>
          <w:szCs w:val="16"/>
          <w:lang w:eastAsia="ja-JP"/>
        </w:rPr>
        <w:t>Lauro</w:t>
      </w:r>
      <w:proofErr w:type="spellEnd"/>
      <w:r w:rsidRPr="00E61488">
        <w:rPr>
          <w:rFonts w:ascii="Arial" w:eastAsiaTheme="minorEastAsia" w:hAnsi="Arial" w:cs="Arial"/>
          <w:sz w:val="16"/>
          <w:szCs w:val="16"/>
          <w:lang w:eastAsia="ja-JP"/>
        </w:rPr>
        <w:t xml:space="preserve"> </w:t>
      </w:r>
      <w:proofErr w:type="spellStart"/>
      <w:r w:rsidRPr="00E61488">
        <w:rPr>
          <w:rFonts w:ascii="Arial" w:eastAsiaTheme="minorEastAsia" w:hAnsi="Arial" w:cs="Arial"/>
          <w:sz w:val="16"/>
          <w:szCs w:val="16"/>
          <w:lang w:eastAsia="ja-JP"/>
        </w:rPr>
        <w:t>Burkart</w:t>
      </w:r>
      <w:proofErr w:type="spellEnd"/>
      <w:r w:rsidRPr="00E61488">
        <w:rPr>
          <w:rFonts w:ascii="Arial" w:eastAsiaTheme="minorEastAsia" w:hAnsi="Arial" w:cs="Arial"/>
          <w:bCs/>
          <w:sz w:val="16"/>
          <w:szCs w:val="16"/>
          <w:lang w:eastAsia="ja-JP"/>
        </w:rPr>
        <w:t xml:space="preserve"> – Institute of International and Development issues </w:t>
      </w:r>
      <w:r w:rsidRPr="00E61488">
        <w:rPr>
          <w:rFonts w:ascii="Arial" w:hAnsi="Arial" w:cs="Arial"/>
          <w:sz w:val="16"/>
          <w:szCs w:val="16"/>
          <w:lang w:eastAsia="ja-JP"/>
        </w:rPr>
        <w:t>- </w:t>
      </w:r>
      <w:r w:rsidRPr="00E61488">
        <w:rPr>
          <w:rFonts w:ascii="Arial" w:eastAsiaTheme="minorEastAsia" w:hAnsi="Arial" w:cs="Arial"/>
          <w:sz w:val="16"/>
          <w:szCs w:val="16"/>
          <w:lang w:eastAsia="ja-JP"/>
        </w:rPr>
        <w:t xml:space="preserve">Geneva </w:t>
      </w:r>
      <w:r w:rsidRPr="00E61488">
        <w:rPr>
          <w:rFonts w:ascii="Arial" w:eastAsiaTheme="minorEastAsia" w:hAnsi="Arial" w:cs="Arial"/>
          <w:bCs/>
          <w:sz w:val="16"/>
          <w:szCs w:val="16"/>
          <w:lang w:eastAsia="ja-JP"/>
        </w:rPr>
        <w:t>2012</w:t>
      </w:r>
    </w:p>
  </w:footnote>
  <w:footnote w:id="49">
    <w:p w:rsidR="005D72C2" w:rsidRPr="00E61488" w:rsidRDefault="005D72C2" w:rsidP="00E61488">
      <w:pPr>
        <w:pStyle w:val="Testonotaapidipagina"/>
        <w:spacing w:before="0" w:after="0"/>
        <w:rPr>
          <w:rFonts w:ascii="Arial" w:hAnsi="Arial" w:cs="Arial"/>
          <w:sz w:val="16"/>
          <w:szCs w:val="16"/>
        </w:rPr>
      </w:pPr>
      <w:r w:rsidRPr="00E61488">
        <w:rPr>
          <w:rStyle w:val="Rimandonotaapidipagina"/>
          <w:rFonts w:ascii="Arial" w:hAnsi="Arial" w:cs="Arial"/>
          <w:sz w:val="16"/>
          <w:szCs w:val="16"/>
        </w:rPr>
        <w:footnoteRef/>
      </w:r>
      <w:r w:rsidRPr="00E61488">
        <w:rPr>
          <w:rFonts w:ascii="Arial" w:hAnsi="Arial" w:cs="Arial"/>
          <w:sz w:val="16"/>
          <w:szCs w:val="16"/>
        </w:rPr>
        <w:t xml:space="preserve"> </w:t>
      </w:r>
      <w:r w:rsidRPr="00E61488">
        <w:rPr>
          <w:rStyle w:val="Rimandonotaapidipagina"/>
          <w:rFonts w:ascii="Arial" w:hAnsi="Arial" w:cs="Arial"/>
          <w:sz w:val="16"/>
          <w:szCs w:val="16"/>
          <w:vertAlign w:val="baseline"/>
        </w:rPr>
        <w:t xml:space="preserve">National (Israel) water supply </w:t>
      </w:r>
      <w:proofErr w:type="spellStart"/>
      <w:r w:rsidRPr="00E61488">
        <w:rPr>
          <w:rStyle w:val="Rimandonotaapidipagina"/>
          <w:rFonts w:ascii="Arial" w:hAnsi="Arial" w:cs="Arial"/>
          <w:sz w:val="16"/>
          <w:szCs w:val="16"/>
          <w:vertAlign w:val="baseline"/>
        </w:rPr>
        <w:t>compan</w:t>
      </w:r>
      <w:proofErr w:type="spellEnd"/>
      <w:r w:rsidRPr="00E61488">
        <w:rPr>
          <w:rFonts w:ascii="Arial" w:hAnsi="Arial" w:cs="Arial"/>
          <w:sz w:val="16"/>
          <w:szCs w:val="16"/>
        </w:rPr>
        <w:t>y</w:t>
      </w:r>
    </w:p>
  </w:footnote>
  <w:footnote w:id="50">
    <w:p w:rsidR="005D72C2" w:rsidRPr="00E61488" w:rsidRDefault="005D72C2" w:rsidP="00E61488">
      <w:pPr>
        <w:pStyle w:val="Testonotaapidipagina"/>
        <w:spacing w:before="0" w:after="0"/>
        <w:rPr>
          <w:rFonts w:ascii="Arial" w:hAnsi="Arial" w:cs="Arial"/>
          <w:sz w:val="16"/>
          <w:szCs w:val="16"/>
        </w:rPr>
      </w:pPr>
      <w:r w:rsidRPr="00E61488">
        <w:rPr>
          <w:rStyle w:val="Rimandonotaapidipagina"/>
          <w:rFonts w:ascii="Arial" w:hAnsi="Arial" w:cs="Arial"/>
          <w:sz w:val="16"/>
          <w:szCs w:val="16"/>
        </w:rPr>
        <w:footnoteRef/>
      </w:r>
      <w:r w:rsidRPr="00E61488">
        <w:rPr>
          <w:rFonts w:ascii="Arial" w:hAnsi="Arial" w:cs="Arial"/>
          <w:sz w:val="16"/>
          <w:szCs w:val="16"/>
        </w:rPr>
        <w:t xml:space="preserve"> Source: </w:t>
      </w:r>
      <w:r w:rsidRPr="00E61488">
        <w:rPr>
          <w:rFonts w:ascii="Arial" w:eastAsiaTheme="minorEastAsia" w:hAnsi="Arial" w:cs="Arial"/>
          <w:iCs/>
          <w:color w:val="000000"/>
          <w:sz w:val="16"/>
          <w:szCs w:val="16"/>
          <w:lang w:eastAsia="ja-JP"/>
        </w:rPr>
        <w:t xml:space="preserve">Mideast Security and Policy Studies No. 94 </w:t>
      </w:r>
      <w:r w:rsidRPr="00E61488">
        <w:rPr>
          <w:rFonts w:ascii="Arial" w:eastAsiaTheme="minorEastAsia" w:hAnsi="Arial" w:cs="Arial"/>
          <w:color w:val="000000"/>
          <w:sz w:val="16"/>
          <w:szCs w:val="16"/>
          <w:lang w:eastAsia="ja-JP"/>
        </w:rPr>
        <w:t xml:space="preserve">- The Israeli-Palestinian Water Conflict: An Israeli Perspective - </w:t>
      </w:r>
      <w:proofErr w:type="spellStart"/>
      <w:r w:rsidRPr="00E61488">
        <w:rPr>
          <w:rFonts w:ascii="Arial" w:eastAsiaTheme="minorEastAsia" w:hAnsi="Arial" w:cs="Arial"/>
          <w:color w:val="000000"/>
          <w:sz w:val="16"/>
          <w:szCs w:val="16"/>
          <w:lang w:eastAsia="ja-JP"/>
        </w:rPr>
        <w:t>Haim</w:t>
      </w:r>
      <w:proofErr w:type="spellEnd"/>
      <w:r w:rsidRPr="00E61488">
        <w:rPr>
          <w:rFonts w:ascii="Arial" w:eastAsiaTheme="minorEastAsia" w:hAnsi="Arial" w:cs="Arial"/>
          <w:color w:val="000000"/>
          <w:sz w:val="16"/>
          <w:szCs w:val="16"/>
          <w:lang w:eastAsia="ja-JP"/>
        </w:rPr>
        <w:t xml:space="preserve"> </w:t>
      </w:r>
      <w:proofErr w:type="spellStart"/>
      <w:r w:rsidRPr="00E61488">
        <w:rPr>
          <w:rFonts w:ascii="Arial" w:eastAsiaTheme="minorEastAsia" w:hAnsi="Arial" w:cs="Arial"/>
          <w:color w:val="000000"/>
          <w:sz w:val="16"/>
          <w:szCs w:val="16"/>
          <w:lang w:eastAsia="ja-JP"/>
        </w:rPr>
        <w:t>Gvirtzman</w:t>
      </w:r>
      <w:proofErr w:type="spellEnd"/>
      <w:r w:rsidRPr="00E61488">
        <w:rPr>
          <w:rFonts w:ascii="Arial" w:eastAsiaTheme="minorEastAsia" w:hAnsi="Arial" w:cs="Arial"/>
          <w:color w:val="000000"/>
          <w:sz w:val="16"/>
          <w:szCs w:val="16"/>
          <w:lang w:eastAsia="ja-JP"/>
        </w:rPr>
        <w:t xml:space="preserve"> - The Begin-Sadat Centre for Strategic Studies - January 2012</w:t>
      </w:r>
    </w:p>
  </w:footnote>
  <w:footnote w:id="51">
    <w:p w:rsidR="005D72C2" w:rsidRDefault="005D72C2" w:rsidP="00E61488">
      <w:pPr>
        <w:pStyle w:val="Testonotaapidipagina"/>
        <w:spacing w:before="0" w:after="0"/>
      </w:pPr>
      <w:r w:rsidRPr="00E61488">
        <w:rPr>
          <w:rStyle w:val="Rimandonotaapidipagina"/>
          <w:rFonts w:ascii="Arial" w:hAnsi="Arial" w:cs="Arial"/>
          <w:sz w:val="16"/>
          <w:szCs w:val="16"/>
        </w:rPr>
        <w:footnoteRef/>
      </w:r>
      <w:r w:rsidRPr="00E61488">
        <w:rPr>
          <w:rFonts w:ascii="Arial" w:hAnsi="Arial" w:cs="Arial"/>
          <w:sz w:val="16"/>
          <w:szCs w:val="16"/>
        </w:rPr>
        <w:t xml:space="preserve"> Those figures appear quite lower than those from the Palestinian Bureau of Statistics (PBS), last estimation in 2013 gave a population of 4,420,549.</w:t>
      </w:r>
    </w:p>
  </w:footnote>
  <w:footnote w:id="52">
    <w:p w:rsidR="005D72C2" w:rsidRPr="00E601AA" w:rsidRDefault="005D72C2" w:rsidP="00A375EE">
      <w:pPr>
        <w:pStyle w:val="Testonotaapidipagina"/>
        <w:spacing w:before="0" w:after="0"/>
        <w:rPr>
          <w:rFonts w:ascii="Arial" w:hAnsi="Arial" w:cs="Arial"/>
          <w:sz w:val="16"/>
          <w:szCs w:val="16"/>
        </w:rPr>
      </w:pPr>
      <w:r w:rsidRPr="00A375EE">
        <w:rPr>
          <w:rStyle w:val="Rimandonotaapidipagina"/>
          <w:rFonts w:ascii="Arial" w:hAnsi="Arial" w:cs="Arial"/>
          <w:sz w:val="16"/>
          <w:szCs w:val="16"/>
        </w:rPr>
        <w:footnoteRef/>
      </w:r>
      <w:r w:rsidRPr="00A375EE">
        <w:rPr>
          <w:rFonts w:ascii="Arial" w:hAnsi="Arial" w:cs="Arial"/>
          <w:sz w:val="16"/>
          <w:szCs w:val="16"/>
        </w:rPr>
        <w:t>The EEAS has adopted the practice that the denomination “Palestine” will be used</w:t>
      </w:r>
      <w:r w:rsidRPr="00E601AA">
        <w:rPr>
          <w:rFonts w:ascii="Arial" w:hAnsi="Arial" w:cs="Arial"/>
          <w:sz w:val="16"/>
          <w:szCs w:val="16"/>
        </w:rPr>
        <w:t xml:space="preserve"> on all occasions when referring to what to date has been referred to as “Palestinian Authority” or occupied Palestinian territory, source note of the EEAS Executive Secretary General of the 27</w:t>
      </w:r>
      <w:r w:rsidRPr="00E601AA">
        <w:rPr>
          <w:rFonts w:ascii="Arial" w:hAnsi="Arial" w:cs="Arial"/>
          <w:sz w:val="16"/>
          <w:szCs w:val="16"/>
          <w:vertAlign w:val="superscript"/>
        </w:rPr>
        <w:t>th</w:t>
      </w:r>
      <w:r w:rsidRPr="00E601AA">
        <w:rPr>
          <w:rFonts w:ascii="Arial" w:hAnsi="Arial" w:cs="Arial"/>
          <w:sz w:val="16"/>
          <w:szCs w:val="16"/>
        </w:rPr>
        <w:t xml:space="preserve"> of March 2013.</w:t>
      </w:r>
    </w:p>
  </w:footnote>
  <w:footnote w:id="53">
    <w:p w:rsidR="005D72C2" w:rsidRPr="00E601AA" w:rsidRDefault="005D72C2" w:rsidP="00A23C41">
      <w:pPr>
        <w:autoSpaceDE w:val="0"/>
        <w:autoSpaceDN w:val="0"/>
        <w:adjustRightInd w:val="0"/>
        <w:spacing w:before="0" w:after="0"/>
        <w:rPr>
          <w:rFonts w:ascii="Arial" w:hAnsi="Arial" w:cs="Arial"/>
          <w:sz w:val="16"/>
          <w:szCs w:val="16"/>
        </w:rPr>
      </w:pPr>
      <w:r w:rsidRPr="00E601AA">
        <w:rPr>
          <w:rStyle w:val="Rimandonotaapidipagina"/>
          <w:rFonts w:ascii="Arial" w:hAnsi="Arial" w:cs="Arial"/>
          <w:sz w:val="16"/>
          <w:szCs w:val="16"/>
        </w:rPr>
        <w:footnoteRef/>
      </w:r>
      <w:r w:rsidRPr="00E601AA">
        <w:rPr>
          <w:rFonts w:ascii="Arial" w:hAnsi="Arial" w:cs="Arial"/>
          <w:sz w:val="16"/>
          <w:szCs w:val="16"/>
        </w:rPr>
        <w:t xml:space="preserve">The Data Warehouse is a repository of electronically stored data, housing data sourced from various operational systems used in an </w:t>
      </w:r>
      <w:proofErr w:type="spellStart"/>
      <w:r w:rsidRPr="00E601AA">
        <w:rPr>
          <w:rFonts w:ascii="Arial" w:hAnsi="Arial" w:cs="Arial"/>
          <w:sz w:val="16"/>
          <w:szCs w:val="16"/>
        </w:rPr>
        <w:t>organisation</w:t>
      </w:r>
      <w:proofErr w:type="spellEnd"/>
      <w:r w:rsidRPr="00E601AA">
        <w:rPr>
          <w:rFonts w:ascii="Arial" w:hAnsi="Arial" w:cs="Arial"/>
          <w:sz w:val="16"/>
          <w:szCs w:val="16"/>
        </w:rPr>
        <w:t xml:space="preserve">. At DEVCO, the data available in the Data Warehouse are extracted from the information systems developed by the IT Unit, including </w:t>
      </w:r>
    </w:p>
    <w:p w:rsidR="005D72C2" w:rsidRPr="00E601AA" w:rsidRDefault="005D72C2" w:rsidP="00A23C41">
      <w:pPr>
        <w:autoSpaceDE w:val="0"/>
        <w:autoSpaceDN w:val="0"/>
        <w:adjustRightInd w:val="0"/>
        <w:spacing w:before="0" w:after="0"/>
        <w:rPr>
          <w:rFonts w:ascii="Arial" w:hAnsi="Arial" w:cs="Arial"/>
          <w:sz w:val="16"/>
          <w:szCs w:val="16"/>
        </w:rPr>
      </w:pPr>
      <w:r w:rsidRPr="00E601AA">
        <w:rPr>
          <w:rFonts w:ascii="Arial" w:hAnsi="Arial" w:cs="Arial"/>
          <w:sz w:val="16"/>
          <w:szCs w:val="16"/>
        </w:rPr>
        <w:t xml:space="preserve">- CRIS: Common </w:t>
      </w:r>
      <w:proofErr w:type="spellStart"/>
      <w:r w:rsidRPr="00E601AA">
        <w:rPr>
          <w:rFonts w:ascii="Arial" w:hAnsi="Arial" w:cs="Arial"/>
          <w:sz w:val="16"/>
          <w:szCs w:val="16"/>
        </w:rPr>
        <w:t>Relex</w:t>
      </w:r>
      <w:proofErr w:type="spellEnd"/>
      <w:r w:rsidRPr="00E601AA">
        <w:rPr>
          <w:rFonts w:ascii="Arial" w:hAnsi="Arial" w:cs="Arial"/>
          <w:sz w:val="16"/>
          <w:szCs w:val="16"/>
        </w:rPr>
        <w:t xml:space="preserve"> Information System</w:t>
      </w:r>
    </w:p>
    <w:p w:rsidR="005D72C2" w:rsidRPr="00E601AA" w:rsidRDefault="005D72C2" w:rsidP="00A23C41">
      <w:pPr>
        <w:autoSpaceDE w:val="0"/>
        <w:autoSpaceDN w:val="0"/>
        <w:adjustRightInd w:val="0"/>
        <w:spacing w:before="0" w:after="0"/>
        <w:rPr>
          <w:rFonts w:ascii="Arial" w:hAnsi="Arial" w:cs="Arial"/>
          <w:sz w:val="16"/>
          <w:szCs w:val="16"/>
        </w:rPr>
      </w:pPr>
      <w:r w:rsidRPr="00E601AA">
        <w:rPr>
          <w:rFonts w:ascii="Arial" w:hAnsi="Arial" w:cs="Arial"/>
          <w:sz w:val="16"/>
          <w:szCs w:val="16"/>
        </w:rPr>
        <w:t>- PADOR: Potential Applicant Data On-line Registration Service</w:t>
      </w:r>
    </w:p>
    <w:p w:rsidR="005D72C2" w:rsidRPr="00E601AA" w:rsidRDefault="005D72C2" w:rsidP="00A23C41">
      <w:pPr>
        <w:autoSpaceDE w:val="0"/>
        <w:autoSpaceDN w:val="0"/>
        <w:adjustRightInd w:val="0"/>
        <w:spacing w:before="0" w:after="0"/>
        <w:rPr>
          <w:rFonts w:ascii="Arial" w:hAnsi="Arial" w:cs="Arial"/>
          <w:sz w:val="16"/>
          <w:szCs w:val="16"/>
        </w:rPr>
      </w:pPr>
      <w:r w:rsidRPr="00E601AA">
        <w:rPr>
          <w:rFonts w:ascii="Arial" w:hAnsi="Arial" w:cs="Arial"/>
          <w:sz w:val="16"/>
          <w:szCs w:val="16"/>
        </w:rPr>
        <w:t>- PLS: Picture Library System</w:t>
      </w:r>
    </w:p>
    <w:p w:rsidR="005D72C2" w:rsidRPr="00E601AA" w:rsidRDefault="005D72C2" w:rsidP="00A23C41">
      <w:pPr>
        <w:autoSpaceDE w:val="0"/>
        <w:autoSpaceDN w:val="0"/>
        <w:adjustRightInd w:val="0"/>
        <w:spacing w:before="0" w:after="0"/>
        <w:rPr>
          <w:rFonts w:ascii="Arial" w:hAnsi="Arial" w:cs="Arial"/>
          <w:sz w:val="16"/>
          <w:szCs w:val="16"/>
        </w:rPr>
      </w:pPr>
      <w:r w:rsidRPr="00E601AA">
        <w:rPr>
          <w:rFonts w:ascii="Arial" w:hAnsi="Arial" w:cs="Arial"/>
          <w:sz w:val="16"/>
          <w:szCs w:val="16"/>
        </w:rPr>
        <w:t>- ROM: Results Oriented Monitoring system</w:t>
      </w:r>
    </w:p>
    <w:p w:rsidR="005D72C2" w:rsidRPr="00E601AA" w:rsidRDefault="005D72C2" w:rsidP="00A23C41">
      <w:pPr>
        <w:pStyle w:val="Testonotaapidipagina"/>
        <w:spacing w:before="0" w:after="0"/>
        <w:rPr>
          <w:rFonts w:ascii="Arial" w:hAnsi="Arial" w:cs="Arial"/>
          <w:sz w:val="16"/>
          <w:szCs w:val="16"/>
        </w:rPr>
      </w:pPr>
      <w:r w:rsidRPr="00E601AA">
        <w:rPr>
          <w:rFonts w:ascii="Arial" w:hAnsi="Arial" w:cs="Arial"/>
          <w:sz w:val="16"/>
          <w:szCs w:val="16"/>
        </w:rPr>
        <w:t>- Other: data from other information systems might be included in the future</w:t>
      </w:r>
    </w:p>
    <w:p w:rsidR="005D72C2" w:rsidRPr="00E601AA" w:rsidRDefault="005D72C2" w:rsidP="00A23C41">
      <w:pPr>
        <w:autoSpaceDE w:val="0"/>
        <w:autoSpaceDN w:val="0"/>
        <w:adjustRightInd w:val="0"/>
        <w:spacing w:before="0" w:after="0"/>
        <w:rPr>
          <w:rFonts w:ascii="Arial" w:hAnsi="Arial" w:cs="Arial"/>
          <w:i/>
          <w:sz w:val="16"/>
          <w:szCs w:val="16"/>
        </w:rPr>
      </w:pPr>
      <w:r w:rsidRPr="00E601AA">
        <w:rPr>
          <w:rFonts w:ascii="Arial" w:hAnsi="Arial" w:cs="Arial"/>
          <w:sz w:val="16"/>
          <w:szCs w:val="16"/>
        </w:rPr>
        <w:t xml:space="preserve">The benefits offered by this system are: speed, data combination, availability of data, consistency throughout the DG, Independence from the source system. </w:t>
      </w:r>
      <w:r w:rsidRPr="00E601AA">
        <w:rPr>
          <w:rFonts w:ascii="Arial" w:hAnsi="Arial" w:cs="Arial"/>
          <w:i/>
          <w:sz w:val="16"/>
          <w:szCs w:val="16"/>
        </w:rPr>
        <w:t>Source: EC DATA WAREHOUSE DEVCO'S REPORTING TOOL User Manual</w:t>
      </w:r>
    </w:p>
  </w:footnote>
  <w:footnote w:id="54">
    <w:p w:rsidR="005D72C2" w:rsidRPr="00E601AA" w:rsidRDefault="005D72C2" w:rsidP="00A23C41">
      <w:pPr>
        <w:pStyle w:val="Testonotaapidipagina"/>
        <w:spacing w:before="0" w:after="0"/>
        <w:rPr>
          <w:rFonts w:ascii="Arial" w:hAnsi="Arial" w:cs="Arial"/>
          <w:sz w:val="16"/>
          <w:szCs w:val="16"/>
        </w:rPr>
      </w:pPr>
      <w:r w:rsidRPr="00E601AA">
        <w:rPr>
          <w:rStyle w:val="Rimandonotaapidipagina"/>
          <w:rFonts w:ascii="Arial" w:hAnsi="Arial" w:cs="Arial"/>
          <w:sz w:val="16"/>
          <w:szCs w:val="16"/>
        </w:rPr>
        <w:footnoteRef/>
      </w:r>
      <w:r w:rsidRPr="00E601AA">
        <w:rPr>
          <w:rFonts w:ascii="Arial" w:hAnsi="Arial" w:cs="Arial"/>
          <w:sz w:val="16"/>
          <w:szCs w:val="16"/>
        </w:rPr>
        <w:t>The data were extracted on the 13.03.2013 from the Data Warehouse.</w:t>
      </w:r>
    </w:p>
  </w:footnote>
  <w:footnote w:id="55">
    <w:p w:rsidR="005D72C2" w:rsidRPr="00E601AA" w:rsidRDefault="005D72C2" w:rsidP="00A23C41">
      <w:pPr>
        <w:pStyle w:val="Testonotaapidipagina"/>
        <w:spacing w:before="0" w:after="0"/>
        <w:rPr>
          <w:rFonts w:ascii="Arial" w:hAnsi="Arial" w:cs="Arial"/>
          <w:sz w:val="16"/>
          <w:szCs w:val="16"/>
          <w:lang w:val="en-GB"/>
        </w:rPr>
      </w:pPr>
      <w:r w:rsidRPr="00E601AA">
        <w:rPr>
          <w:rStyle w:val="Rimandonotaapidipagina"/>
          <w:rFonts w:ascii="Arial" w:hAnsi="Arial" w:cs="Arial"/>
          <w:sz w:val="16"/>
          <w:szCs w:val="16"/>
        </w:rPr>
        <w:footnoteRef/>
      </w:r>
      <w:r w:rsidRPr="00E601AA">
        <w:rPr>
          <w:rFonts w:ascii="Arial" w:hAnsi="Arial" w:cs="Arial"/>
          <w:sz w:val="16"/>
          <w:szCs w:val="16"/>
        </w:rPr>
        <w:t xml:space="preserve"> The reference to “cancelled” is included under the column “Status” of the excel sheet retrieved through Data Warehouse.</w:t>
      </w:r>
    </w:p>
  </w:footnote>
  <w:footnote w:id="56">
    <w:p w:rsidR="005D72C2" w:rsidRPr="00E601AA" w:rsidRDefault="005D72C2" w:rsidP="00A23C41">
      <w:pPr>
        <w:pStyle w:val="Testonotaapidipagina"/>
        <w:spacing w:before="0" w:after="0"/>
        <w:rPr>
          <w:rFonts w:ascii="Arial" w:hAnsi="Arial" w:cs="Arial"/>
          <w:sz w:val="16"/>
          <w:szCs w:val="16"/>
        </w:rPr>
      </w:pPr>
      <w:r w:rsidRPr="00E601AA">
        <w:rPr>
          <w:rStyle w:val="Rimandonotaapidipagina"/>
          <w:rFonts w:ascii="Arial" w:hAnsi="Arial" w:cs="Arial"/>
          <w:sz w:val="16"/>
          <w:szCs w:val="16"/>
        </w:rPr>
        <w:footnoteRef/>
      </w:r>
      <w:r w:rsidRPr="00E601AA">
        <w:rPr>
          <w:rFonts w:ascii="Arial" w:hAnsi="Arial" w:cs="Arial"/>
          <w:sz w:val="16"/>
          <w:szCs w:val="16"/>
        </w:rPr>
        <w:t>DCI-ALA (Development - Latin America), DCI-ASIE (Development – Asia).</w:t>
      </w:r>
    </w:p>
  </w:footnote>
  <w:footnote w:id="57">
    <w:p w:rsidR="005D72C2" w:rsidRPr="00E601AA" w:rsidRDefault="005D72C2" w:rsidP="00A23C41">
      <w:pPr>
        <w:pStyle w:val="Testonotaapidipagina"/>
        <w:spacing w:before="0" w:after="0"/>
        <w:rPr>
          <w:rFonts w:ascii="Arial" w:hAnsi="Arial" w:cs="Arial"/>
          <w:sz w:val="16"/>
          <w:szCs w:val="16"/>
        </w:rPr>
      </w:pPr>
      <w:r w:rsidRPr="00E601AA">
        <w:rPr>
          <w:rStyle w:val="Rimandonotaapidipagina"/>
          <w:rFonts w:ascii="Arial" w:hAnsi="Arial" w:cs="Arial"/>
          <w:sz w:val="16"/>
          <w:szCs w:val="16"/>
        </w:rPr>
        <w:footnoteRef/>
      </w:r>
      <w:r w:rsidRPr="00E601AA">
        <w:rPr>
          <w:rFonts w:ascii="Arial" w:hAnsi="Arial" w:cs="Arial"/>
          <w:sz w:val="16"/>
          <w:szCs w:val="16"/>
        </w:rPr>
        <w:t xml:space="preserve">ADM-MULTI (Administrative Expenditure), BAN (Bananas), COMOROG (Commodity organizations), DCI-EDUC (Development Education) , DEVCOM, DEVPOL, EOM (Electoral observation of which none were referred to Palestine), FINHCRIS (Framework Contract - Financial follow-up outside CRIS), INFCO (Information and coordination (DG DEV). </w:t>
      </w:r>
    </w:p>
  </w:footnote>
  <w:footnote w:id="58">
    <w:p w:rsidR="005D72C2" w:rsidRPr="00E601AA" w:rsidRDefault="005D72C2" w:rsidP="00A23C41">
      <w:pPr>
        <w:pStyle w:val="Testonotaapidipagina"/>
        <w:spacing w:before="0" w:after="0"/>
        <w:rPr>
          <w:rFonts w:ascii="Arial" w:hAnsi="Arial" w:cs="Arial"/>
          <w:sz w:val="16"/>
          <w:szCs w:val="16"/>
        </w:rPr>
      </w:pPr>
      <w:r w:rsidRPr="00E601AA">
        <w:rPr>
          <w:rStyle w:val="Rimandonotaapidipagina"/>
          <w:rFonts w:ascii="Arial" w:hAnsi="Arial" w:cs="Arial"/>
          <w:sz w:val="16"/>
          <w:szCs w:val="16"/>
        </w:rPr>
        <w:footnoteRef/>
      </w:r>
      <w:r w:rsidRPr="00E601AA">
        <w:rPr>
          <w:rFonts w:ascii="Arial" w:hAnsi="Arial" w:cs="Arial"/>
          <w:sz w:val="16"/>
          <w:szCs w:val="16"/>
        </w:rPr>
        <w:t xml:space="preserve">These are all regional or multi country </w:t>
      </w:r>
      <w:proofErr w:type="spellStart"/>
      <w:r w:rsidRPr="00E601AA">
        <w:rPr>
          <w:rFonts w:ascii="Arial" w:hAnsi="Arial" w:cs="Arial"/>
          <w:sz w:val="16"/>
          <w:szCs w:val="16"/>
        </w:rPr>
        <w:t>programmes</w:t>
      </w:r>
      <w:proofErr w:type="spellEnd"/>
      <w:r w:rsidRPr="00E601AA">
        <w:rPr>
          <w:rFonts w:ascii="Arial" w:hAnsi="Arial" w:cs="Arial"/>
          <w:sz w:val="16"/>
          <w:szCs w:val="16"/>
        </w:rPr>
        <w:t xml:space="preserve"> which finance interventions in Palestine. </w:t>
      </w:r>
    </w:p>
  </w:footnote>
  <w:footnote w:id="59">
    <w:p w:rsidR="005D72C2" w:rsidRPr="00E601AA" w:rsidRDefault="005D72C2" w:rsidP="00A23C41">
      <w:pPr>
        <w:pStyle w:val="Testonotaapidipagina"/>
        <w:spacing w:before="0" w:after="0"/>
        <w:rPr>
          <w:rFonts w:ascii="Arial" w:hAnsi="Arial" w:cs="Arial"/>
          <w:sz w:val="16"/>
          <w:szCs w:val="16"/>
        </w:rPr>
      </w:pPr>
      <w:r w:rsidRPr="00E601AA">
        <w:rPr>
          <w:rStyle w:val="Rimandonotaapidipagina"/>
          <w:rFonts w:ascii="Arial" w:hAnsi="Arial" w:cs="Arial"/>
          <w:sz w:val="16"/>
          <w:szCs w:val="16"/>
        </w:rPr>
        <w:footnoteRef/>
      </w:r>
      <w:r w:rsidRPr="00E601AA">
        <w:rPr>
          <w:rFonts w:ascii="Arial" w:hAnsi="Arial" w:cs="Arial"/>
          <w:sz w:val="16"/>
          <w:szCs w:val="16"/>
        </w:rPr>
        <w:t>This has been useful in order to identify the geographical scope of those contracts with a very general title and broad geographical coverage.</w:t>
      </w:r>
    </w:p>
  </w:footnote>
  <w:footnote w:id="60">
    <w:p w:rsidR="005D72C2" w:rsidRPr="00E601AA" w:rsidRDefault="005D72C2" w:rsidP="00A23C41">
      <w:pPr>
        <w:pStyle w:val="Testonotaapidipagina"/>
        <w:spacing w:before="0" w:after="0"/>
        <w:rPr>
          <w:rFonts w:ascii="Arial" w:hAnsi="Arial" w:cs="Arial"/>
          <w:sz w:val="16"/>
          <w:szCs w:val="16"/>
        </w:rPr>
      </w:pPr>
      <w:r w:rsidRPr="00E601AA">
        <w:rPr>
          <w:rStyle w:val="Rimandonotaapidipagina"/>
          <w:rFonts w:ascii="Arial" w:hAnsi="Arial" w:cs="Arial"/>
          <w:sz w:val="16"/>
          <w:szCs w:val="16"/>
        </w:rPr>
        <w:footnoteRef/>
      </w:r>
      <w:r w:rsidRPr="00E601AA">
        <w:rPr>
          <w:rFonts w:ascii="Arial" w:hAnsi="Arial" w:cs="Arial"/>
          <w:sz w:val="16"/>
          <w:szCs w:val="16"/>
        </w:rPr>
        <w:t xml:space="preserve"> 8 out of 56 Decisions have any contract issued during the evaluation period. Indeed those 8 decisions fall under the year 2012, and this is the reason why contracts might have not been issued yet. </w:t>
      </w:r>
    </w:p>
  </w:footnote>
  <w:footnote w:id="61">
    <w:p w:rsidR="005D72C2" w:rsidRPr="00E601AA" w:rsidRDefault="005D72C2" w:rsidP="00A23C41">
      <w:pPr>
        <w:pStyle w:val="Testonotaapidipagina"/>
        <w:spacing w:before="0" w:after="0"/>
        <w:rPr>
          <w:rFonts w:ascii="Arial" w:hAnsi="Arial" w:cs="Arial"/>
          <w:sz w:val="16"/>
          <w:szCs w:val="16"/>
        </w:rPr>
      </w:pPr>
      <w:r w:rsidRPr="00E601AA">
        <w:rPr>
          <w:rStyle w:val="Rimandonotaapidipagina"/>
          <w:rFonts w:ascii="Arial" w:hAnsi="Arial" w:cs="Arial"/>
          <w:sz w:val="16"/>
          <w:szCs w:val="16"/>
        </w:rPr>
        <w:footnoteRef/>
      </w:r>
      <w:r w:rsidRPr="00E601AA">
        <w:rPr>
          <w:rFonts w:ascii="Arial" w:hAnsi="Arial" w:cs="Arial"/>
          <w:sz w:val="16"/>
          <w:szCs w:val="16"/>
        </w:rPr>
        <w:t xml:space="preserve"> This database has been withdrawn from </w:t>
      </w:r>
      <w:proofErr w:type="spellStart"/>
      <w:r w:rsidRPr="00E601AA">
        <w:rPr>
          <w:rFonts w:ascii="Arial" w:hAnsi="Arial" w:cs="Arial"/>
          <w:sz w:val="16"/>
          <w:szCs w:val="16"/>
        </w:rPr>
        <w:t>DataWarehouse</w:t>
      </w:r>
      <w:proofErr w:type="spellEnd"/>
      <w:r w:rsidRPr="00E601AA">
        <w:rPr>
          <w:rFonts w:ascii="Arial" w:hAnsi="Arial" w:cs="Arial"/>
          <w:sz w:val="16"/>
          <w:szCs w:val="16"/>
        </w:rPr>
        <w:t xml:space="preserve"> applying the temporal criterion (2008-2013). This database contains all decisions issued in the relevant period and all corresponding contracts. All contracts belonging to decisions falling before the evaluation period have been cross checked with another database withdrawn from CRIS, which included all contracts from 2002 to 2010. </w:t>
      </w:r>
    </w:p>
  </w:footnote>
  <w:footnote w:id="62">
    <w:p w:rsidR="005D72C2" w:rsidRPr="00E601AA" w:rsidRDefault="005D72C2" w:rsidP="00A23C41">
      <w:pPr>
        <w:pStyle w:val="Testonotaapidipagina"/>
        <w:spacing w:before="0" w:after="0"/>
        <w:rPr>
          <w:rFonts w:ascii="Arial" w:hAnsi="Arial" w:cs="Arial"/>
          <w:sz w:val="16"/>
          <w:szCs w:val="16"/>
        </w:rPr>
      </w:pPr>
      <w:r w:rsidRPr="00E601AA">
        <w:rPr>
          <w:rStyle w:val="Rimandonotaapidipagina"/>
          <w:rFonts w:ascii="Arial" w:hAnsi="Arial" w:cs="Arial"/>
          <w:sz w:val="16"/>
          <w:szCs w:val="16"/>
        </w:rPr>
        <w:footnoteRef/>
      </w:r>
      <w:r w:rsidRPr="00E601AA">
        <w:rPr>
          <w:rFonts w:ascii="Arial" w:hAnsi="Arial" w:cs="Arial"/>
          <w:sz w:val="16"/>
          <w:szCs w:val="16"/>
        </w:rPr>
        <w:t xml:space="preserve"> The REG and MULTI categories include contracts that have been filtered through the country level, this is because some contracts belong to regional interventions but have been registered in DWH with a clear geographical definition. </w:t>
      </w:r>
    </w:p>
  </w:footnote>
  <w:footnote w:id="63">
    <w:p w:rsidR="005D72C2" w:rsidRPr="00E601AA" w:rsidRDefault="005D72C2" w:rsidP="00A23C41">
      <w:pPr>
        <w:pStyle w:val="Testonotaapidipagina"/>
        <w:spacing w:before="0" w:after="0"/>
        <w:rPr>
          <w:rFonts w:ascii="Arial" w:hAnsi="Arial" w:cs="Arial"/>
          <w:sz w:val="16"/>
          <w:szCs w:val="16"/>
        </w:rPr>
      </w:pPr>
      <w:r w:rsidRPr="00E601AA">
        <w:rPr>
          <w:rStyle w:val="Rimandonotaapidipagina"/>
          <w:rFonts w:ascii="Arial" w:hAnsi="Arial" w:cs="Arial"/>
          <w:sz w:val="16"/>
          <w:szCs w:val="16"/>
        </w:rPr>
        <w:footnoteRef/>
      </w:r>
      <w:r w:rsidRPr="00E601AA">
        <w:rPr>
          <w:rFonts w:ascii="Arial" w:hAnsi="Arial" w:cs="Arial"/>
          <w:sz w:val="16"/>
          <w:szCs w:val="16"/>
        </w:rPr>
        <w:t xml:space="preserve"> For 7 contracts difficulties have been faced for the research of the corresponding decision. Indeed, for those contracts the decision number was not shown in the relevant column.</w:t>
      </w:r>
    </w:p>
  </w:footnote>
  <w:footnote w:id="64">
    <w:p w:rsidR="005D72C2" w:rsidRPr="00E601AA" w:rsidRDefault="005D72C2" w:rsidP="00A23C41">
      <w:pPr>
        <w:pStyle w:val="Default"/>
        <w:spacing w:before="0" w:after="0"/>
        <w:rPr>
          <w:rFonts w:ascii="Arial" w:hAnsi="Arial" w:cs="Arial"/>
          <w:sz w:val="16"/>
          <w:szCs w:val="16"/>
        </w:rPr>
      </w:pPr>
      <w:r w:rsidRPr="00E601AA">
        <w:rPr>
          <w:rStyle w:val="Rimandonotaapidipagina"/>
          <w:rFonts w:ascii="Arial" w:hAnsi="Arial" w:cs="Arial"/>
          <w:sz w:val="16"/>
          <w:szCs w:val="16"/>
        </w:rPr>
        <w:footnoteRef/>
      </w:r>
      <w:r w:rsidRPr="00E601AA">
        <w:rPr>
          <w:rFonts w:ascii="Arial" w:hAnsi="Arial" w:cs="Arial"/>
          <w:sz w:val="16"/>
          <w:szCs w:val="16"/>
        </w:rPr>
        <w:t xml:space="preserve"> </w:t>
      </w:r>
      <w:r w:rsidRPr="00E601AA">
        <w:rPr>
          <w:rFonts w:ascii="Arial" w:hAnsi="Arial" w:cs="Arial"/>
          <w:color w:val="auto"/>
          <w:sz w:val="16"/>
          <w:szCs w:val="16"/>
        </w:rPr>
        <w:t>The PEGASE Development Cooperation component is defined by the Evaluation of PEGASE 2008-2011 carried out by  Business and Strategies Europe Consortium.</w:t>
      </w:r>
    </w:p>
  </w:footnote>
  <w:footnote w:id="65">
    <w:p w:rsidR="005D72C2" w:rsidRPr="00E601AA" w:rsidRDefault="005D72C2" w:rsidP="00A23C41">
      <w:pPr>
        <w:pStyle w:val="Testonotaapidipagina"/>
        <w:spacing w:before="0" w:after="0"/>
        <w:rPr>
          <w:rFonts w:ascii="Arial" w:hAnsi="Arial" w:cs="Arial"/>
          <w:sz w:val="16"/>
          <w:szCs w:val="16"/>
          <w:u w:val="single"/>
        </w:rPr>
      </w:pPr>
      <w:r w:rsidRPr="00E601AA">
        <w:rPr>
          <w:rStyle w:val="Rimandonotaapidipagina"/>
          <w:rFonts w:ascii="Arial" w:hAnsi="Arial" w:cs="Arial"/>
          <w:sz w:val="16"/>
          <w:szCs w:val="16"/>
        </w:rPr>
        <w:footnoteRef/>
      </w:r>
      <w:r w:rsidRPr="00E601AA">
        <w:rPr>
          <w:rFonts w:ascii="Arial" w:hAnsi="Arial" w:cs="Arial"/>
          <w:sz w:val="16"/>
          <w:szCs w:val="16"/>
        </w:rPr>
        <w:t>The titles of the interventions, and, when needed, additional information gathered via Internet and with the support of the OECD/DAC classification which is defined under column “DAC sector”. The DAC sector classification as indicated in the Data Warehouse database was taken in consideration in case of unclear definition of the sector.</w:t>
      </w:r>
    </w:p>
  </w:footnote>
  <w:footnote w:id="66">
    <w:p w:rsidR="005D72C2" w:rsidRPr="00E601AA" w:rsidRDefault="005D72C2" w:rsidP="00A23C41">
      <w:pPr>
        <w:pStyle w:val="Testonotaapidipagina"/>
        <w:spacing w:before="0" w:after="0"/>
        <w:rPr>
          <w:rFonts w:ascii="Arial" w:hAnsi="Arial" w:cs="Arial"/>
          <w:sz w:val="16"/>
          <w:szCs w:val="16"/>
        </w:rPr>
      </w:pPr>
      <w:r w:rsidRPr="00E601AA">
        <w:rPr>
          <w:rStyle w:val="Rimandonotaapidipagina"/>
          <w:rFonts w:ascii="Arial" w:hAnsi="Arial" w:cs="Arial"/>
          <w:sz w:val="16"/>
          <w:szCs w:val="16"/>
        </w:rPr>
        <w:footnoteRef/>
      </w:r>
      <w:r w:rsidRPr="00E601AA">
        <w:rPr>
          <w:rFonts w:ascii="Arial" w:hAnsi="Arial" w:cs="Arial"/>
          <w:sz w:val="16"/>
          <w:szCs w:val="16"/>
        </w:rPr>
        <w:t xml:space="preserve"> The missing data will be presented in the final report</w:t>
      </w:r>
    </w:p>
  </w:footnote>
  <w:footnote w:id="67">
    <w:p w:rsidR="005D72C2" w:rsidRPr="00E601AA" w:rsidRDefault="005D72C2" w:rsidP="00A23C41">
      <w:pPr>
        <w:pStyle w:val="Testonotaapidipagina"/>
        <w:spacing w:before="60"/>
        <w:ind w:left="142" w:hanging="142"/>
        <w:rPr>
          <w:rFonts w:ascii="Arial" w:hAnsi="Arial" w:cs="Arial"/>
          <w:sz w:val="16"/>
          <w:szCs w:val="16"/>
        </w:rPr>
      </w:pPr>
      <w:r w:rsidRPr="00E601AA">
        <w:rPr>
          <w:rStyle w:val="Rimandonotaapidipagina"/>
          <w:rFonts w:ascii="Arial" w:hAnsi="Arial" w:cs="Arial"/>
          <w:sz w:val="16"/>
          <w:szCs w:val="16"/>
        </w:rPr>
        <w:footnoteRef/>
      </w:r>
      <w:r w:rsidRPr="00E601AA">
        <w:rPr>
          <w:rFonts w:ascii="Arial" w:hAnsi="Arial" w:cs="Arial"/>
          <w:sz w:val="16"/>
          <w:szCs w:val="16"/>
        </w:rPr>
        <w:t xml:space="preserve">The extracted excel file gathered from </w:t>
      </w:r>
      <w:proofErr w:type="spellStart"/>
      <w:r w:rsidRPr="00E601AA">
        <w:rPr>
          <w:rFonts w:ascii="Arial" w:hAnsi="Arial" w:cs="Arial"/>
          <w:sz w:val="16"/>
          <w:szCs w:val="16"/>
        </w:rPr>
        <w:t>Datawarehouse</w:t>
      </w:r>
      <w:proofErr w:type="spellEnd"/>
      <w:r w:rsidRPr="00E601AA">
        <w:rPr>
          <w:rFonts w:ascii="Arial" w:hAnsi="Arial" w:cs="Arial"/>
          <w:sz w:val="16"/>
          <w:szCs w:val="16"/>
        </w:rPr>
        <w:t xml:space="preserve"> generated 35 columns.</w:t>
      </w:r>
    </w:p>
  </w:footnote>
  <w:footnote w:id="68">
    <w:p w:rsidR="005D72C2" w:rsidRPr="0097687B" w:rsidRDefault="005D72C2" w:rsidP="009D7E2C">
      <w:pPr>
        <w:pStyle w:val="Testonotaapidipagina"/>
        <w:spacing w:before="0" w:after="0"/>
        <w:rPr>
          <w:rFonts w:ascii="Arial" w:hAnsi="Arial" w:cs="Arial"/>
          <w:sz w:val="16"/>
          <w:szCs w:val="16"/>
        </w:rPr>
      </w:pPr>
      <w:r w:rsidRPr="0097687B">
        <w:rPr>
          <w:rStyle w:val="Rimandonotaapidipagina"/>
          <w:rFonts w:ascii="Arial" w:hAnsi="Arial" w:cs="Arial"/>
          <w:sz w:val="16"/>
          <w:szCs w:val="16"/>
        </w:rPr>
        <w:footnoteRef/>
      </w:r>
      <w:r w:rsidRPr="0097687B">
        <w:rPr>
          <w:rFonts w:ascii="Arial" w:hAnsi="Arial" w:cs="Arial"/>
          <w:sz w:val="16"/>
          <w:szCs w:val="16"/>
        </w:rPr>
        <w:t xml:space="preserve"> The amounts reflect the content of the inventory which is based on the data collected through CRIS and </w:t>
      </w:r>
      <w:proofErr w:type="spellStart"/>
      <w:r w:rsidRPr="0097687B">
        <w:rPr>
          <w:rFonts w:ascii="Arial" w:hAnsi="Arial" w:cs="Arial"/>
          <w:sz w:val="16"/>
          <w:szCs w:val="16"/>
        </w:rPr>
        <w:t>Datawarehouse</w:t>
      </w:r>
      <w:proofErr w:type="spellEnd"/>
      <w:r>
        <w:rPr>
          <w:rFonts w:ascii="Arial" w:hAnsi="Arial" w:cs="Arial"/>
          <w:sz w:val="16"/>
          <w:szCs w:val="16"/>
        </w:rPr>
        <w:t xml:space="preserve"> and data received from ECHO</w:t>
      </w:r>
      <w:r w:rsidRPr="0097687B">
        <w:rPr>
          <w:rFonts w:ascii="Arial" w:hAnsi="Arial" w:cs="Arial"/>
          <w:sz w:val="16"/>
          <w:szCs w:val="16"/>
        </w:rPr>
        <w:t>. Data have been compared to the data presented in the “EU Direct Financial Support to the PA” of the European Court of Auditors, 2013.</w:t>
      </w:r>
      <w:r>
        <w:rPr>
          <w:rFonts w:ascii="Arial" w:hAnsi="Arial" w:cs="Arial"/>
          <w:sz w:val="16"/>
          <w:szCs w:val="16"/>
        </w:rPr>
        <w:t xml:space="preserve"> </w:t>
      </w:r>
      <w:r w:rsidRPr="0097687B">
        <w:rPr>
          <w:rFonts w:ascii="Arial" w:hAnsi="Arial" w:cs="Arial"/>
          <w:sz w:val="16"/>
          <w:szCs w:val="16"/>
        </w:rPr>
        <w:t xml:space="preserve"> </w:t>
      </w:r>
    </w:p>
  </w:footnote>
  <w:footnote w:id="69">
    <w:p w:rsidR="009D7E2C" w:rsidRPr="009D7E2C" w:rsidRDefault="009D7E2C" w:rsidP="009D7E2C">
      <w:pPr>
        <w:pStyle w:val="Testonotaapidipagina"/>
        <w:spacing w:before="0" w:after="0"/>
      </w:pPr>
      <w:r>
        <w:rPr>
          <w:rStyle w:val="Rimandonotaapidipagina"/>
        </w:rPr>
        <w:footnoteRef/>
      </w:r>
      <w:r>
        <w:t xml:space="preserve"> </w:t>
      </w:r>
      <w:r w:rsidRPr="009D7E2C">
        <w:rPr>
          <w:rFonts w:ascii="Arial" w:hAnsi="Arial" w:cs="Arial"/>
          <w:sz w:val="16"/>
          <w:szCs w:val="16"/>
        </w:rPr>
        <w:t>The allocated amount refers to the allocation of funds at Decision level</w:t>
      </w:r>
    </w:p>
  </w:footnote>
  <w:footnote w:id="70">
    <w:p w:rsidR="005D72C2" w:rsidRPr="006841BB" w:rsidRDefault="005D72C2" w:rsidP="009D7E2C">
      <w:pPr>
        <w:pStyle w:val="Testonotaapidipagina"/>
        <w:spacing w:before="0" w:after="0"/>
        <w:rPr>
          <w:rFonts w:ascii="Arial" w:hAnsi="Arial" w:cs="Arial"/>
          <w:sz w:val="16"/>
          <w:szCs w:val="16"/>
        </w:rPr>
      </w:pPr>
      <w:r w:rsidRPr="006841BB">
        <w:rPr>
          <w:rStyle w:val="Rimandonotaapidipagina"/>
          <w:rFonts w:ascii="Arial" w:hAnsi="Arial" w:cs="Arial"/>
          <w:sz w:val="16"/>
          <w:szCs w:val="16"/>
        </w:rPr>
        <w:footnoteRef/>
      </w:r>
      <w:r w:rsidRPr="006841BB">
        <w:rPr>
          <w:rFonts w:ascii="Arial" w:hAnsi="Arial" w:cs="Arial"/>
          <w:sz w:val="16"/>
          <w:szCs w:val="16"/>
        </w:rPr>
        <w:t xml:space="preserve"> The </w:t>
      </w:r>
      <w:r>
        <w:rPr>
          <w:rFonts w:ascii="Arial" w:hAnsi="Arial" w:cs="Arial"/>
          <w:sz w:val="16"/>
          <w:szCs w:val="16"/>
        </w:rPr>
        <w:t>Committed amount</w:t>
      </w:r>
      <w:r w:rsidRPr="006841BB">
        <w:rPr>
          <w:rFonts w:ascii="Arial" w:hAnsi="Arial" w:cs="Arial"/>
          <w:sz w:val="16"/>
          <w:szCs w:val="16"/>
        </w:rPr>
        <w:t xml:space="preserve"> refers to the single commi</w:t>
      </w:r>
      <w:r>
        <w:rPr>
          <w:rFonts w:ascii="Arial" w:hAnsi="Arial" w:cs="Arial"/>
          <w:sz w:val="16"/>
          <w:szCs w:val="16"/>
        </w:rPr>
        <w:t xml:space="preserve">tment issued at Contract Level. For ECHO interventions, amounts at decision level were not available, therefore, the committed amount has been </w:t>
      </w:r>
      <w:r w:rsidR="009D7E2C">
        <w:rPr>
          <w:rFonts w:ascii="Arial" w:hAnsi="Arial" w:cs="Arial"/>
          <w:sz w:val="16"/>
          <w:szCs w:val="16"/>
        </w:rPr>
        <w:t>summed to the allocated amount of DEVCO interventions</w:t>
      </w:r>
      <w:r>
        <w:rPr>
          <w:rFonts w:ascii="Arial" w:hAnsi="Arial" w:cs="Arial"/>
          <w:sz w:val="16"/>
          <w:szCs w:val="16"/>
        </w:rPr>
        <w:t xml:space="preserve"> in order to have an overview of the total EC </w:t>
      </w:r>
      <w:r w:rsidR="009D7E2C">
        <w:rPr>
          <w:rFonts w:ascii="Arial" w:hAnsi="Arial" w:cs="Arial"/>
          <w:sz w:val="16"/>
          <w:szCs w:val="16"/>
        </w:rPr>
        <w:t>pledged funds</w:t>
      </w:r>
      <w:r>
        <w:rPr>
          <w:rFonts w:ascii="Arial" w:hAnsi="Arial" w:cs="Arial"/>
          <w:sz w:val="16"/>
          <w:szCs w:val="16"/>
        </w:rPr>
        <w:t xml:space="preserve">. </w:t>
      </w:r>
    </w:p>
  </w:footnote>
  <w:footnote w:id="71">
    <w:p w:rsidR="005D72C2" w:rsidRPr="00E601AA" w:rsidRDefault="005D72C2" w:rsidP="002D6996">
      <w:pPr>
        <w:pStyle w:val="Testonotaapidipagina"/>
        <w:spacing w:before="0" w:after="0"/>
        <w:rPr>
          <w:rFonts w:ascii="Arial" w:hAnsi="Arial" w:cs="Arial"/>
          <w:sz w:val="16"/>
          <w:szCs w:val="16"/>
        </w:rPr>
      </w:pPr>
      <w:r w:rsidRPr="00E601AA">
        <w:rPr>
          <w:rStyle w:val="Rimandonotaapidipagina"/>
          <w:rFonts w:ascii="Arial" w:hAnsi="Arial" w:cs="Arial"/>
          <w:sz w:val="16"/>
          <w:szCs w:val="16"/>
        </w:rPr>
        <w:footnoteRef/>
      </w:r>
      <w:r w:rsidRPr="00E601AA">
        <w:rPr>
          <w:rFonts w:ascii="Arial" w:hAnsi="Arial" w:cs="Arial"/>
          <w:sz w:val="16"/>
          <w:szCs w:val="16"/>
        </w:rPr>
        <w:t xml:space="preserve"> The figure presents the allocated amounts per year of decision and the </w:t>
      </w:r>
      <w:r w:rsidR="009D7E2C">
        <w:rPr>
          <w:rFonts w:ascii="Arial" w:hAnsi="Arial" w:cs="Arial"/>
          <w:sz w:val="16"/>
          <w:szCs w:val="16"/>
        </w:rPr>
        <w:t>committed</w:t>
      </w:r>
      <w:r w:rsidRPr="00E601AA">
        <w:rPr>
          <w:rFonts w:ascii="Arial" w:hAnsi="Arial" w:cs="Arial"/>
          <w:sz w:val="16"/>
          <w:szCs w:val="16"/>
        </w:rPr>
        <w:t xml:space="preserve"> and </w:t>
      </w:r>
      <w:r w:rsidR="009D7E2C">
        <w:rPr>
          <w:rFonts w:ascii="Arial" w:hAnsi="Arial" w:cs="Arial"/>
          <w:sz w:val="16"/>
          <w:szCs w:val="16"/>
        </w:rPr>
        <w:t xml:space="preserve">disbursed </w:t>
      </w:r>
      <w:r w:rsidRPr="00E601AA">
        <w:rPr>
          <w:rFonts w:ascii="Arial" w:hAnsi="Arial" w:cs="Arial"/>
          <w:sz w:val="16"/>
          <w:szCs w:val="16"/>
        </w:rPr>
        <w:t xml:space="preserve">amounts per year of contract. This means that what has been </w:t>
      </w:r>
      <w:r w:rsidR="009D7E2C">
        <w:rPr>
          <w:rFonts w:ascii="Arial" w:hAnsi="Arial" w:cs="Arial"/>
          <w:sz w:val="16"/>
          <w:szCs w:val="16"/>
        </w:rPr>
        <w:t>committed</w:t>
      </w:r>
      <w:r w:rsidRPr="00E601AA">
        <w:rPr>
          <w:rFonts w:ascii="Arial" w:hAnsi="Arial" w:cs="Arial"/>
          <w:sz w:val="16"/>
          <w:szCs w:val="16"/>
        </w:rPr>
        <w:t xml:space="preserve"> in one year has not been necessarily allocated during the same year, this is the reason why in 2009, 2011 and 2013 the </w:t>
      </w:r>
      <w:r w:rsidR="009D7E2C">
        <w:rPr>
          <w:rFonts w:ascii="Arial" w:hAnsi="Arial" w:cs="Arial"/>
          <w:sz w:val="16"/>
          <w:szCs w:val="16"/>
        </w:rPr>
        <w:t>committed</w:t>
      </w:r>
      <w:r w:rsidRPr="00E601AA">
        <w:rPr>
          <w:rFonts w:ascii="Arial" w:hAnsi="Arial" w:cs="Arial"/>
          <w:sz w:val="16"/>
          <w:szCs w:val="16"/>
        </w:rPr>
        <w:t xml:space="preserve"> amount is higher than the allocated amount. </w:t>
      </w:r>
    </w:p>
  </w:footnote>
  <w:footnote w:id="72">
    <w:p w:rsidR="005D72C2" w:rsidRPr="00E601AA" w:rsidRDefault="005D72C2" w:rsidP="00A23C41">
      <w:pPr>
        <w:pStyle w:val="Testonotaapidipagina"/>
        <w:spacing w:before="0" w:after="0"/>
        <w:rPr>
          <w:rFonts w:ascii="Arial" w:hAnsi="Arial" w:cs="Arial"/>
          <w:sz w:val="16"/>
          <w:szCs w:val="16"/>
        </w:rPr>
      </w:pPr>
      <w:r w:rsidRPr="00E601AA">
        <w:rPr>
          <w:rStyle w:val="Rimandonotaapidipagina"/>
          <w:rFonts w:ascii="Arial" w:hAnsi="Arial" w:cs="Arial"/>
          <w:sz w:val="16"/>
          <w:szCs w:val="16"/>
        </w:rPr>
        <w:footnoteRef/>
      </w:r>
      <w:r w:rsidRPr="00E601AA">
        <w:rPr>
          <w:rFonts w:ascii="Arial" w:hAnsi="Arial" w:cs="Arial"/>
          <w:sz w:val="16"/>
          <w:szCs w:val="16"/>
        </w:rPr>
        <w:t xml:space="preserve"> The 589 contracts also </w:t>
      </w:r>
      <w:r w:rsidRPr="00E601AA">
        <w:rPr>
          <w:rFonts w:ascii="Arial" w:hAnsi="Arial" w:cs="Arial"/>
          <w:sz w:val="16"/>
          <w:szCs w:val="16"/>
          <w:lang w:val="en-GB"/>
        </w:rPr>
        <w:t>include 85 contracts belonging to decisions issued before the evaluation period for a total amount of €33M, accounting for 1.6% of the total contracted amount</w:t>
      </w:r>
    </w:p>
  </w:footnote>
  <w:footnote w:id="73">
    <w:p w:rsidR="005D72C2" w:rsidRPr="00E601AA" w:rsidRDefault="005D72C2" w:rsidP="00A23C41">
      <w:pPr>
        <w:pStyle w:val="Testonotaapidipagina"/>
        <w:spacing w:before="0" w:after="0"/>
        <w:rPr>
          <w:rFonts w:ascii="Arial" w:hAnsi="Arial" w:cs="Arial"/>
          <w:sz w:val="16"/>
          <w:szCs w:val="16"/>
          <w:lang w:val="en-GB"/>
        </w:rPr>
      </w:pPr>
      <w:r w:rsidRPr="00E601AA">
        <w:rPr>
          <w:rStyle w:val="Rimandonotaapidipagina"/>
          <w:rFonts w:ascii="Arial" w:hAnsi="Arial" w:cs="Arial"/>
          <w:sz w:val="16"/>
          <w:szCs w:val="16"/>
        </w:rPr>
        <w:footnoteRef/>
      </w:r>
      <w:r w:rsidRPr="00E601AA">
        <w:rPr>
          <w:rFonts w:ascii="Arial" w:hAnsi="Arial" w:cs="Arial"/>
          <w:sz w:val="16"/>
          <w:szCs w:val="16"/>
        </w:rPr>
        <w:t xml:space="preserve"> The MED instrument has been replaced by ENPI in 2007, however, all contracts emanated from decisions falling prior to 2007 and funded by MED keep the funding instrument of the relevant decision, namely MED. This occurs in particular to 20 contracts of the inventory. </w:t>
      </w:r>
    </w:p>
  </w:footnote>
  <w:footnote w:id="74">
    <w:p w:rsidR="005D72C2" w:rsidRPr="00E601AA" w:rsidRDefault="005D72C2" w:rsidP="00A23C41">
      <w:pPr>
        <w:pStyle w:val="Testonotaapidipagina"/>
        <w:spacing w:before="0" w:after="0"/>
        <w:rPr>
          <w:rFonts w:ascii="Arial" w:hAnsi="Arial" w:cs="Arial"/>
          <w:sz w:val="16"/>
          <w:szCs w:val="16"/>
        </w:rPr>
      </w:pPr>
      <w:r w:rsidRPr="00E601AA">
        <w:rPr>
          <w:rStyle w:val="Rimandonotaapidipagina"/>
          <w:rFonts w:ascii="Arial" w:hAnsi="Arial" w:cs="Arial"/>
          <w:sz w:val="16"/>
          <w:szCs w:val="16"/>
        </w:rPr>
        <w:footnoteRef/>
      </w:r>
      <w:r w:rsidRPr="00E601AA">
        <w:rPr>
          <w:rFonts w:ascii="Arial" w:hAnsi="Arial" w:cs="Arial"/>
          <w:sz w:val="16"/>
          <w:szCs w:val="16"/>
        </w:rPr>
        <w:t xml:space="preserve"> ENPI is an instrument introduced in 2007 replacing MED and TACIS and funding both bilateral and regional </w:t>
      </w:r>
      <w:proofErr w:type="spellStart"/>
      <w:r w:rsidRPr="00E601AA">
        <w:rPr>
          <w:rFonts w:ascii="Arial" w:hAnsi="Arial" w:cs="Arial"/>
          <w:sz w:val="16"/>
          <w:szCs w:val="16"/>
        </w:rPr>
        <w:t>programmes</w:t>
      </w:r>
      <w:proofErr w:type="spellEnd"/>
    </w:p>
  </w:footnote>
  <w:footnote w:id="75">
    <w:p w:rsidR="005D72C2" w:rsidRPr="00E601AA" w:rsidRDefault="005D72C2" w:rsidP="00A23C41">
      <w:pPr>
        <w:pStyle w:val="Testonotaapidipagina"/>
        <w:spacing w:before="0" w:after="0"/>
        <w:rPr>
          <w:rFonts w:ascii="Arial" w:hAnsi="Arial" w:cs="Arial"/>
          <w:sz w:val="16"/>
          <w:szCs w:val="16"/>
        </w:rPr>
      </w:pPr>
      <w:r w:rsidRPr="00E601AA">
        <w:rPr>
          <w:rStyle w:val="Rimandonotaapidipagina"/>
          <w:rFonts w:ascii="Arial" w:hAnsi="Arial" w:cs="Arial"/>
          <w:sz w:val="16"/>
          <w:szCs w:val="16"/>
        </w:rPr>
        <w:footnoteRef/>
      </w:r>
      <w:r w:rsidRPr="00E601AA">
        <w:rPr>
          <w:rFonts w:ascii="Arial" w:hAnsi="Arial" w:cs="Arial"/>
          <w:sz w:val="16"/>
          <w:szCs w:val="16"/>
        </w:rPr>
        <w:t xml:space="preserve"> Multi country interventions refer to contracts belonging to decisions having as </w:t>
      </w:r>
      <w:r w:rsidRPr="00E601AA">
        <w:rPr>
          <w:rFonts w:ascii="Arial" w:hAnsi="Arial" w:cs="Arial"/>
          <w:i/>
          <w:sz w:val="16"/>
          <w:szCs w:val="16"/>
        </w:rPr>
        <w:t>zone benefitting the action</w:t>
      </w:r>
      <w:r w:rsidRPr="00E601AA">
        <w:rPr>
          <w:rFonts w:ascii="Arial" w:hAnsi="Arial" w:cs="Arial"/>
          <w:sz w:val="16"/>
          <w:szCs w:val="16"/>
        </w:rPr>
        <w:t xml:space="preserve"> "all countries". This means that the decisions so not specify the geographical specification but at contract level the geographic destination of funds is specified and in the inventory only contracts dealing with Palestine are included. </w:t>
      </w:r>
    </w:p>
  </w:footnote>
  <w:footnote w:id="76">
    <w:p w:rsidR="005D72C2" w:rsidRPr="00E601AA" w:rsidRDefault="005D72C2" w:rsidP="00A23C41">
      <w:pPr>
        <w:pStyle w:val="Testonotaapidipagina"/>
        <w:spacing w:before="0" w:after="0"/>
        <w:rPr>
          <w:rFonts w:ascii="Arial" w:hAnsi="Arial" w:cs="Arial"/>
          <w:sz w:val="16"/>
          <w:szCs w:val="16"/>
          <w:lang w:val="en-GB"/>
        </w:rPr>
      </w:pPr>
      <w:r w:rsidRPr="00E601AA">
        <w:rPr>
          <w:rStyle w:val="Rimandonotaapidipagina"/>
          <w:rFonts w:ascii="Arial" w:hAnsi="Arial" w:cs="Arial"/>
          <w:sz w:val="16"/>
          <w:szCs w:val="16"/>
        </w:rPr>
        <w:footnoteRef/>
      </w:r>
      <w:r w:rsidRPr="00E601AA">
        <w:rPr>
          <w:rFonts w:ascii="Arial" w:hAnsi="Arial" w:cs="Arial"/>
          <w:sz w:val="16"/>
          <w:szCs w:val="16"/>
        </w:rPr>
        <w:t xml:space="preserve"> As per DWH/CRIS definition DCI-FOOD is the domain/funding instrument that supports the Food Security Thematic </w:t>
      </w:r>
      <w:proofErr w:type="spellStart"/>
      <w:r w:rsidRPr="00E601AA">
        <w:rPr>
          <w:rFonts w:ascii="Arial" w:hAnsi="Arial" w:cs="Arial"/>
          <w:sz w:val="16"/>
          <w:szCs w:val="16"/>
        </w:rPr>
        <w:t>Programme</w:t>
      </w:r>
      <w:proofErr w:type="spellEnd"/>
      <w:r w:rsidRPr="00E601AA">
        <w:rPr>
          <w:rFonts w:ascii="Arial" w:hAnsi="Arial" w:cs="Arial"/>
          <w:sz w:val="16"/>
          <w:szCs w:val="16"/>
        </w:rPr>
        <w:t xml:space="preserve"> (FSTP) but also emergency measures not covered by strategic papers, Food Facility </w:t>
      </w:r>
      <w:proofErr w:type="spellStart"/>
      <w:r w:rsidRPr="00E601AA">
        <w:rPr>
          <w:rFonts w:ascii="Arial" w:hAnsi="Arial" w:cs="Arial"/>
          <w:sz w:val="16"/>
          <w:szCs w:val="16"/>
        </w:rPr>
        <w:t>programmes</w:t>
      </w:r>
      <w:proofErr w:type="spellEnd"/>
      <w:r w:rsidRPr="00E601AA">
        <w:rPr>
          <w:rFonts w:ascii="Arial" w:hAnsi="Arial" w:cs="Arial"/>
          <w:sz w:val="16"/>
          <w:szCs w:val="16"/>
        </w:rPr>
        <w:t xml:space="preserve"> and also UNRWA Food Security Contribution Agreements. </w:t>
      </w:r>
    </w:p>
  </w:footnote>
  <w:footnote w:id="77">
    <w:p w:rsidR="005D72C2" w:rsidRPr="00E601AA" w:rsidRDefault="005D72C2" w:rsidP="00A23C41">
      <w:pPr>
        <w:pStyle w:val="Testonotaapidipagina"/>
        <w:spacing w:before="0" w:after="0"/>
        <w:rPr>
          <w:rFonts w:ascii="Arial" w:hAnsi="Arial" w:cs="Arial"/>
          <w:sz w:val="16"/>
          <w:szCs w:val="16"/>
        </w:rPr>
      </w:pPr>
      <w:r w:rsidRPr="00E601AA">
        <w:rPr>
          <w:rStyle w:val="Rimandonotaapidipagina"/>
          <w:rFonts w:ascii="Arial" w:hAnsi="Arial" w:cs="Arial"/>
          <w:sz w:val="16"/>
          <w:szCs w:val="16"/>
        </w:rPr>
        <w:footnoteRef/>
      </w:r>
      <w:r w:rsidRPr="00E601AA">
        <w:rPr>
          <w:rFonts w:ascii="Arial" w:hAnsi="Arial" w:cs="Arial"/>
          <w:sz w:val="16"/>
          <w:szCs w:val="16"/>
        </w:rPr>
        <w:t xml:space="preserve"> This category includes those contracts which the corresponding decision was not possible to find, therefore it is unclear under what kind of cooperation they belong to. </w:t>
      </w:r>
    </w:p>
  </w:footnote>
  <w:footnote w:id="78">
    <w:p w:rsidR="005D72C2" w:rsidRPr="00E601AA" w:rsidRDefault="005D72C2" w:rsidP="00A23C41">
      <w:pPr>
        <w:pStyle w:val="Testonotaapidipagina"/>
        <w:spacing w:before="0" w:after="0"/>
        <w:rPr>
          <w:rFonts w:ascii="Arial" w:hAnsi="Arial" w:cs="Arial"/>
          <w:sz w:val="16"/>
          <w:szCs w:val="16"/>
          <w:lang w:val="en-GB"/>
        </w:rPr>
      </w:pPr>
      <w:r w:rsidRPr="00E601AA">
        <w:rPr>
          <w:rStyle w:val="Rimandonotaapidipagina"/>
          <w:rFonts w:ascii="Arial" w:hAnsi="Arial" w:cs="Arial"/>
          <w:sz w:val="16"/>
          <w:szCs w:val="16"/>
        </w:rPr>
        <w:footnoteRef/>
      </w:r>
      <w:r w:rsidRPr="00E601AA">
        <w:rPr>
          <w:rFonts w:ascii="Arial" w:hAnsi="Arial" w:cs="Arial"/>
          <w:sz w:val="16"/>
          <w:szCs w:val="16"/>
        </w:rPr>
        <w:t xml:space="preserve"> The PEGASE </w:t>
      </w:r>
      <w:r w:rsidRPr="00E601AA">
        <w:rPr>
          <w:rFonts w:ascii="Arial" w:hAnsi="Arial" w:cs="Arial"/>
          <w:sz w:val="16"/>
          <w:szCs w:val="16"/>
          <w:lang w:val="en-GB"/>
        </w:rPr>
        <w:t>Development Cooperation component is defined by the Evaluation of PEGASE 2008-2011 carried out by  Business and Strategies Europe Consortium, which states in page 7 "EU PEGASE Programme...includes the PEGASE Direct Financial Support (DFS) mechanism and the comprehensive programme of development assistance, covering the four sectors set out in the PRDP (i.e. governance, economy, infrastructures, and social) through PEGASE-Governance, PEGASE-Social, PEGASE-Infrastructure, and PEGASE - Private Sector, deployed by the Office of the European Union Representative (West Bank and Gaza Strip)".</w:t>
      </w:r>
    </w:p>
  </w:footnote>
  <w:footnote w:id="79">
    <w:p w:rsidR="005D72C2" w:rsidRPr="00625324" w:rsidRDefault="005D72C2" w:rsidP="00A23C41">
      <w:pPr>
        <w:pStyle w:val="Testonotaapidipagina"/>
        <w:spacing w:before="0" w:after="0"/>
        <w:rPr>
          <w:rFonts w:ascii="Arial" w:hAnsi="Arial" w:cs="Arial"/>
          <w:sz w:val="16"/>
          <w:szCs w:val="16"/>
          <w:lang w:val="en-GB"/>
        </w:rPr>
      </w:pPr>
      <w:r w:rsidRPr="00E601AA">
        <w:rPr>
          <w:rStyle w:val="Rimandonotaapidipagina"/>
          <w:rFonts w:ascii="Arial" w:hAnsi="Arial" w:cs="Arial"/>
          <w:sz w:val="16"/>
          <w:szCs w:val="16"/>
        </w:rPr>
        <w:footnoteRef/>
      </w:r>
      <w:r w:rsidRPr="00E601AA">
        <w:rPr>
          <w:rFonts w:ascii="Arial" w:hAnsi="Arial" w:cs="Arial"/>
          <w:sz w:val="16"/>
          <w:szCs w:val="16"/>
        </w:rPr>
        <w:t xml:space="preserve"> Track 1 includes CSP (</w:t>
      </w:r>
      <w:r w:rsidRPr="00E601AA">
        <w:rPr>
          <w:rFonts w:ascii="Arial" w:hAnsi="Arial" w:cs="Arial"/>
          <w:sz w:val="16"/>
          <w:szCs w:val="16"/>
          <w:lang w:val="en-GB"/>
        </w:rPr>
        <w:t xml:space="preserve">Support to Civil Servants and Pensioner), VPF (Vulnerable Palestinian Families), SEPS (Support to Essential </w:t>
      </w:r>
      <w:r w:rsidRPr="00625324">
        <w:rPr>
          <w:rFonts w:ascii="Arial" w:hAnsi="Arial" w:cs="Arial"/>
          <w:sz w:val="16"/>
          <w:szCs w:val="16"/>
          <w:lang w:val="en-GB"/>
        </w:rPr>
        <w:t>Services), PSD includes support to “Private sector arrears''</w:t>
      </w:r>
      <w:r>
        <w:rPr>
          <w:rFonts w:ascii="Arial" w:hAnsi="Arial" w:cs="Arial"/>
          <w:sz w:val="16"/>
          <w:szCs w:val="16"/>
          <w:lang w:val="en-GB"/>
        </w:rPr>
        <w:t xml:space="preserve"> and</w:t>
      </w:r>
      <w:r w:rsidRPr="00625324">
        <w:rPr>
          <w:rFonts w:ascii="Arial" w:hAnsi="Arial" w:cs="Arial"/>
          <w:sz w:val="16"/>
          <w:szCs w:val="16"/>
          <w:lang w:val="en-GB"/>
        </w:rPr>
        <w:t xml:space="preserve"> CPD (Support to the Palestinian Civil Police)</w:t>
      </w:r>
    </w:p>
  </w:footnote>
  <w:footnote w:id="80">
    <w:p w:rsidR="005D72C2" w:rsidRPr="00625324" w:rsidRDefault="005D72C2" w:rsidP="000B20B1">
      <w:pPr>
        <w:spacing w:before="0" w:after="0"/>
        <w:rPr>
          <w:rFonts w:ascii="Arial" w:hAnsi="Arial" w:cs="Arial"/>
          <w:sz w:val="16"/>
          <w:szCs w:val="16"/>
        </w:rPr>
      </w:pPr>
      <w:r w:rsidRPr="00625324">
        <w:rPr>
          <w:rStyle w:val="Rimandonotaapidipagina"/>
          <w:rFonts w:ascii="Arial" w:hAnsi="Arial" w:cs="Arial"/>
          <w:sz w:val="16"/>
          <w:szCs w:val="16"/>
        </w:rPr>
        <w:footnoteRef/>
      </w:r>
      <w:r w:rsidRPr="00625324">
        <w:rPr>
          <w:rFonts w:ascii="Arial" w:hAnsi="Arial" w:cs="Arial"/>
          <w:sz w:val="16"/>
          <w:szCs w:val="16"/>
        </w:rPr>
        <w:t xml:space="preserve"> </w:t>
      </w:r>
      <w:r w:rsidRPr="00625324">
        <w:rPr>
          <w:rFonts w:ascii="Arial" w:hAnsi="Arial" w:cs="Arial"/>
          <w:sz w:val="16"/>
          <w:szCs w:val="16"/>
          <w:lang w:val="en-GB"/>
        </w:rPr>
        <w:t>PEGASEDFS – GLOBAL includes contracts referring to DFS interventions without a clear component destination</w:t>
      </w:r>
    </w:p>
  </w:footnote>
  <w:footnote w:id="81">
    <w:p w:rsidR="005D72C2" w:rsidRPr="00625324" w:rsidRDefault="005D72C2" w:rsidP="00A23C41">
      <w:pPr>
        <w:pStyle w:val="Testonotaapidipagina"/>
        <w:spacing w:before="0" w:after="0"/>
        <w:rPr>
          <w:rFonts w:ascii="Arial" w:hAnsi="Arial" w:cs="Arial"/>
          <w:sz w:val="16"/>
          <w:szCs w:val="16"/>
        </w:rPr>
      </w:pPr>
      <w:r w:rsidRPr="00625324">
        <w:rPr>
          <w:rFonts w:ascii="Arial" w:hAnsi="Arial" w:cs="Arial"/>
          <w:sz w:val="16"/>
          <w:szCs w:val="16"/>
          <w:vertAlign w:val="superscript"/>
        </w:rPr>
        <w:footnoteRef/>
      </w:r>
      <w:r w:rsidRPr="00625324">
        <w:rPr>
          <w:rFonts w:ascii="Arial" w:hAnsi="Arial" w:cs="Arial"/>
          <w:sz w:val="16"/>
          <w:szCs w:val="16"/>
          <w:lang w:val="en-GB"/>
        </w:rPr>
        <w:t xml:space="preserve"> Contracts funded by MED refer to interventions emanated by decisions issued before 2007 when ENPI, which replaced that instrument, entered into force.</w:t>
      </w:r>
    </w:p>
  </w:footnote>
  <w:footnote w:id="82">
    <w:p w:rsidR="005D72C2" w:rsidRPr="00625324" w:rsidRDefault="005D72C2" w:rsidP="00A23C41">
      <w:pPr>
        <w:pStyle w:val="Testonotaapidipagina"/>
        <w:spacing w:before="0" w:after="0"/>
        <w:rPr>
          <w:rFonts w:ascii="Arial" w:hAnsi="Arial" w:cs="Arial"/>
          <w:sz w:val="16"/>
          <w:szCs w:val="16"/>
          <w:lang w:val="en-GB"/>
        </w:rPr>
      </w:pPr>
      <w:r w:rsidRPr="00625324">
        <w:rPr>
          <w:rStyle w:val="Rimandonotaapidipagina"/>
          <w:rFonts w:ascii="Arial" w:hAnsi="Arial" w:cs="Arial"/>
          <w:sz w:val="16"/>
          <w:szCs w:val="16"/>
        </w:rPr>
        <w:footnoteRef/>
      </w:r>
      <w:r w:rsidRPr="00625324">
        <w:rPr>
          <w:rFonts w:ascii="Arial" w:hAnsi="Arial" w:cs="Arial"/>
          <w:sz w:val="16"/>
          <w:szCs w:val="16"/>
        </w:rPr>
        <w:t xml:space="preserve"> </w:t>
      </w:r>
      <w:r w:rsidRPr="00625324">
        <w:rPr>
          <w:rFonts w:ascii="Arial" w:hAnsi="Arial" w:cs="Arial"/>
          <w:sz w:val="16"/>
          <w:szCs w:val="16"/>
          <w:lang w:val="en-GB"/>
        </w:rPr>
        <w:t xml:space="preserve">ENPI includes both contracts falling under the Bilateral and Regional Cooperation, however, the Regional Cooperation receives only €25M, accounting for 1,2% of the total funds pledged under ENPI. </w:t>
      </w:r>
    </w:p>
  </w:footnote>
  <w:footnote w:id="83">
    <w:p w:rsidR="005D72C2" w:rsidRPr="00625324" w:rsidRDefault="005D72C2" w:rsidP="00A23C41">
      <w:pPr>
        <w:pStyle w:val="Testonotaapidipagina"/>
        <w:spacing w:before="0" w:after="0"/>
        <w:rPr>
          <w:rFonts w:ascii="Arial" w:hAnsi="Arial" w:cs="Arial"/>
          <w:sz w:val="16"/>
          <w:szCs w:val="16"/>
        </w:rPr>
      </w:pPr>
      <w:r w:rsidRPr="00625324">
        <w:rPr>
          <w:rStyle w:val="Rimandonotaapidipagina"/>
          <w:rFonts w:ascii="Arial" w:hAnsi="Arial" w:cs="Arial"/>
          <w:sz w:val="16"/>
          <w:szCs w:val="16"/>
        </w:rPr>
        <w:footnoteRef/>
      </w:r>
      <w:r w:rsidRPr="00625324">
        <w:rPr>
          <w:rFonts w:ascii="Arial" w:hAnsi="Arial" w:cs="Arial"/>
          <w:sz w:val="16"/>
          <w:szCs w:val="16"/>
        </w:rPr>
        <w:t xml:space="preserve"> </w:t>
      </w:r>
      <w:r w:rsidRPr="00625324">
        <w:rPr>
          <w:rFonts w:ascii="Arial" w:hAnsi="Arial" w:cs="Arial"/>
          <w:sz w:val="16"/>
          <w:szCs w:val="16"/>
          <w:lang w:val="en-GB"/>
        </w:rPr>
        <w:t xml:space="preserve">Instrument for Stability - </w:t>
      </w:r>
      <w:hyperlink r:id="rId1" w:tooltip="European Union rapid reaction mechanism" w:history="1">
        <w:r w:rsidRPr="00625324">
          <w:rPr>
            <w:rFonts w:ascii="Arial" w:hAnsi="Arial" w:cs="Arial"/>
            <w:sz w:val="16"/>
            <w:szCs w:val="16"/>
            <w:lang w:val="en-GB"/>
          </w:rPr>
          <w:t>Rapid Reaction Mechanism</w:t>
        </w:r>
      </w:hyperlink>
    </w:p>
  </w:footnote>
  <w:footnote w:id="84">
    <w:p w:rsidR="005D72C2" w:rsidRPr="00E601AA" w:rsidRDefault="005D72C2" w:rsidP="00A23C41">
      <w:pPr>
        <w:pStyle w:val="Testonotaapidipagina"/>
        <w:spacing w:before="0" w:after="0"/>
        <w:rPr>
          <w:rFonts w:ascii="Arial" w:hAnsi="Arial" w:cs="Arial"/>
          <w:sz w:val="16"/>
          <w:szCs w:val="16"/>
        </w:rPr>
      </w:pPr>
      <w:r w:rsidRPr="00625324">
        <w:rPr>
          <w:rStyle w:val="Rimandonotaapidipagina"/>
          <w:rFonts w:ascii="Arial" w:hAnsi="Arial" w:cs="Arial"/>
          <w:sz w:val="16"/>
          <w:szCs w:val="16"/>
        </w:rPr>
        <w:footnoteRef/>
      </w:r>
      <w:r w:rsidRPr="00625324">
        <w:rPr>
          <w:rFonts w:ascii="Arial" w:hAnsi="Arial" w:cs="Arial"/>
          <w:sz w:val="16"/>
          <w:szCs w:val="16"/>
        </w:rPr>
        <w:t xml:space="preserve"> </w:t>
      </w:r>
      <w:r w:rsidRPr="00625324">
        <w:rPr>
          <w:rFonts w:ascii="Arial" w:hAnsi="Arial" w:cs="Arial"/>
          <w:sz w:val="16"/>
          <w:szCs w:val="16"/>
          <w:lang w:val="en-GB"/>
        </w:rPr>
        <w:t>Non-State Actors and Local Authorities in Development</w:t>
      </w:r>
    </w:p>
  </w:footnote>
  <w:footnote w:id="85">
    <w:p w:rsidR="005D72C2" w:rsidRPr="00E601AA" w:rsidRDefault="005D72C2" w:rsidP="00A23C41">
      <w:pPr>
        <w:pStyle w:val="Testonotaapidipagina"/>
        <w:spacing w:before="0" w:after="0"/>
        <w:rPr>
          <w:rFonts w:ascii="Arial" w:hAnsi="Arial" w:cs="Arial"/>
          <w:sz w:val="16"/>
          <w:szCs w:val="16"/>
          <w:lang w:val="en-GB"/>
        </w:rPr>
      </w:pPr>
      <w:r w:rsidRPr="00E601AA">
        <w:rPr>
          <w:rStyle w:val="Rimandonotaapidipagina"/>
          <w:rFonts w:ascii="Arial" w:hAnsi="Arial" w:cs="Arial"/>
          <w:sz w:val="16"/>
          <w:szCs w:val="16"/>
        </w:rPr>
        <w:footnoteRef/>
      </w:r>
      <w:r w:rsidRPr="00E601AA">
        <w:rPr>
          <w:rFonts w:ascii="Arial" w:hAnsi="Arial" w:cs="Arial"/>
          <w:sz w:val="16"/>
          <w:szCs w:val="16"/>
        </w:rPr>
        <w:t xml:space="preserve"> </w:t>
      </w:r>
      <w:r w:rsidRPr="00E601AA">
        <w:rPr>
          <w:rFonts w:ascii="Arial" w:hAnsi="Arial" w:cs="Arial"/>
          <w:sz w:val="16"/>
          <w:szCs w:val="16"/>
          <w:lang w:val="en-GB"/>
        </w:rPr>
        <w:t>For a detailed description of the sector and corresponding sub-sectors refer to table 2 of the methodology.</w:t>
      </w:r>
    </w:p>
  </w:footnote>
  <w:footnote w:id="86">
    <w:p w:rsidR="005D72C2" w:rsidRPr="00E601AA" w:rsidRDefault="005D72C2" w:rsidP="00A23C41">
      <w:pPr>
        <w:pStyle w:val="Testonotaapidipagina"/>
        <w:spacing w:before="0" w:after="0"/>
        <w:rPr>
          <w:rFonts w:ascii="Arial" w:hAnsi="Arial" w:cs="Arial"/>
          <w:sz w:val="16"/>
          <w:szCs w:val="16"/>
        </w:rPr>
      </w:pPr>
      <w:r w:rsidRPr="00E601AA">
        <w:rPr>
          <w:rStyle w:val="Rimandonotaapidipagina"/>
          <w:rFonts w:ascii="Arial" w:hAnsi="Arial" w:cs="Arial"/>
          <w:sz w:val="16"/>
          <w:szCs w:val="16"/>
        </w:rPr>
        <w:footnoteRef/>
      </w:r>
      <w:r w:rsidRPr="00E601AA">
        <w:rPr>
          <w:rFonts w:ascii="Arial" w:hAnsi="Arial" w:cs="Arial"/>
          <w:sz w:val="16"/>
          <w:szCs w:val="16"/>
        </w:rPr>
        <w:t xml:space="preserve">The contributions to UNRWA are in general </w:t>
      </w:r>
      <w:proofErr w:type="spellStart"/>
      <w:r w:rsidRPr="00E601AA">
        <w:rPr>
          <w:rFonts w:ascii="Arial" w:hAnsi="Arial" w:cs="Arial"/>
          <w:sz w:val="16"/>
          <w:szCs w:val="16"/>
        </w:rPr>
        <w:t>multisectoral</w:t>
      </w:r>
      <w:proofErr w:type="spellEnd"/>
      <w:r w:rsidRPr="00E601AA">
        <w:rPr>
          <w:rFonts w:ascii="Arial" w:hAnsi="Arial" w:cs="Arial"/>
          <w:sz w:val="16"/>
          <w:szCs w:val="16"/>
        </w:rPr>
        <w:t xml:space="preserve"> and correspond to activities under three main sub-sectors: education, health and social services. However, the contracts do not allow to differentiate the amounts related to each particular sub-sector, therefore, the team has decided to dived this amounts following the percentages between sectors as shown in the Annual Report to UNGA.</w:t>
      </w:r>
    </w:p>
  </w:footnote>
  <w:footnote w:id="87">
    <w:p w:rsidR="005D72C2" w:rsidRPr="00E601AA" w:rsidRDefault="005D72C2" w:rsidP="00A23C41">
      <w:pPr>
        <w:pStyle w:val="Testonotaapidipagina"/>
        <w:spacing w:before="0" w:after="0"/>
        <w:rPr>
          <w:rFonts w:ascii="Arial" w:hAnsi="Arial" w:cs="Arial"/>
          <w:sz w:val="16"/>
          <w:szCs w:val="16"/>
        </w:rPr>
      </w:pPr>
      <w:r w:rsidRPr="00E601AA">
        <w:rPr>
          <w:rStyle w:val="Rimandonotaapidipagina"/>
          <w:rFonts w:ascii="Arial" w:hAnsi="Arial" w:cs="Arial"/>
          <w:sz w:val="16"/>
          <w:szCs w:val="16"/>
        </w:rPr>
        <w:footnoteRef/>
      </w:r>
      <w:r w:rsidRPr="00E601AA">
        <w:rPr>
          <w:rFonts w:ascii="Arial" w:hAnsi="Arial" w:cs="Arial"/>
          <w:sz w:val="16"/>
          <w:szCs w:val="16"/>
        </w:rPr>
        <w:t xml:space="preserve"> Exchange rate of February  2014 (http//:ec.europa.eu/budget/</w:t>
      </w:r>
      <w:proofErr w:type="spellStart"/>
      <w:r w:rsidRPr="00E601AA">
        <w:rPr>
          <w:rFonts w:ascii="Arial" w:hAnsi="Arial" w:cs="Arial"/>
          <w:sz w:val="16"/>
          <w:szCs w:val="16"/>
        </w:rPr>
        <w:t>inforeuro</w:t>
      </w:r>
      <w:proofErr w:type="spellEnd"/>
      <w:r w:rsidRPr="00E601AA">
        <w:rPr>
          <w:rFonts w:ascii="Arial" w:hAnsi="Arial" w:cs="Arial"/>
          <w:sz w:val="16"/>
          <w:szCs w:val="16"/>
        </w:rPr>
        <w:t xml:space="preserve">)  </w:t>
      </w:r>
    </w:p>
  </w:footnote>
  <w:footnote w:id="88">
    <w:p w:rsidR="005D72C2" w:rsidRPr="00625324" w:rsidRDefault="005D72C2" w:rsidP="00862706">
      <w:pPr>
        <w:pStyle w:val="Testonotaapidipagina"/>
        <w:spacing w:before="0" w:after="0"/>
        <w:rPr>
          <w:rFonts w:ascii="Arial" w:hAnsi="Arial" w:cs="Arial"/>
          <w:sz w:val="16"/>
          <w:szCs w:val="16"/>
        </w:rPr>
      </w:pPr>
      <w:r w:rsidRPr="00625324">
        <w:rPr>
          <w:rStyle w:val="Rimandonotaapidipagina"/>
          <w:rFonts w:ascii="Arial" w:hAnsi="Arial" w:cs="Arial"/>
          <w:sz w:val="16"/>
          <w:szCs w:val="16"/>
        </w:rPr>
        <w:footnoteRef/>
      </w:r>
      <w:r w:rsidRPr="00625324">
        <w:rPr>
          <w:rFonts w:ascii="Arial" w:hAnsi="Arial" w:cs="Arial"/>
          <w:sz w:val="16"/>
          <w:szCs w:val="16"/>
        </w:rPr>
        <w:t xml:space="preserve"> The Decisions presented do not include those decisions falling under years out of the scope of the evaluation. However, contracts belonging to those Decision are included in the inventory.</w:t>
      </w:r>
    </w:p>
  </w:footnote>
  <w:footnote w:id="89">
    <w:p w:rsidR="005D72C2" w:rsidRPr="000102DC" w:rsidRDefault="005D72C2" w:rsidP="00862706">
      <w:pPr>
        <w:pStyle w:val="Testonotaapidipagina"/>
        <w:spacing w:before="0" w:after="0"/>
      </w:pPr>
      <w:r w:rsidRPr="00625324">
        <w:rPr>
          <w:rStyle w:val="Rimandonotaapidipagina"/>
          <w:rFonts w:ascii="Arial" w:hAnsi="Arial" w:cs="Arial"/>
          <w:sz w:val="16"/>
          <w:szCs w:val="16"/>
        </w:rPr>
        <w:footnoteRef/>
      </w:r>
      <w:r w:rsidRPr="00625324">
        <w:rPr>
          <w:rFonts w:ascii="Arial" w:hAnsi="Arial" w:cs="Arial"/>
          <w:sz w:val="16"/>
          <w:szCs w:val="16"/>
        </w:rPr>
        <w:t xml:space="preserve"> The allocated amount of the Regional and Multi-country/Thematic decision have been substituted with the contracted amount since the original allocated amount refers to interventions covering more countries and regions and it is not possible at this stage to reconstruct the allocated amount for each contract.</w:t>
      </w:r>
      <w:r>
        <w:t xml:space="preserve"> </w:t>
      </w:r>
    </w:p>
  </w:footnote>
  <w:footnote w:id="90">
    <w:p w:rsidR="005D72C2" w:rsidRPr="008C776A" w:rsidRDefault="005D72C2" w:rsidP="008C776A">
      <w:pPr>
        <w:pStyle w:val="Testonotaapidipagina"/>
        <w:spacing w:before="0" w:after="0"/>
        <w:rPr>
          <w:rFonts w:ascii="Arial" w:hAnsi="Arial" w:cs="Arial"/>
          <w:sz w:val="16"/>
          <w:szCs w:val="16"/>
        </w:rPr>
      </w:pPr>
      <w:r>
        <w:rPr>
          <w:rStyle w:val="Rimandonotaapidipagina"/>
        </w:rPr>
        <w:footnoteRef/>
      </w:r>
      <w:r>
        <w:t xml:space="preserve"> </w:t>
      </w:r>
      <w:r w:rsidRPr="008C776A">
        <w:rPr>
          <w:rFonts w:ascii="Arial" w:hAnsi="Arial" w:cs="Arial"/>
          <w:sz w:val="16"/>
          <w:szCs w:val="16"/>
        </w:rPr>
        <w:t xml:space="preserve">The allocated amount in the spreadsheet </w:t>
      </w:r>
      <w:r>
        <w:rPr>
          <w:rFonts w:ascii="Arial" w:hAnsi="Arial" w:cs="Arial"/>
          <w:sz w:val="16"/>
          <w:szCs w:val="16"/>
        </w:rPr>
        <w:t>refers to the glob</w:t>
      </w:r>
      <w:r w:rsidRPr="008C776A">
        <w:rPr>
          <w:rFonts w:ascii="Arial" w:hAnsi="Arial" w:cs="Arial"/>
          <w:sz w:val="16"/>
          <w:szCs w:val="16"/>
        </w:rPr>
        <w:t>al commitment at decision level</w:t>
      </w:r>
      <w:r>
        <w:rPr>
          <w:rFonts w:ascii="Arial" w:hAnsi="Arial" w:cs="Arial"/>
          <w:sz w:val="16"/>
          <w:szCs w:val="16"/>
        </w:rPr>
        <w:t>,</w:t>
      </w:r>
      <w:r w:rsidRPr="008C776A">
        <w:rPr>
          <w:rFonts w:ascii="Arial" w:hAnsi="Arial" w:cs="Arial"/>
          <w:sz w:val="16"/>
          <w:szCs w:val="16"/>
        </w:rPr>
        <w:t xml:space="preserve"> the </w:t>
      </w:r>
      <w:r w:rsidR="00444DFA">
        <w:rPr>
          <w:rFonts w:ascii="Arial" w:hAnsi="Arial" w:cs="Arial"/>
          <w:sz w:val="16"/>
          <w:szCs w:val="16"/>
        </w:rPr>
        <w:t>committed</w:t>
      </w:r>
      <w:r w:rsidRPr="008C776A">
        <w:rPr>
          <w:rFonts w:ascii="Arial" w:hAnsi="Arial" w:cs="Arial"/>
          <w:sz w:val="16"/>
          <w:szCs w:val="16"/>
        </w:rPr>
        <w:t xml:space="preserve"> amount is the corresponding amount of each single contract </w:t>
      </w:r>
      <w:r>
        <w:rPr>
          <w:rFonts w:ascii="Arial" w:hAnsi="Arial" w:cs="Arial"/>
          <w:sz w:val="16"/>
          <w:szCs w:val="16"/>
        </w:rPr>
        <w:t>under the relevant decision</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72C2" w:rsidRPr="003B7864" w:rsidRDefault="005D72C2" w:rsidP="004D3D6D">
    <w:pPr>
      <w:pStyle w:val="Intestazione"/>
      <w:pBdr>
        <w:bottom w:val="single" w:sz="4" w:space="1" w:color="auto"/>
      </w:pBdr>
      <w:tabs>
        <w:tab w:val="right" w:pos="9356"/>
      </w:tabs>
      <w:rPr>
        <w:rFonts w:ascii="Times New Roman" w:hAnsi="Times New Roman"/>
        <w:sz w:val="14"/>
        <w:szCs w:val="14"/>
      </w:rPr>
    </w:pPr>
    <w:r w:rsidRPr="003B7864">
      <w:rPr>
        <w:rFonts w:ascii="Times New Roman" w:hAnsi="Times New Roman"/>
        <w:sz w:val="14"/>
        <w:szCs w:val="14"/>
      </w:rPr>
      <w:t>DRN-ECDPM-ECORYS-PARTICIP</w:t>
    </w:r>
  </w:p>
  <w:p w:rsidR="005D72C2" w:rsidRPr="003B7864" w:rsidRDefault="005D72C2" w:rsidP="004D3D6D">
    <w:pPr>
      <w:spacing w:before="0" w:after="0"/>
      <w:jc w:val="left"/>
      <w:rPr>
        <w:rFonts w:ascii="Times New Roman" w:hAnsi="Times New Roman"/>
        <w:sz w:val="18"/>
        <w:szCs w:val="18"/>
      </w:rPr>
    </w:pPr>
    <w:r w:rsidRPr="003B7864">
      <w:rPr>
        <w:rFonts w:ascii="Times New Roman" w:hAnsi="Times New Roman"/>
        <w:sz w:val="18"/>
        <w:szCs w:val="18"/>
      </w:rPr>
      <w:t xml:space="preserve">Evaluation </w:t>
    </w:r>
    <w:r>
      <w:rPr>
        <w:rFonts w:ascii="Times New Roman" w:hAnsi="Times New Roman"/>
        <w:sz w:val="18"/>
        <w:szCs w:val="18"/>
      </w:rPr>
      <w:t>of the EU Cooperation with the o</w:t>
    </w:r>
    <w:r w:rsidRPr="003B7864">
      <w:rPr>
        <w:rFonts w:ascii="Times New Roman" w:hAnsi="Times New Roman"/>
        <w:sz w:val="18"/>
        <w:szCs w:val="18"/>
      </w:rPr>
      <w:t>ccupied Palestinian territory and support to the Palestinian People</w:t>
    </w:r>
  </w:p>
  <w:p w:rsidR="005D72C2" w:rsidRDefault="005D72C2" w:rsidP="004D3D6D">
    <w:pPr>
      <w:pStyle w:val="Intestazione"/>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72C2" w:rsidRPr="005E7468" w:rsidRDefault="005D72C2" w:rsidP="00A574EB">
    <w:pPr>
      <w:pStyle w:val="Intestazione"/>
      <w:pBdr>
        <w:bottom w:val="single" w:sz="4" w:space="1" w:color="auto"/>
      </w:pBdr>
      <w:tabs>
        <w:tab w:val="right" w:pos="9356"/>
      </w:tabs>
      <w:spacing w:before="0" w:after="0"/>
      <w:rPr>
        <w:rFonts w:ascii="Arial" w:hAnsi="Arial" w:cs="Arial"/>
        <w:sz w:val="14"/>
        <w:szCs w:val="14"/>
      </w:rPr>
    </w:pPr>
    <w:r w:rsidRPr="005E7468">
      <w:rPr>
        <w:rFonts w:ascii="Arial" w:hAnsi="Arial" w:cs="Arial"/>
        <w:sz w:val="14"/>
        <w:szCs w:val="14"/>
      </w:rPr>
      <w:t>DRN-ECDPM-ECORYS-PARTICIP</w:t>
    </w:r>
  </w:p>
  <w:p w:rsidR="005D72C2" w:rsidRPr="005E7468" w:rsidRDefault="005D72C2" w:rsidP="00A574EB">
    <w:pPr>
      <w:spacing w:before="0" w:after="0"/>
      <w:jc w:val="left"/>
      <w:rPr>
        <w:rFonts w:ascii="Arial" w:hAnsi="Arial" w:cs="Arial"/>
        <w:sz w:val="18"/>
        <w:szCs w:val="18"/>
      </w:rPr>
    </w:pPr>
    <w:r w:rsidRPr="005E7468">
      <w:rPr>
        <w:rFonts w:ascii="Arial" w:hAnsi="Arial" w:cs="Arial"/>
        <w:sz w:val="18"/>
        <w:szCs w:val="18"/>
      </w:rPr>
      <w:t>Evaluation of the EU Cooperation with the occupied Palestinian territory and support to the Palestinian People</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72C2" w:rsidRPr="005E7468" w:rsidRDefault="005D72C2" w:rsidP="00140882">
    <w:pPr>
      <w:pStyle w:val="Intestazione"/>
      <w:pBdr>
        <w:bottom w:val="single" w:sz="4" w:space="1" w:color="auto"/>
      </w:pBdr>
      <w:tabs>
        <w:tab w:val="right" w:pos="9356"/>
      </w:tabs>
      <w:spacing w:before="0" w:after="0"/>
      <w:rPr>
        <w:rFonts w:ascii="Arial" w:hAnsi="Arial" w:cs="Arial"/>
        <w:color w:val="244061" w:themeColor="accent1" w:themeShade="80"/>
        <w:sz w:val="14"/>
        <w:szCs w:val="14"/>
      </w:rPr>
    </w:pPr>
    <w:r w:rsidRPr="005E7468">
      <w:rPr>
        <w:rFonts w:ascii="Arial" w:hAnsi="Arial" w:cs="Arial"/>
        <w:color w:val="244061" w:themeColor="accent1" w:themeShade="80"/>
        <w:sz w:val="14"/>
        <w:szCs w:val="14"/>
      </w:rPr>
      <w:t>DRN-ECDPM-ECORYS-PARTICIP</w:t>
    </w:r>
  </w:p>
  <w:p w:rsidR="005D72C2" w:rsidRPr="005E7468" w:rsidRDefault="005D72C2" w:rsidP="00140882">
    <w:pPr>
      <w:spacing w:before="0" w:after="0"/>
      <w:jc w:val="left"/>
      <w:rPr>
        <w:rFonts w:ascii="Arial" w:hAnsi="Arial" w:cs="Arial"/>
        <w:color w:val="244061" w:themeColor="accent1" w:themeShade="80"/>
        <w:sz w:val="18"/>
        <w:szCs w:val="18"/>
      </w:rPr>
    </w:pPr>
    <w:r w:rsidRPr="005E7468">
      <w:rPr>
        <w:rFonts w:ascii="Arial" w:hAnsi="Arial" w:cs="Arial"/>
        <w:color w:val="244061" w:themeColor="accent1" w:themeShade="80"/>
        <w:sz w:val="18"/>
        <w:szCs w:val="18"/>
      </w:rPr>
      <w:t>Evaluation of the EU Cooperation with the occupied Palestinian territory and support to the Palestinian People</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85C67FE6"/>
    <w:lvl w:ilvl="0">
      <w:start w:val="1"/>
      <w:numFmt w:val="bullet"/>
      <w:pStyle w:val="Niveauducommentaire11"/>
      <w:lvlText w:val=""/>
      <w:lvlJc w:val="left"/>
      <w:pPr>
        <w:tabs>
          <w:tab w:val="num" w:pos="0"/>
        </w:tabs>
        <w:ind w:left="0" w:firstLine="0"/>
      </w:pPr>
      <w:rPr>
        <w:rFonts w:ascii="Symbol" w:hAnsi="Symbol" w:hint="default"/>
      </w:rPr>
    </w:lvl>
    <w:lvl w:ilvl="1">
      <w:start w:val="1"/>
      <w:numFmt w:val="bullet"/>
      <w:pStyle w:val="Niveauducommentaire21"/>
      <w:lvlText w:val=""/>
      <w:lvlJc w:val="left"/>
      <w:pPr>
        <w:tabs>
          <w:tab w:val="num" w:pos="720"/>
        </w:tabs>
        <w:ind w:left="1080" w:hanging="360"/>
      </w:pPr>
      <w:rPr>
        <w:rFonts w:ascii="Symbol" w:hAnsi="Symbol" w:hint="default"/>
      </w:rPr>
    </w:lvl>
    <w:lvl w:ilvl="2">
      <w:start w:val="1"/>
      <w:numFmt w:val="bullet"/>
      <w:pStyle w:val="Niveauducommentaire31"/>
      <w:lvlText w:val="o"/>
      <w:lvlJc w:val="left"/>
      <w:pPr>
        <w:tabs>
          <w:tab w:val="num" w:pos="1440"/>
        </w:tabs>
        <w:ind w:left="1800" w:hanging="360"/>
      </w:pPr>
      <w:rPr>
        <w:rFonts w:ascii="Courier New" w:hAnsi="Courier New" w:hint="default"/>
      </w:rPr>
    </w:lvl>
    <w:lvl w:ilvl="3">
      <w:start w:val="1"/>
      <w:numFmt w:val="bullet"/>
      <w:pStyle w:val="Niveauducommentaire41"/>
      <w:lvlText w:val=""/>
      <w:lvlJc w:val="left"/>
      <w:pPr>
        <w:tabs>
          <w:tab w:val="num" w:pos="2160"/>
        </w:tabs>
        <w:ind w:left="2520" w:hanging="360"/>
      </w:pPr>
      <w:rPr>
        <w:rFonts w:ascii="Wingdings" w:hAnsi="Wingdings" w:hint="default"/>
      </w:rPr>
    </w:lvl>
    <w:lvl w:ilvl="4">
      <w:start w:val="1"/>
      <w:numFmt w:val="bullet"/>
      <w:pStyle w:val="Niveauducommentaire51"/>
      <w:lvlText w:val=""/>
      <w:lvlJc w:val="left"/>
      <w:pPr>
        <w:tabs>
          <w:tab w:val="num" w:pos="2880"/>
        </w:tabs>
        <w:ind w:left="3240" w:hanging="360"/>
      </w:pPr>
      <w:rPr>
        <w:rFonts w:ascii="Wingdings" w:hAnsi="Wingdings" w:hint="default"/>
      </w:rPr>
    </w:lvl>
    <w:lvl w:ilvl="5">
      <w:start w:val="1"/>
      <w:numFmt w:val="bullet"/>
      <w:pStyle w:val="Niveauducommentaire61"/>
      <w:lvlText w:val=""/>
      <w:lvlJc w:val="left"/>
      <w:pPr>
        <w:tabs>
          <w:tab w:val="num" w:pos="3600"/>
        </w:tabs>
        <w:ind w:left="3960" w:hanging="360"/>
      </w:pPr>
      <w:rPr>
        <w:rFonts w:ascii="Symbol" w:hAnsi="Symbol" w:hint="default"/>
      </w:rPr>
    </w:lvl>
    <w:lvl w:ilvl="6">
      <w:start w:val="1"/>
      <w:numFmt w:val="bullet"/>
      <w:pStyle w:val="Niveauducommentaire71"/>
      <w:lvlText w:val="o"/>
      <w:lvlJc w:val="left"/>
      <w:pPr>
        <w:tabs>
          <w:tab w:val="num" w:pos="4320"/>
        </w:tabs>
        <w:ind w:left="4680" w:hanging="360"/>
      </w:pPr>
      <w:rPr>
        <w:rFonts w:ascii="Courier New" w:hAnsi="Courier New" w:hint="default"/>
      </w:rPr>
    </w:lvl>
    <w:lvl w:ilvl="7">
      <w:start w:val="1"/>
      <w:numFmt w:val="bullet"/>
      <w:pStyle w:val="Niveauducommentaire81"/>
      <w:lvlText w:val=""/>
      <w:lvlJc w:val="left"/>
      <w:pPr>
        <w:tabs>
          <w:tab w:val="num" w:pos="5040"/>
        </w:tabs>
        <w:ind w:left="5400" w:hanging="360"/>
      </w:pPr>
      <w:rPr>
        <w:rFonts w:ascii="Wingdings" w:hAnsi="Wingdings" w:hint="default"/>
      </w:rPr>
    </w:lvl>
    <w:lvl w:ilvl="8">
      <w:start w:val="1"/>
      <w:numFmt w:val="bullet"/>
      <w:pStyle w:val="Niveauducommentaire91"/>
      <w:lvlText w:val=""/>
      <w:lvlJc w:val="left"/>
      <w:pPr>
        <w:tabs>
          <w:tab w:val="num" w:pos="5760"/>
        </w:tabs>
        <w:ind w:left="6120" w:hanging="360"/>
      </w:pPr>
      <w:rPr>
        <w:rFonts w:ascii="Wingdings" w:hAnsi="Wingdings" w:hint="default"/>
      </w:rPr>
    </w:lvl>
  </w:abstractNum>
  <w:abstractNum w:abstractNumId="1">
    <w:nsid w:val="FFFFFF83"/>
    <w:multiLevelType w:val="singleLevel"/>
    <w:tmpl w:val="B87CDE84"/>
    <w:lvl w:ilvl="0">
      <w:start w:val="1"/>
      <w:numFmt w:val="bullet"/>
      <w:pStyle w:val="Puntoelenco2"/>
      <w:lvlText w:val=""/>
      <w:lvlJc w:val="left"/>
      <w:pPr>
        <w:tabs>
          <w:tab w:val="num" w:pos="720"/>
        </w:tabs>
        <w:ind w:left="720" w:hanging="360"/>
      </w:pPr>
      <w:rPr>
        <w:rFonts w:ascii="Symbol" w:hAnsi="Symbol" w:hint="default"/>
      </w:rPr>
    </w:lvl>
  </w:abstractNum>
  <w:abstractNum w:abstractNumId="2">
    <w:nsid w:val="00000013"/>
    <w:multiLevelType w:val="singleLevel"/>
    <w:tmpl w:val="2E6093D0"/>
    <w:lvl w:ilvl="0">
      <w:start w:val="1"/>
      <w:numFmt w:val="decimal"/>
      <w:lvlText w:val="%1."/>
      <w:lvlJc w:val="left"/>
      <w:pPr>
        <w:ind w:left="720" w:hanging="360"/>
      </w:pPr>
      <w:rPr>
        <w:rFonts w:hint="default"/>
        <w:b/>
        <w:color w:val="1F497D" w:themeColor="text2"/>
        <w:sz w:val="20"/>
      </w:rPr>
    </w:lvl>
  </w:abstractNum>
  <w:abstractNum w:abstractNumId="3">
    <w:nsid w:val="002A7B47"/>
    <w:multiLevelType w:val="singleLevel"/>
    <w:tmpl w:val="E5EE749E"/>
    <w:lvl w:ilvl="0">
      <w:start w:val="1"/>
      <w:numFmt w:val="bullet"/>
      <w:pStyle w:val="E1"/>
      <w:lvlText w:val=""/>
      <w:lvlJc w:val="left"/>
      <w:pPr>
        <w:tabs>
          <w:tab w:val="num" w:pos="360"/>
        </w:tabs>
        <w:ind w:left="284" w:hanging="284"/>
      </w:pPr>
      <w:rPr>
        <w:rFonts w:ascii="Symbol" w:hAnsi="Symbol" w:hint="default"/>
      </w:rPr>
    </w:lvl>
  </w:abstractNum>
  <w:abstractNum w:abstractNumId="4">
    <w:nsid w:val="01857738"/>
    <w:multiLevelType w:val="hybridMultilevel"/>
    <w:tmpl w:val="8AD0F362"/>
    <w:lvl w:ilvl="0" w:tplc="AE34B7DC">
      <w:start w:val="1"/>
      <w:numFmt w:val="decimal"/>
      <w:lvlText w:val="%1."/>
      <w:lvlJc w:val="left"/>
      <w:pPr>
        <w:tabs>
          <w:tab w:val="num" w:pos="170"/>
        </w:tabs>
        <w:ind w:left="170" w:hanging="17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18C769F"/>
    <w:multiLevelType w:val="hybridMultilevel"/>
    <w:tmpl w:val="E9E8FE38"/>
    <w:lvl w:ilvl="0" w:tplc="AE34B7DC">
      <w:start w:val="1"/>
      <w:numFmt w:val="decimal"/>
      <w:lvlText w:val="%1."/>
      <w:lvlJc w:val="left"/>
      <w:pPr>
        <w:tabs>
          <w:tab w:val="num" w:pos="170"/>
        </w:tabs>
        <w:ind w:left="170" w:hanging="17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3783C98"/>
    <w:multiLevelType w:val="hybridMultilevel"/>
    <w:tmpl w:val="41EC4C28"/>
    <w:lvl w:ilvl="0" w:tplc="0410000F">
      <w:start w:val="1"/>
      <w:numFmt w:val="bullet"/>
      <w:lvlText w:val=""/>
      <w:lvlJc w:val="left"/>
      <w:pPr>
        <w:ind w:left="720" w:hanging="360"/>
      </w:pPr>
      <w:rPr>
        <w:rFonts w:ascii="Wingdings" w:hAnsi="Wingdings" w:hint="default"/>
        <w:color w:val="365F91" w:themeColor="accent1" w:themeShade="BF"/>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nsid w:val="08957E13"/>
    <w:multiLevelType w:val="hybridMultilevel"/>
    <w:tmpl w:val="FD7E5012"/>
    <w:lvl w:ilvl="0" w:tplc="C93CBED2">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
    <w:nsid w:val="09A94C4A"/>
    <w:multiLevelType w:val="hybridMultilevel"/>
    <w:tmpl w:val="E32A82BA"/>
    <w:lvl w:ilvl="0" w:tplc="04100011">
      <w:start w:val="1"/>
      <w:numFmt w:val="decimal"/>
      <w:lvlText w:val="%1)"/>
      <w:lvlJc w:val="left"/>
      <w:pPr>
        <w:ind w:left="720" w:hanging="360"/>
      </w:pPr>
      <w:rPr>
        <w:rFont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nsid w:val="09D31928"/>
    <w:multiLevelType w:val="hybridMultilevel"/>
    <w:tmpl w:val="9D74EC22"/>
    <w:lvl w:ilvl="0" w:tplc="AE34B7DC">
      <w:start w:val="1"/>
      <w:numFmt w:val="decimal"/>
      <w:lvlText w:val="%1."/>
      <w:lvlJc w:val="left"/>
      <w:pPr>
        <w:tabs>
          <w:tab w:val="num" w:pos="170"/>
        </w:tabs>
        <w:ind w:left="170" w:hanging="17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A5E72D4"/>
    <w:multiLevelType w:val="hybridMultilevel"/>
    <w:tmpl w:val="F7EE18B6"/>
    <w:lvl w:ilvl="0" w:tplc="72D836AE">
      <w:start w:val="3"/>
      <w:numFmt w:val="bullet"/>
      <w:lvlText w:val="-"/>
      <w:lvlJc w:val="left"/>
      <w:pPr>
        <w:ind w:left="1080" w:hanging="360"/>
      </w:pPr>
      <w:rPr>
        <w:rFonts w:ascii="Times New Roman" w:eastAsiaTheme="minorHAnsi" w:hAnsi="Times New Roman" w:cs="Times New Roman" w:hint="default"/>
        <w:b w:val="0"/>
        <w:color w:val="auto"/>
        <w:sz w:val="24"/>
        <w:szCs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0C177981"/>
    <w:multiLevelType w:val="multilevel"/>
    <w:tmpl w:val="DB04D318"/>
    <w:lvl w:ilvl="0">
      <w:numFmt w:val="decimal"/>
      <w:pStyle w:val="ZchnZchnCharZchnZchnChar"/>
      <w:lvlText w:val="%1"/>
      <w:lvlJc w:val="left"/>
      <w:pPr>
        <w:tabs>
          <w:tab w:val="num" w:pos="432"/>
        </w:tabs>
        <w:ind w:left="432" w:hanging="432"/>
      </w:pPr>
      <w:rPr>
        <w:rFonts w:hint="default"/>
      </w:rPr>
    </w:lvl>
    <w:lvl w:ilvl="1">
      <w:start w:val="1"/>
      <w:numFmt w:val="decimal"/>
      <w:isLgl/>
      <w:lvlText w:val="%2"/>
      <w:lvlJc w:val="left"/>
      <w:pPr>
        <w:tabs>
          <w:tab w:val="num" w:pos="576"/>
        </w:tabs>
        <w:ind w:left="576" w:hanging="576"/>
      </w:pPr>
      <w:rPr>
        <w:rFonts w:hint="default"/>
      </w:rPr>
    </w:lvl>
    <w:lvl w:ilvl="2">
      <w:start w:val="1"/>
      <w:numFmt w:val="decimal"/>
      <w:lvlRestart w:val="1"/>
      <w:lvlText w:val="%1.%2"/>
      <w:lvlJc w:val="left"/>
      <w:pPr>
        <w:tabs>
          <w:tab w:val="num" w:pos="720"/>
        </w:tabs>
        <w:ind w:left="720" w:hanging="720"/>
      </w:pPr>
      <w:rPr>
        <w:rFonts w:hint="default"/>
      </w:rPr>
    </w:lvl>
    <w:lvl w:ilvl="3">
      <w:start w:val="1"/>
      <w:numFmt w:val="decimal"/>
      <w:lvlRestart w:val="2"/>
      <w:lvlText w:val="%1.%2.%3"/>
      <w:lvlJc w:val="left"/>
      <w:pPr>
        <w:tabs>
          <w:tab w:val="num" w:pos="864"/>
        </w:tabs>
        <w:ind w:left="864" w:hanging="864"/>
      </w:pPr>
      <w:rPr>
        <w:rFonts w:hint="default"/>
      </w:rPr>
    </w:lvl>
    <w:lvl w:ilvl="4">
      <w:start w:val="1"/>
      <w:numFmt w:val="decimal"/>
      <w:lvlRestart w:val="3"/>
      <w:lvlText w:val="%1.%2.%3.%4"/>
      <w:lvlJc w:val="left"/>
      <w:pPr>
        <w:tabs>
          <w:tab w:val="num" w:pos="1008"/>
        </w:tabs>
        <w:ind w:left="1008" w:hanging="1008"/>
      </w:pPr>
      <w:rPr>
        <w:rFonts w:hint="default"/>
      </w:rPr>
    </w:lvl>
    <w:lvl w:ilvl="5">
      <w:start w:val="1"/>
      <w:numFmt w:val="decimal"/>
      <w:lvlRestart w:val="4"/>
      <w:lvlText w:val="%1.%2.%3.%4.%5.%6"/>
      <w:lvlJc w:val="left"/>
      <w:pPr>
        <w:tabs>
          <w:tab w:val="num" w:pos="1440"/>
        </w:tabs>
        <w:ind w:left="1152" w:hanging="1152"/>
      </w:pPr>
      <w:rPr>
        <w:rFonts w:hint="default"/>
      </w:rPr>
    </w:lvl>
    <w:lvl w:ilvl="6">
      <w:start w:val="1"/>
      <w:numFmt w:val="decimal"/>
      <w:lvlText w:val="%1.%2.%3.%4.%5.%6.%7"/>
      <w:lvlJc w:val="left"/>
      <w:pPr>
        <w:tabs>
          <w:tab w:val="num" w:pos="144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2">
    <w:nsid w:val="0F172181"/>
    <w:multiLevelType w:val="multilevel"/>
    <w:tmpl w:val="4AA29D90"/>
    <w:lvl w:ilvl="0">
      <w:start w:val="1"/>
      <w:numFmt w:val="decimal"/>
      <w:lvlText w:val="%1"/>
      <w:lvlJc w:val="left"/>
      <w:pPr>
        <w:ind w:left="432" w:hanging="432"/>
      </w:pPr>
      <w:rPr>
        <w:rFonts w:hint="default"/>
      </w:rPr>
    </w:lvl>
    <w:lvl w:ilvl="1">
      <w:start w:val="1"/>
      <w:numFmt w:val="decimal"/>
      <w:pStyle w:val="Titolo2"/>
      <w:lvlText w:val="%1.%2"/>
      <w:lvlJc w:val="left"/>
      <w:pPr>
        <w:ind w:left="576" w:hanging="576"/>
      </w:pPr>
      <w:rPr>
        <w:rFonts w:hint="default"/>
      </w:rPr>
    </w:lvl>
    <w:lvl w:ilvl="2">
      <w:start w:val="1"/>
      <w:numFmt w:val="decimal"/>
      <w:lvlText w:val="%1.%2.%3"/>
      <w:lvlJc w:val="left"/>
      <w:pPr>
        <w:ind w:left="720" w:hanging="720"/>
      </w:pPr>
      <w:rPr>
        <w:rFonts w:hint="default"/>
        <w:color w:val="1F497D" w:themeColor="text2"/>
      </w:rPr>
    </w:lvl>
    <w:lvl w:ilvl="3">
      <w:start w:val="1"/>
      <w:numFmt w:val="decimal"/>
      <w:pStyle w:val="Titolo4"/>
      <w:lvlText w:val="%1.%2.%3.%4"/>
      <w:lvlJc w:val="left"/>
      <w:pPr>
        <w:ind w:left="864" w:hanging="864"/>
      </w:pPr>
      <w:rPr>
        <w:rFonts w:hint="default"/>
      </w:rPr>
    </w:lvl>
    <w:lvl w:ilvl="4">
      <w:start w:val="1"/>
      <w:numFmt w:val="decimal"/>
      <w:pStyle w:val="Titolo5"/>
      <w:lvlText w:val="%1.%2.%3.%4.%5"/>
      <w:lvlJc w:val="left"/>
      <w:pPr>
        <w:ind w:left="1008" w:hanging="1008"/>
      </w:pPr>
      <w:rPr>
        <w:rFonts w:hint="default"/>
      </w:rPr>
    </w:lvl>
    <w:lvl w:ilvl="5">
      <w:start w:val="1"/>
      <w:numFmt w:val="decimal"/>
      <w:pStyle w:val="Titolo6"/>
      <w:lvlText w:val="%1.%2.%3.%4.%5.%6"/>
      <w:lvlJc w:val="left"/>
      <w:pPr>
        <w:ind w:left="1152" w:hanging="1152"/>
      </w:pPr>
      <w:rPr>
        <w:rFonts w:hint="default"/>
      </w:rPr>
    </w:lvl>
    <w:lvl w:ilvl="6">
      <w:start w:val="1"/>
      <w:numFmt w:val="decimal"/>
      <w:pStyle w:val="Titolo7"/>
      <w:lvlText w:val="%1.%2.%3.%4.%5.%6.%7"/>
      <w:lvlJc w:val="left"/>
      <w:pPr>
        <w:ind w:left="1296" w:hanging="1296"/>
      </w:pPr>
      <w:rPr>
        <w:rFonts w:hint="default"/>
      </w:rPr>
    </w:lvl>
    <w:lvl w:ilvl="7">
      <w:start w:val="1"/>
      <w:numFmt w:val="decimal"/>
      <w:pStyle w:val="Titolo8"/>
      <w:lvlText w:val="%1.%2.%3.%4.%5.%6.%7.%8"/>
      <w:lvlJc w:val="left"/>
      <w:pPr>
        <w:ind w:left="1440" w:hanging="1440"/>
      </w:pPr>
      <w:rPr>
        <w:rFonts w:hint="default"/>
      </w:rPr>
    </w:lvl>
    <w:lvl w:ilvl="8">
      <w:start w:val="1"/>
      <w:numFmt w:val="decimal"/>
      <w:pStyle w:val="Titolo9"/>
      <w:lvlText w:val="%1.%2.%3.%4.%5.%6.%7.%8.%9"/>
      <w:lvlJc w:val="left"/>
      <w:pPr>
        <w:ind w:left="1584" w:hanging="1584"/>
      </w:pPr>
      <w:rPr>
        <w:rFonts w:hint="default"/>
      </w:rPr>
    </w:lvl>
  </w:abstractNum>
  <w:abstractNum w:abstractNumId="13">
    <w:nsid w:val="0FDD439D"/>
    <w:multiLevelType w:val="hybridMultilevel"/>
    <w:tmpl w:val="F31E73BC"/>
    <w:lvl w:ilvl="0" w:tplc="72D836AE">
      <w:start w:val="3"/>
      <w:numFmt w:val="bullet"/>
      <w:lvlText w:val="-"/>
      <w:lvlJc w:val="left"/>
      <w:pPr>
        <w:tabs>
          <w:tab w:val="num" w:pos="113"/>
        </w:tabs>
        <w:ind w:left="113" w:hanging="113"/>
      </w:pPr>
      <w:rPr>
        <w:rFonts w:ascii="Times New Roman" w:eastAsiaTheme="minorHAnsi" w:hAnsi="Times New Roman" w:cs="Times New Roman" w:hint="default"/>
        <w:b w:val="0"/>
        <w:color w:val="auto"/>
        <w:sz w:val="24"/>
        <w:szCs w:val="24"/>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nsid w:val="113A2224"/>
    <w:multiLevelType w:val="multilevel"/>
    <w:tmpl w:val="E2904DCA"/>
    <w:styleLink w:val="CurrentList1"/>
    <w:lvl w:ilvl="0">
      <w:start w:val="1"/>
      <w:numFmt w:val="decimal"/>
      <w:lvlText w:val="%1"/>
      <w:lvlJc w:val="left"/>
      <w:pPr>
        <w:tabs>
          <w:tab w:val="num" w:pos="432"/>
        </w:tabs>
        <w:ind w:left="432" w:hanging="432"/>
      </w:pPr>
      <w:rPr>
        <w:rFonts w:hint="default"/>
      </w:rPr>
    </w:lvl>
    <w:lvl w:ilvl="1">
      <w:start w:val="1"/>
      <w:numFmt w:val="upperLetter"/>
      <w:lvlText w:val="%2."/>
      <w:lvlJc w:val="left"/>
      <w:pPr>
        <w:tabs>
          <w:tab w:val="num" w:pos="360"/>
        </w:tabs>
        <w:ind w:left="360" w:hanging="360"/>
      </w:pPr>
      <w:rPr>
        <w:rFonts w:hint="default"/>
      </w:rPr>
    </w:lvl>
    <w:lvl w:ilvl="2">
      <w:start w:val="1"/>
      <w:numFmt w:val="decimal"/>
      <w:lvlRestart w:val="0"/>
      <w:lvlText w:val="B.%3."/>
      <w:lvlJc w:val="left"/>
      <w:pPr>
        <w:tabs>
          <w:tab w:val="num" w:pos="360"/>
        </w:tabs>
        <w:ind w:left="360" w:hanging="360"/>
      </w:pPr>
      <w:rPr>
        <w:rFonts w:hint="default"/>
      </w:rPr>
    </w:lvl>
    <w:lvl w:ilvl="3">
      <w:start w:val="1"/>
      <w:numFmt w:val="none"/>
      <w:lvlText w:val="B.1.1."/>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
    <w:nsid w:val="13B06C3A"/>
    <w:multiLevelType w:val="hybridMultilevel"/>
    <w:tmpl w:val="8A161080"/>
    <w:lvl w:ilvl="0" w:tplc="AE34B7DC">
      <w:start w:val="1"/>
      <w:numFmt w:val="decimal"/>
      <w:lvlText w:val="%1."/>
      <w:lvlJc w:val="left"/>
      <w:pPr>
        <w:tabs>
          <w:tab w:val="num" w:pos="170"/>
        </w:tabs>
        <w:ind w:left="170" w:hanging="17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15C72591"/>
    <w:multiLevelType w:val="hybridMultilevel"/>
    <w:tmpl w:val="EAE043C4"/>
    <w:lvl w:ilvl="0" w:tplc="5040F6BA">
      <w:start w:val="2"/>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nsid w:val="15FE64EE"/>
    <w:multiLevelType w:val="hybridMultilevel"/>
    <w:tmpl w:val="A85A286C"/>
    <w:lvl w:ilvl="0" w:tplc="5040F6BA">
      <w:start w:val="1"/>
      <w:numFmt w:val="decimal"/>
      <w:pStyle w:val="StyleCaptionTextbox14pt"/>
      <w:lvlText w:val="%1"/>
      <w:lvlJc w:val="left"/>
      <w:pPr>
        <w:tabs>
          <w:tab w:val="num" w:pos="1134"/>
        </w:tabs>
        <w:ind w:left="1134" w:hanging="283"/>
      </w:pPr>
      <w:rPr>
        <w:rFonts w:ascii="Georgia" w:hAnsi="Georgia" w:hint="default"/>
        <w:b/>
        <w:i w:val="0"/>
        <w:sz w:val="24"/>
      </w:rPr>
    </w:lvl>
    <w:lvl w:ilvl="1" w:tplc="04100003" w:tentative="1">
      <w:start w:val="1"/>
      <w:numFmt w:val="lowerLetter"/>
      <w:lvlText w:val="%2."/>
      <w:lvlJc w:val="left"/>
      <w:pPr>
        <w:tabs>
          <w:tab w:val="num" w:pos="1440"/>
        </w:tabs>
        <w:ind w:left="1440" w:hanging="360"/>
      </w:pPr>
    </w:lvl>
    <w:lvl w:ilvl="2" w:tplc="04100005" w:tentative="1">
      <w:start w:val="1"/>
      <w:numFmt w:val="lowerRoman"/>
      <w:lvlText w:val="%3."/>
      <w:lvlJc w:val="right"/>
      <w:pPr>
        <w:tabs>
          <w:tab w:val="num" w:pos="2160"/>
        </w:tabs>
        <w:ind w:left="2160" w:hanging="180"/>
      </w:pPr>
    </w:lvl>
    <w:lvl w:ilvl="3" w:tplc="04100001" w:tentative="1">
      <w:start w:val="1"/>
      <w:numFmt w:val="decimal"/>
      <w:lvlText w:val="%4."/>
      <w:lvlJc w:val="left"/>
      <w:pPr>
        <w:tabs>
          <w:tab w:val="num" w:pos="2880"/>
        </w:tabs>
        <w:ind w:left="2880" w:hanging="360"/>
      </w:pPr>
    </w:lvl>
    <w:lvl w:ilvl="4" w:tplc="04100003" w:tentative="1">
      <w:start w:val="1"/>
      <w:numFmt w:val="lowerLetter"/>
      <w:lvlText w:val="%5."/>
      <w:lvlJc w:val="left"/>
      <w:pPr>
        <w:tabs>
          <w:tab w:val="num" w:pos="3600"/>
        </w:tabs>
        <w:ind w:left="3600" w:hanging="360"/>
      </w:pPr>
    </w:lvl>
    <w:lvl w:ilvl="5" w:tplc="04100005" w:tentative="1">
      <w:start w:val="1"/>
      <w:numFmt w:val="lowerRoman"/>
      <w:lvlText w:val="%6."/>
      <w:lvlJc w:val="right"/>
      <w:pPr>
        <w:tabs>
          <w:tab w:val="num" w:pos="4320"/>
        </w:tabs>
        <w:ind w:left="4320" w:hanging="180"/>
      </w:pPr>
    </w:lvl>
    <w:lvl w:ilvl="6" w:tplc="04100001" w:tentative="1">
      <w:start w:val="1"/>
      <w:numFmt w:val="decimal"/>
      <w:lvlText w:val="%7."/>
      <w:lvlJc w:val="left"/>
      <w:pPr>
        <w:tabs>
          <w:tab w:val="num" w:pos="5040"/>
        </w:tabs>
        <w:ind w:left="5040" w:hanging="360"/>
      </w:pPr>
    </w:lvl>
    <w:lvl w:ilvl="7" w:tplc="04100003" w:tentative="1">
      <w:start w:val="1"/>
      <w:numFmt w:val="lowerLetter"/>
      <w:lvlText w:val="%8."/>
      <w:lvlJc w:val="left"/>
      <w:pPr>
        <w:tabs>
          <w:tab w:val="num" w:pos="5760"/>
        </w:tabs>
        <w:ind w:left="5760" w:hanging="360"/>
      </w:pPr>
    </w:lvl>
    <w:lvl w:ilvl="8" w:tplc="04100005" w:tentative="1">
      <w:start w:val="1"/>
      <w:numFmt w:val="lowerRoman"/>
      <w:lvlText w:val="%9."/>
      <w:lvlJc w:val="right"/>
      <w:pPr>
        <w:tabs>
          <w:tab w:val="num" w:pos="6480"/>
        </w:tabs>
        <w:ind w:left="6480" w:hanging="180"/>
      </w:pPr>
    </w:lvl>
  </w:abstractNum>
  <w:abstractNum w:abstractNumId="18">
    <w:nsid w:val="169876CC"/>
    <w:multiLevelType w:val="hybridMultilevel"/>
    <w:tmpl w:val="6BDC6CC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nsid w:val="1B635DB9"/>
    <w:multiLevelType w:val="multilevel"/>
    <w:tmpl w:val="3F9CC47E"/>
    <w:styleLink w:val="Style15"/>
    <w:lvl w:ilvl="0">
      <w:start w:val="3"/>
      <w:numFmt w:val="decimal"/>
      <w:lvlText w:val="%1"/>
      <w:lvlJc w:val="left"/>
      <w:pPr>
        <w:tabs>
          <w:tab w:val="num" w:pos="720"/>
        </w:tabs>
        <w:ind w:left="720" w:hanging="720"/>
      </w:pPr>
      <w:rPr>
        <w:rFonts w:hint="default"/>
        <w:color w:val="FFFFFF"/>
      </w:rPr>
    </w:lvl>
    <w:lvl w:ilvl="1">
      <w:start w:val="1"/>
      <w:numFmt w:val="decimal"/>
      <w:lvlText w:val="%1.%2"/>
      <w:lvlJc w:val="left"/>
      <w:pPr>
        <w:tabs>
          <w:tab w:val="num" w:pos="720"/>
        </w:tabs>
        <w:ind w:left="720" w:hanging="720"/>
      </w:pPr>
      <w:rPr>
        <w:rFonts w:ascii="Cambria" w:hAnsi="Cambria" w:hint="default"/>
        <w:b/>
        <w:color w:val="365F91"/>
        <w:sz w:val="20"/>
        <w:szCs w:val="20"/>
      </w:rPr>
    </w:lvl>
    <w:lvl w:ilvl="2">
      <w:start w:val="1"/>
      <w:numFmt w:val="decimal"/>
      <w:lvlText w:val="%1.%2.%3"/>
      <w:lvlJc w:val="left"/>
      <w:pPr>
        <w:tabs>
          <w:tab w:val="num" w:pos="1080"/>
        </w:tabs>
        <w:ind w:left="720" w:hanging="720"/>
      </w:pPr>
      <w:rPr>
        <w:rFonts w:hint="default"/>
        <w:sz w:val="20"/>
        <w:szCs w:val="20"/>
      </w:rPr>
    </w:lvl>
    <w:lvl w:ilvl="3">
      <w:start w:val="1"/>
      <w:numFmt w:val="decimal"/>
      <w:lvlText w:val="%1.%2.%3.%4"/>
      <w:lvlJc w:val="left"/>
      <w:pPr>
        <w:tabs>
          <w:tab w:val="num" w:pos="1440"/>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0">
    <w:nsid w:val="1C2E45D8"/>
    <w:multiLevelType w:val="hybridMultilevel"/>
    <w:tmpl w:val="82E407F0"/>
    <w:lvl w:ilvl="0" w:tplc="5040F6BA">
      <w:start w:val="2"/>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nsid w:val="1CD968CE"/>
    <w:multiLevelType w:val="hybridMultilevel"/>
    <w:tmpl w:val="0BE0E5AE"/>
    <w:lvl w:ilvl="0" w:tplc="37E84EB4">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nsid w:val="1FB7786B"/>
    <w:multiLevelType w:val="singleLevel"/>
    <w:tmpl w:val="D79CF83C"/>
    <w:lvl w:ilvl="0">
      <w:start w:val="1"/>
      <w:numFmt w:val="bullet"/>
      <w:lvlText w:val=""/>
      <w:lvlJc w:val="left"/>
      <w:pPr>
        <w:ind w:left="720" w:hanging="360"/>
      </w:pPr>
      <w:rPr>
        <w:rFonts w:ascii="Wingdings" w:hAnsi="Wingdings" w:hint="default"/>
        <w:b/>
        <w:color w:val="1F497D" w:themeColor="text2"/>
        <w:sz w:val="20"/>
      </w:rPr>
    </w:lvl>
  </w:abstractNum>
  <w:abstractNum w:abstractNumId="23">
    <w:nsid w:val="1FEB2A4B"/>
    <w:multiLevelType w:val="hybridMultilevel"/>
    <w:tmpl w:val="7F4C2B22"/>
    <w:lvl w:ilvl="0" w:tplc="04090017">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nsid w:val="221771C6"/>
    <w:multiLevelType w:val="multilevel"/>
    <w:tmpl w:val="6EB449AA"/>
    <w:lvl w:ilvl="0">
      <w:start w:val="1"/>
      <w:numFmt w:val="bullet"/>
      <w:pStyle w:val="Listeapoints1"/>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5">
    <w:nsid w:val="23470F3C"/>
    <w:multiLevelType w:val="hybridMultilevel"/>
    <w:tmpl w:val="37901612"/>
    <w:lvl w:ilvl="0" w:tplc="5040F6BA">
      <w:start w:val="2"/>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nsid w:val="241A35DD"/>
    <w:multiLevelType w:val="hybridMultilevel"/>
    <w:tmpl w:val="594C542A"/>
    <w:lvl w:ilvl="0" w:tplc="5040F6BA">
      <w:start w:val="2"/>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7">
    <w:nsid w:val="242C56B2"/>
    <w:multiLevelType w:val="hybridMultilevel"/>
    <w:tmpl w:val="8E443FA0"/>
    <w:lvl w:ilvl="0" w:tplc="5040F6BA">
      <w:start w:val="2"/>
      <w:numFmt w:val="bullet"/>
      <w:lvlText w:val="-"/>
      <w:lvlJc w:val="left"/>
      <w:pPr>
        <w:ind w:left="1040" w:hanging="360"/>
      </w:pPr>
      <w:rPr>
        <w:rFonts w:ascii="Times New Roman" w:eastAsia="Times New Roman" w:hAnsi="Times New Roman" w:cs="Times New Roman" w:hint="default"/>
      </w:rPr>
    </w:lvl>
    <w:lvl w:ilvl="1" w:tplc="040C0003" w:tentative="1">
      <w:start w:val="1"/>
      <w:numFmt w:val="bullet"/>
      <w:lvlText w:val="o"/>
      <w:lvlJc w:val="left"/>
      <w:pPr>
        <w:ind w:left="1760" w:hanging="360"/>
      </w:pPr>
      <w:rPr>
        <w:rFonts w:ascii="Courier New" w:hAnsi="Courier New" w:hint="default"/>
      </w:rPr>
    </w:lvl>
    <w:lvl w:ilvl="2" w:tplc="040C0005" w:tentative="1">
      <w:start w:val="1"/>
      <w:numFmt w:val="bullet"/>
      <w:lvlText w:val=""/>
      <w:lvlJc w:val="left"/>
      <w:pPr>
        <w:ind w:left="2480" w:hanging="360"/>
      </w:pPr>
      <w:rPr>
        <w:rFonts w:ascii="Wingdings" w:hAnsi="Wingdings" w:hint="default"/>
      </w:rPr>
    </w:lvl>
    <w:lvl w:ilvl="3" w:tplc="040C0001" w:tentative="1">
      <w:start w:val="1"/>
      <w:numFmt w:val="bullet"/>
      <w:lvlText w:val=""/>
      <w:lvlJc w:val="left"/>
      <w:pPr>
        <w:ind w:left="3200" w:hanging="360"/>
      </w:pPr>
      <w:rPr>
        <w:rFonts w:ascii="Symbol" w:hAnsi="Symbol" w:hint="default"/>
      </w:rPr>
    </w:lvl>
    <w:lvl w:ilvl="4" w:tplc="040C0003" w:tentative="1">
      <w:start w:val="1"/>
      <w:numFmt w:val="bullet"/>
      <w:lvlText w:val="o"/>
      <w:lvlJc w:val="left"/>
      <w:pPr>
        <w:ind w:left="3920" w:hanging="360"/>
      </w:pPr>
      <w:rPr>
        <w:rFonts w:ascii="Courier New" w:hAnsi="Courier New" w:hint="default"/>
      </w:rPr>
    </w:lvl>
    <w:lvl w:ilvl="5" w:tplc="040C0005" w:tentative="1">
      <w:start w:val="1"/>
      <w:numFmt w:val="bullet"/>
      <w:lvlText w:val=""/>
      <w:lvlJc w:val="left"/>
      <w:pPr>
        <w:ind w:left="4640" w:hanging="360"/>
      </w:pPr>
      <w:rPr>
        <w:rFonts w:ascii="Wingdings" w:hAnsi="Wingdings" w:hint="default"/>
      </w:rPr>
    </w:lvl>
    <w:lvl w:ilvl="6" w:tplc="040C0001" w:tentative="1">
      <w:start w:val="1"/>
      <w:numFmt w:val="bullet"/>
      <w:lvlText w:val=""/>
      <w:lvlJc w:val="left"/>
      <w:pPr>
        <w:ind w:left="5360" w:hanging="360"/>
      </w:pPr>
      <w:rPr>
        <w:rFonts w:ascii="Symbol" w:hAnsi="Symbol" w:hint="default"/>
      </w:rPr>
    </w:lvl>
    <w:lvl w:ilvl="7" w:tplc="040C0003" w:tentative="1">
      <w:start w:val="1"/>
      <w:numFmt w:val="bullet"/>
      <w:lvlText w:val="o"/>
      <w:lvlJc w:val="left"/>
      <w:pPr>
        <w:ind w:left="6080" w:hanging="360"/>
      </w:pPr>
      <w:rPr>
        <w:rFonts w:ascii="Courier New" w:hAnsi="Courier New" w:hint="default"/>
      </w:rPr>
    </w:lvl>
    <w:lvl w:ilvl="8" w:tplc="040C0005" w:tentative="1">
      <w:start w:val="1"/>
      <w:numFmt w:val="bullet"/>
      <w:lvlText w:val=""/>
      <w:lvlJc w:val="left"/>
      <w:pPr>
        <w:ind w:left="6800" w:hanging="360"/>
      </w:pPr>
      <w:rPr>
        <w:rFonts w:ascii="Wingdings" w:hAnsi="Wingdings" w:hint="default"/>
      </w:rPr>
    </w:lvl>
  </w:abstractNum>
  <w:abstractNum w:abstractNumId="28">
    <w:nsid w:val="24633124"/>
    <w:multiLevelType w:val="hybridMultilevel"/>
    <w:tmpl w:val="3A809244"/>
    <w:lvl w:ilvl="0" w:tplc="08090001">
      <w:start w:val="1"/>
      <w:numFmt w:val="decimal"/>
      <w:pStyle w:val="bulletlevel1numbered"/>
      <w:lvlText w:val="%1."/>
      <w:lvlJc w:val="left"/>
      <w:pPr>
        <w:tabs>
          <w:tab w:val="num" w:pos="720"/>
        </w:tabs>
        <w:ind w:left="720" w:hanging="360"/>
      </w:pPr>
      <w:rPr>
        <w:rFonts w:hint="default"/>
      </w:rPr>
    </w:lvl>
    <w:lvl w:ilvl="1" w:tplc="ABAA30E2"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9">
    <w:nsid w:val="250F6068"/>
    <w:multiLevelType w:val="hybridMultilevel"/>
    <w:tmpl w:val="84368DF8"/>
    <w:lvl w:ilvl="0" w:tplc="AE34B7DC">
      <w:start w:val="1"/>
      <w:numFmt w:val="decimal"/>
      <w:lvlText w:val="%1."/>
      <w:lvlJc w:val="left"/>
      <w:pPr>
        <w:tabs>
          <w:tab w:val="num" w:pos="170"/>
        </w:tabs>
        <w:ind w:left="170" w:hanging="17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25630087"/>
    <w:multiLevelType w:val="hybridMultilevel"/>
    <w:tmpl w:val="B30ECFB0"/>
    <w:lvl w:ilvl="0" w:tplc="AE34B7DC">
      <w:start w:val="1"/>
      <w:numFmt w:val="decimal"/>
      <w:lvlText w:val="%1."/>
      <w:lvlJc w:val="left"/>
      <w:pPr>
        <w:tabs>
          <w:tab w:val="num" w:pos="170"/>
        </w:tabs>
        <w:ind w:left="170" w:hanging="17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25DD37E3"/>
    <w:multiLevelType w:val="hybridMultilevel"/>
    <w:tmpl w:val="7A48A4E6"/>
    <w:lvl w:ilvl="0" w:tplc="AE34B7DC">
      <w:start w:val="1"/>
      <w:numFmt w:val="decimal"/>
      <w:lvlText w:val="%1."/>
      <w:lvlJc w:val="left"/>
      <w:pPr>
        <w:tabs>
          <w:tab w:val="num" w:pos="170"/>
        </w:tabs>
        <w:ind w:left="170" w:hanging="17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286A2BA3"/>
    <w:multiLevelType w:val="hybridMultilevel"/>
    <w:tmpl w:val="9306FBB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29222CB4"/>
    <w:multiLevelType w:val="hybridMultilevel"/>
    <w:tmpl w:val="551A4E48"/>
    <w:lvl w:ilvl="0" w:tplc="3AF8AEB2">
      <w:start w:val="1"/>
      <w:numFmt w:val="bullet"/>
      <w:lvlText w:val=""/>
      <w:lvlJc w:val="left"/>
      <w:pPr>
        <w:ind w:left="1080" w:hanging="360"/>
      </w:pPr>
      <w:rPr>
        <w:rFonts w:ascii="Symbol" w:hAnsi="Symbo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34">
    <w:nsid w:val="292B0E10"/>
    <w:multiLevelType w:val="hybridMultilevel"/>
    <w:tmpl w:val="5D1C8892"/>
    <w:lvl w:ilvl="0" w:tplc="0964AEB2">
      <w:start w:val="1"/>
      <w:numFmt w:val="bullet"/>
      <w:lvlText w:val=""/>
      <w:lvlJc w:val="left"/>
      <w:pPr>
        <w:ind w:left="360" w:hanging="360"/>
      </w:pPr>
      <w:rPr>
        <w:rFonts w:ascii="Symbol" w:hAnsi="Symbol" w:hint="default"/>
        <w:color w:val="auto"/>
        <w:sz w:val="22"/>
        <w:szCs w:val="22"/>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nsid w:val="2A217745"/>
    <w:multiLevelType w:val="hybridMultilevel"/>
    <w:tmpl w:val="341C780E"/>
    <w:lvl w:ilvl="0" w:tplc="28209F3C">
      <w:start w:val="348"/>
      <w:numFmt w:val="bullet"/>
      <w:lvlText w:val="-"/>
      <w:lvlJc w:val="left"/>
      <w:pPr>
        <w:ind w:left="720" w:hanging="360"/>
      </w:pPr>
      <w:rPr>
        <w:rFonts w:ascii="Calibri" w:eastAsiaTheme="minorHAnsi"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6">
    <w:nsid w:val="2AF94C5B"/>
    <w:multiLevelType w:val="hybridMultilevel"/>
    <w:tmpl w:val="186ADDF2"/>
    <w:lvl w:ilvl="0" w:tplc="28209F3C">
      <w:start w:val="348"/>
      <w:numFmt w:val="bullet"/>
      <w:lvlText w:val="-"/>
      <w:lvlJc w:val="left"/>
      <w:pPr>
        <w:ind w:left="720" w:hanging="360"/>
      </w:pPr>
      <w:rPr>
        <w:rFonts w:ascii="Calibri" w:eastAsiaTheme="minorHAnsi"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7">
    <w:nsid w:val="2B022CD3"/>
    <w:multiLevelType w:val="multilevel"/>
    <w:tmpl w:val="8B607D8E"/>
    <w:lvl w:ilvl="0">
      <w:start w:val="1"/>
      <w:numFmt w:val="decimal"/>
      <w:pStyle w:val="Stile2"/>
      <w:lvlText w:val="%1."/>
      <w:lvlJc w:val="left"/>
      <w:pPr>
        <w:ind w:left="720" w:hanging="360"/>
      </w:pPr>
      <w:rPr>
        <w:rFonts w:hint="default"/>
        <w:caps/>
      </w:rPr>
    </w:lvl>
    <w:lvl w:ilvl="1">
      <w:start w:val="1"/>
      <w:numFmt w:val="decimal"/>
      <w:lvlText w:val="%2.1"/>
      <w:lvlJc w:val="left"/>
      <w:pPr>
        <w:ind w:left="735" w:hanging="37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8">
    <w:nsid w:val="2B5A4DEC"/>
    <w:multiLevelType w:val="hybridMultilevel"/>
    <w:tmpl w:val="4B7C3A0A"/>
    <w:lvl w:ilvl="0" w:tplc="72D836AE">
      <w:start w:val="3"/>
      <w:numFmt w:val="bullet"/>
      <w:lvlText w:val="-"/>
      <w:lvlJc w:val="left"/>
      <w:pPr>
        <w:ind w:left="720" w:hanging="360"/>
      </w:pPr>
      <w:rPr>
        <w:rFonts w:ascii="Times New Roman" w:eastAsiaTheme="minorHAnsi" w:hAnsi="Times New Roman" w:cs="Times New Roman" w:hint="default"/>
        <w:b w:val="0"/>
        <w:color w:val="auto"/>
        <w:sz w:val="24"/>
        <w:szCs w:val="24"/>
      </w:rPr>
    </w:lvl>
    <w:lvl w:ilvl="1" w:tplc="0664656C">
      <w:start w:val="1"/>
      <w:numFmt w:val="lowerLetter"/>
      <w:lvlText w:val="%2."/>
      <w:lvlJc w:val="left"/>
      <w:pPr>
        <w:ind w:left="1440" w:hanging="360"/>
      </w:pPr>
      <w:rPr>
        <w:b/>
      </w:rPr>
    </w:lvl>
    <w:lvl w:ilvl="2" w:tplc="7514E222" w:tentative="1">
      <w:start w:val="1"/>
      <w:numFmt w:val="lowerRoman"/>
      <w:lvlText w:val="%3."/>
      <w:lvlJc w:val="right"/>
      <w:pPr>
        <w:ind w:left="2160" w:hanging="180"/>
      </w:pPr>
    </w:lvl>
    <w:lvl w:ilvl="3" w:tplc="C45A2B70" w:tentative="1">
      <w:start w:val="1"/>
      <w:numFmt w:val="decimal"/>
      <w:lvlText w:val="%4."/>
      <w:lvlJc w:val="left"/>
      <w:pPr>
        <w:ind w:left="2880" w:hanging="360"/>
      </w:pPr>
    </w:lvl>
    <w:lvl w:ilvl="4" w:tplc="D26CEF4E" w:tentative="1">
      <w:start w:val="1"/>
      <w:numFmt w:val="lowerLetter"/>
      <w:lvlText w:val="%5."/>
      <w:lvlJc w:val="left"/>
      <w:pPr>
        <w:ind w:left="3600" w:hanging="360"/>
      </w:pPr>
    </w:lvl>
    <w:lvl w:ilvl="5" w:tplc="4118ADE8" w:tentative="1">
      <w:start w:val="1"/>
      <w:numFmt w:val="lowerRoman"/>
      <w:lvlText w:val="%6."/>
      <w:lvlJc w:val="right"/>
      <w:pPr>
        <w:ind w:left="4320" w:hanging="180"/>
      </w:pPr>
    </w:lvl>
    <w:lvl w:ilvl="6" w:tplc="388820D8" w:tentative="1">
      <w:start w:val="1"/>
      <w:numFmt w:val="decimal"/>
      <w:lvlText w:val="%7."/>
      <w:lvlJc w:val="left"/>
      <w:pPr>
        <w:ind w:left="5040" w:hanging="360"/>
      </w:pPr>
    </w:lvl>
    <w:lvl w:ilvl="7" w:tplc="415A95FA" w:tentative="1">
      <w:start w:val="1"/>
      <w:numFmt w:val="lowerLetter"/>
      <w:lvlText w:val="%8."/>
      <w:lvlJc w:val="left"/>
      <w:pPr>
        <w:ind w:left="5760" w:hanging="360"/>
      </w:pPr>
    </w:lvl>
    <w:lvl w:ilvl="8" w:tplc="28803632" w:tentative="1">
      <w:start w:val="1"/>
      <w:numFmt w:val="lowerRoman"/>
      <w:lvlText w:val="%9."/>
      <w:lvlJc w:val="right"/>
      <w:pPr>
        <w:ind w:left="6480" w:hanging="180"/>
      </w:pPr>
    </w:lvl>
  </w:abstractNum>
  <w:abstractNum w:abstractNumId="39">
    <w:nsid w:val="2B75631B"/>
    <w:multiLevelType w:val="singleLevel"/>
    <w:tmpl w:val="A4DC141A"/>
    <w:lvl w:ilvl="0">
      <w:start w:val="1"/>
      <w:numFmt w:val="bullet"/>
      <w:pStyle w:val="ListBullet1"/>
      <w:lvlText w:val=""/>
      <w:lvlJc w:val="left"/>
      <w:pPr>
        <w:tabs>
          <w:tab w:val="num" w:pos="765"/>
        </w:tabs>
        <w:ind w:left="765" w:hanging="283"/>
      </w:pPr>
      <w:rPr>
        <w:rFonts w:ascii="Symbol" w:hAnsi="Symbol"/>
      </w:rPr>
    </w:lvl>
  </w:abstractNum>
  <w:abstractNum w:abstractNumId="40">
    <w:nsid w:val="2BD84801"/>
    <w:multiLevelType w:val="hybridMultilevel"/>
    <w:tmpl w:val="4B100744"/>
    <w:lvl w:ilvl="0" w:tplc="5040F6BA">
      <w:start w:val="2"/>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1">
    <w:nsid w:val="2C5B6538"/>
    <w:multiLevelType w:val="hybridMultilevel"/>
    <w:tmpl w:val="BB6CA9D8"/>
    <w:lvl w:ilvl="0" w:tplc="AE34B7DC">
      <w:start w:val="1"/>
      <w:numFmt w:val="decimal"/>
      <w:lvlText w:val="%1."/>
      <w:lvlJc w:val="left"/>
      <w:pPr>
        <w:tabs>
          <w:tab w:val="num" w:pos="170"/>
        </w:tabs>
        <w:ind w:left="170" w:hanging="17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301E2634"/>
    <w:multiLevelType w:val="hybridMultilevel"/>
    <w:tmpl w:val="6136B862"/>
    <w:lvl w:ilvl="0" w:tplc="9438A8D0">
      <w:start w:val="1"/>
      <w:numFmt w:val="upperRoman"/>
      <w:pStyle w:val="titulodeanexo"/>
      <w:lvlText w:val="%1."/>
      <w:lvlJc w:val="right"/>
      <w:pPr>
        <w:tabs>
          <w:tab w:val="num" w:pos="540"/>
        </w:tabs>
        <w:ind w:left="540" w:hanging="180"/>
      </w:pPr>
      <w:rPr>
        <w:rFonts w:hint="default"/>
      </w:rPr>
    </w:lvl>
    <w:lvl w:ilvl="1" w:tplc="CBDC3C00">
      <w:start w:val="1"/>
      <w:numFmt w:val="bullet"/>
      <w:lvlText w:val="o"/>
      <w:lvlJc w:val="left"/>
      <w:pPr>
        <w:tabs>
          <w:tab w:val="num" w:pos="1440"/>
        </w:tabs>
        <w:ind w:left="1440" w:hanging="360"/>
      </w:pPr>
      <w:rPr>
        <w:rFonts w:ascii="Courier New" w:hAnsi="Courier New" w:cs="Symbol" w:hint="default"/>
      </w:rPr>
    </w:lvl>
    <w:lvl w:ilvl="2" w:tplc="19342014" w:tentative="1">
      <w:start w:val="1"/>
      <w:numFmt w:val="bullet"/>
      <w:lvlText w:val=""/>
      <w:lvlJc w:val="left"/>
      <w:pPr>
        <w:tabs>
          <w:tab w:val="num" w:pos="2160"/>
        </w:tabs>
        <w:ind w:left="2160" w:hanging="360"/>
      </w:pPr>
      <w:rPr>
        <w:rFonts w:ascii="Wingdings" w:hAnsi="Wingdings" w:hint="default"/>
      </w:rPr>
    </w:lvl>
    <w:lvl w:ilvl="3" w:tplc="17F0C050" w:tentative="1">
      <w:start w:val="1"/>
      <w:numFmt w:val="bullet"/>
      <w:lvlText w:val=""/>
      <w:lvlJc w:val="left"/>
      <w:pPr>
        <w:tabs>
          <w:tab w:val="num" w:pos="2880"/>
        </w:tabs>
        <w:ind w:left="2880" w:hanging="360"/>
      </w:pPr>
      <w:rPr>
        <w:rFonts w:ascii="Symbol" w:hAnsi="Symbol" w:hint="default"/>
      </w:rPr>
    </w:lvl>
    <w:lvl w:ilvl="4" w:tplc="4B1CFF42" w:tentative="1">
      <w:start w:val="1"/>
      <w:numFmt w:val="bullet"/>
      <w:lvlText w:val="o"/>
      <w:lvlJc w:val="left"/>
      <w:pPr>
        <w:tabs>
          <w:tab w:val="num" w:pos="3600"/>
        </w:tabs>
        <w:ind w:left="3600" w:hanging="360"/>
      </w:pPr>
      <w:rPr>
        <w:rFonts w:ascii="Courier New" w:hAnsi="Courier New" w:cs="Symbol" w:hint="default"/>
      </w:rPr>
    </w:lvl>
    <w:lvl w:ilvl="5" w:tplc="4B543BD6" w:tentative="1">
      <w:start w:val="1"/>
      <w:numFmt w:val="bullet"/>
      <w:lvlText w:val=""/>
      <w:lvlJc w:val="left"/>
      <w:pPr>
        <w:tabs>
          <w:tab w:val="num" w:pos="4320"/>
        </w:tabs>
        <w:ind w:left="4320" w:hanging="360"/>
      </w:pPr>
      <w:rPr>
        <w:rFonts w:ascii="Wingdings" w:hAnsi="Wingdings" w:hint="default"/>
      </w:rPr>
    </w:lvl>
    <w:lvl w:ilvl="6" w:tplc="0BAAF0F4" w:tentative="1">
      <w:start w:val="1"/>
      <w:numFmt w:val="bullet"/>
      <w:lvlText w:val=""/>
      <w:lvlJc w:val="left"/>
      <w:pPr>
        <w:tabs>
          <w:tab w:val="num" w:pos="5040"/>
        </w:tabs>
        <w:ind w:left="5040" w:hanging="360"/>
      </w:pPr>
      <w:rPr>
        <w:rFonts w:ascii="Symbol" w:hAnsi="Symbol" w:hint="default"/>
      </w:rPr>
    </w:lvl>
    <w:lvl w:ilvl="7" w:tplc="73027B76" w:tentative="1">
      <w:start w:val="1"/>
      <w:numFmt w:val="bullet"/>
      <w:lvlText w:val="o"/>
      <w:lvlJc w:val="left"/>
      <w:pPr>
        <w:tabs>
          <w:tab w:val="num" w:pos="5760"/>
        </w:tabs>
        <w:ind w:left="5760" w:hanging="360"/>
      </w:pPr>
      <w:rPr>
        <w:rFonts w:ascii="Courier New" w:hAnsi="Courier New" w:cs="Symbol" w:hint="default"/>
      </w:rPr>
    </w:lvl>
    <w:lvl w:ilvl="8" w:tplc="EF3C91DC" w:tentative="1">
      <w:start w:val="1"/>
      <w:numFmt w:val="bullet"/>
      <w:lvlText w:val=""/>
      <w:lvlJc w:val="left"/>
      <w:pPr>
        <w:tabs>
          <w:tab w:val="num" w:pos="6480"/>
        </w:tabs>
        <w:ind w:left="6480" w:hanging="360"/>
      </w:pPr>
      <w:rPr>
        <w:rFonts w:ascii="Wingdings" w:hAnsi="Wingdings" w:hint="default"/>
      </w:rPr>
    </w:lvl>
  </w:abstractNum>
  <w:abstractNum w:abstractNumId="43">
    <w:nsid w:val="30626786"/>
    <w:multiLevelType w:val="hybridMultilevel"/>
    <w:tmpl w:val="7D045E8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nsid w:val="30847C5C"/>
    <w:multiLevelType w:val="hybridMultilevel"/>
    <w:tmpl w:val="D99821DC"/>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5">
    <w:nsid w:val="31216FC9"/>
    <w:multiLevelType w:val="multilevel"/>
    <w:tmpl w:val="E89EB974"/>
    <w:lvl w:ilvl="0">
      <w:start w:val="1"/>
      <w:numFmt w:val="decimal"/>
      <w:lvlText w:val="%1"/>
      <w:lvlJc w:val="left"/>
      <w:pPr>
        <w:ind w:left="375" w:hanging="375"/>
      </w:pPr>
      <w:rPr>
        <w:rFonts w:hint="default"/>
      </w:rPr>
    </w:lvl>
    <w:lvl w:ilvl="1">
      <w:start w:val="1"/>
      <w:numFmt w:val="decimal"/>
      <w:pStyle w:val="Stile3"/>
      <w:lvlText w:val="%1.%2"/>
      <w:lvlJc w:val="left"/>
      <w:pPr>
        <w:ind w:left="375" w:hanging="375"/>
      </w:pPr>
      <w:rPr>
        <w:rFonts w:cs="Times New Roman"/>
        <w:b/>
        <w:bCs w:val="0"/>
        <w:i w:val="0"/>
        <w:iCs w:val="0"/>
        <w:caps w:val="0"/>
        <w:smallCaps w:val="0"/>
        <w:strike w:val="0"/>
        <w:dstrike w:val="0"/>
        <w:noProof w:val="0"/>
        <w:vanish w:val="0"/>
        <w:color w:val="1F497D" w:themeColor="text2"/>
        <w:spacing w:val="0"/>
        <w:kern w:val="0"/>
        <w:position w:val="0"/>
        <w:u w:val="none"/>
        <w:vertAlign w:val="baseline"/>
        <w:em w:val="none"/>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6">
    <w:nsid w:val="314A1B4D"/>
    <w:multiLevelType w:val="hybridMultilevel"/>
    <w:tmpl w:val="15C44BE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nsid w:val="358B6119"/>
    <w:multiLevelType w:val="multilevel"/>
    <w:tmpl w:val="A8BA546C"/>
    <w:lvl w:ilvl="0">
      <w:start w:val="1"/>
      <w:numFmt w:val="decimal"/>
      <w:pStyle w:val="ListNumber1"/>
      <w:lvlText w:val="(%1)"/>
      <w:lvlJc w:val="left"/>
      <w:pPr>
        <w:tabs>
          <w:tab w:val="num" w:pos="1191"/>
        </w:tabs>
        <w:ind w:left="1191" w:hanging="709"/>
      </w:pPr>
    </w:lvl>
    <w:lvl w:ilvl="1">
      <w:start w:val="1"/>
      <w:numFmt w:val="lowerLetter"/>
      <w:pStyle w:val="ListNumber1Level2"/>
      <w:lvlText w:val="(%2)"/>
      <w:lvlJc w:val="left"/>
      <w:pPr>
        <w:tabs>
          <w:tab w:val="num" w:pos="1899"/>
        </w:tabs>
        <w:ind w:left="1899" w:hanging="708"/>
      </w:pPr>
    </w:lvl>
    <w:lvl w:ilvl="2">
      <w:start w:val="1"/>
      <w:numFmt w:val="bullet"/>
      <w:pStyle w:val="ListNumber1Level3"/>
      <w:lvlText w:val="–"/>
      <w:lvlJc w:val="left"/>
      <w:pPr>
        <w:tabs>
          <w:tab w:val="num" w:pos="2608"/>
        </w:tabs>
        <w:ind w:left="2608" w:hanging="709"/>
      </w:pPr>
      <w:rPr>
        <w:rFonts w:ascii="Times New Roman" w:hAnsi="Times New Roman"/>
      </w:rPr>
    </w:lvl>
    <w:lvl w:ilvl="3">
      <w:start w:val="1"/>
      <w:numFmt w:val="bullet"/>
      <w:pStyle w:val="ListNumber1Level4"/>
      <w:lvlText w:val=""/>
      <w:lvlJc w:val="left"/>
      <w:pPr>
        <w:tabs>
          <w:tab w:val="num" w:pos="3317"/>
        </w:tabs>
        <w:ind w:left="331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8">
    <w:nsid w:val="38BC4229"/>
    <w:multiLevelType w:val="hybridMultilevel"/>
    <w:tmpl w:val="7578FF54"/>
    <w:lvl w:ilvl="0" w:tplc="AE34B7DC">
      <w:start w:val="1"/>
      <w:numFmt w:val="decimal"/>
      <w:lvlText w:val="%1."/>
      <w:lvlJc w:val="left"/>
      <w:pPr>
        <w:tabs>
          <w:tab w:val="num" w:pos="170"/>
        </w:tabs>
        <w:ind w:left="170" w:hanging="17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3A116BB7"/>
    <w:multiLevelType w:val="hybridMultilevel"/>
    <w:tmpl w:val="3F180C96"/>
    <w:lvl w:ilvl="0" w:tplc="04100001">
      <w:start w:val="2"/>
      <w:numFmt w:val="bullet"/>
      <w:lvlText w:val="-"/>
      <w:lvlJc w:val="left"/>
      <w:pPr>
        <w:ind w:left="1004" w:hanging="360"/>
      </w:pPr>
      <w:rPr>
        <w:rFonts w:ascii="Garamond" w:eastAsia="Times New Roman" w:hAnsi="Garamond" w:cs="Arial"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50">
    <w:nsid w:val="3AA04662"/>
    <w:multiLevelType w:val="hybridMultilevel"/>
    <w:tmpl w:val="EF9E15F0"/>
    <w:lvl w:ilvl="0" w:tplc="A448F5DE">
      <w:start w:val="1"/>
      <w:numFmt w:val="decimal"/>
      <w:pStyle w:val="StyleHeading1Garamond12ptBefore6ptLinespacing1"/>
      <w:lvlText w:val="%1."/>
      <w:lvlJc w:val="left"/>
      <w:pPr>
        <w:tabs>
          <w:tab w:val="num" w:pos="567"/>
        </w:tabs>
        <w:ind w:left="567" w:hanging="567"/>
      </w:pPr>
      <w:rPr>
        <w:rFonts w:ascii="Garamond" w:hAnsi="Garamond" w:hint="default"/>
        <w:b/>
        <w:i w:val="0"/>
        <w:sz w:val="24"/>
      </w:rPr>
    </w:lvl>
    <w:lvl w:ilvl="1" w:tplc="E9982CE4" w:tentative="1">
      <w:start w:val="1"/>
      <w:numFmt w:val="lowerLetter"/>
      <w:lvlText w:val="%2."/>
      <w:lvlJc w:val="left"/>
      <w:pPr>
        <w:tabs>
          <w:tab w:val="num" w:pos="1440"/>
        </w:tabs>
        <w:ind w:left="1440" w:hanging="360"/>
      </w:pPr>
    </w:lvl>
    <w:lvl w:ilvl="2" w:tplc="A02AF768" w:tentative="1">
      <w:start w:val="1"/>
      <w:numFmt w:val="lowerRoman"/>
      <w:lvlText w:val="%3."/>
      <w:lvlJc w:val="right"/>
      <w:pPr>
        <w:tabs>
          <w:tab w:val="num" w:pos="2160"/>
        </w:tabs>
        <w:ind w:left="2160" w:hanging="180"/>
      </w:pPr>
    </w:lvl>
    <w:lvl w:ilvl="3" w:tplc="E7A67088" w:tentative="1">
      <w:start w:val="1"/>
      <w:numFmt w:val="decimal"/>
      <w:lvlText w:val="%4."/>
      <w:lvlJc w:val="left"/>
      <w:pPr>
        <w:tabs>
          <w:tab w:val="num" w:pos="2880"/>
        </w:tabs>
        <w:ind w:left="2880" w:hanging="360"/>
      </w:pPr>
    </w:lvl>
    <w:lvl w:ilvl="4" w:tplc="A270131C" w:tentative="1">
      <w:start w:val="1"/>
      <w:numFmt w:val="lowerLetter"/>
      <w:lvlText w:val="%5."/>
      <w:lvlJc w:val="left"/>
      <w:pPr>
        <w:tabs>
          <w:tab w:val="num" w:pos="3600"/>
        </w:tabs>
        <w:ind w:left="3600" w:hanging="360"/>
      </w:pPr>
    </w:lvl>
    <w:lvl w:ilvl="5" w:tplc="84505FE8" w:tentative="1">
      <w:start w:val="1"/>
      <w:numFmt w:val="lowerRoman"/>
      <w:lvlText w:val="%6."/>
      <w:lvlJc w:val="right"/>
      <w:pPr>
        <w:tabs>
          <w:tab w:val="num" w:pos="4320"/>
        </w:tabs>
        <w:ind w:left="4320" w:hanging="180"/>
      </w:pPr>
    </w:lvl>
    <w:lvl w:ilvl="6" w:tplc="A7E4759C" w:tentative="1">
      <w:start w:val="1"/>
      <w:numFmt w:val="decimal"/>
      <w:lvlText w:val="%7."/>
      <w:lvlJc w:val="left"/>
      <w:pPr>
        <w:tabs>
          <w:tab w:val="num" w:pos="5040"/>
        </w:tabs>
        <w:ind w:left="5040" w:hanging="360"/>
      </w:pPr>
    </w:lvl>
    <w:lvl w:ilvl="7" w:tplc="58984158" w:tentative="1">
      <w:start w:val="1"/>
      <w:numFmt w:val="lowerLetter"/>
      <w:lvlText w:val="%8."/>
      <w:lvlJc w:val="left"/>
      <w:pPr>
        <w:tabs>
          <w:tab w:val="num" w:pos="5760"/>
        </w:tabs>
        <w:ind w:left="5760" w:hanging="360"/>
      </w:pPr>
    </w:lvl>
    <w:lvl w:ilvl="8" w:tplc="41F0FD28" w:tentative="1">
      <w:start w:val="1"/>
      <w:numFmt w:val="lowerRoman"/>
      <w:lvlText w:val="%9."/>
      <w:lvlJc w:val="right"/>
      <w:pPr>
        <w:tabs>
          <w:tab w:val="num" w:pos="6480"/>
        </w:tabs>
        <w:ind w:left="6480" w:hanging="180"/>
      </w:pPr>
    </w:lvl>
  </w:abstractNum>
  <w:abstractNum w:abstractNumId="51">
    <w:nsid w:val="3C8F6BC1"/>
    <w:multiLevelType w:val="hybridMultilevel"/>
    <w:tmpl w:val="48E8534C"/>
    <w:lvl w:ilvl="0" w:tplc="226E326C">
      <w:start w:val="3"/>
      <w:numFmt w:val="bullet"/>
      <w:lvlText w:val="-"/>
      <w:lvlJc w:val="left"/>
      <w:pPr>
        <w:ind w:left="753" w:hanging="360"/>
      </w:pPr>
      <w:rPr>
        <w:rFonts w:ascii="Garamond" w:eastAsia="Times New Roman" w:hAnsi="Garamond" w:hint="default"/>
        <w:color w:val="auto"/>
        <w:sz w:val="20"/>
      </w:rPr>
    </w:lvl>
    <w:lvl w:ilvl="1" w:tplc="04100003" w:tentative="1">
      <w:start w:val="1"/>
      <w:numFmt w:val="bullet"/>
      <w:lvlText w:val="o"/>
      <w:lvlJc w:val="left"/>
      <w:pPr>
        <w:ind w:left="1473" w:hanging="360"/>
      </w:pPr>
      <w:rPr>
        <w:rFonts w:ascii="Courier New" w:hAnsi="Courier New" w:cs="Courier New" w:hint="default"/>
      </w:rPr>
    </w:lvl>
    <w:lvl w:ilvl="2" w:tplc="04100005" w:tentative="1">
      <w:start w:val="1"/>
      <w:numFmt w:val="bullet"/>
      <w:lvlText w:val=""/>
      <w:lvlJc w:val="left"/>
      <w:pPr>
        <w:ind w:left="2193" w:hanging="360"/>
      </w:pPr>
      <w:rPr>
        <w:rFonts w:ascii="Wingdings" w:hAnsi="Wingdings" w:hint="default"/>
      </w:rPr>
    </w:lvl>
    <w:lvl w:ilvl="3" w:tplc="04100001" w:tentative="1">
      <w:start w:val="1"/>
      <w:numFmt w:val="bullet"/>
      <w:lvlText w:val=""/>
      <w:lvlJc w:val="left"/>
      <w:pPr>
        <w:ind w:left="2913" w:hanging="360"/>
      </w:pPr>
      <w:rPr>
        <w:rFonts w:ascii="Symbol" w:hAnsi="Symbol" w:hint="default"/>
      </w:rPr>
    </w:lvl>
    <w:lvl w:ilvl="4" w:tplc="04100003" w:tentative="1">
      <w:start w:val="1"/>
      <w:numFmt w:val="bullet"/>
      <w:lvlText w:val="o"/>
      <w:lvlJc w:val="left"/>
      <w:pPr>
        <w:ind w:left="3633" w:hanging="360"/>
      </w:pPr>
      <w:rPr>
        <w:rFonts w:ascii="Courier New" w:hAnsi="Courier New" w:cs="Courier New" w:hint="default"/>
      </w:rPr>
    </w:lvl>
    <w:lvl w:ilvl="5" w:tplc="04100005" w:tentative="1">
      <w:start w:val="1"/>
      <w:numFmt w:val="bullet"/>
      <w:lvlText w:val=""/>
      <w:lvlJc w:val="left"/>
      <w:pPr>
        <w:ind w:left="4353" w:hanging="360"/>
      </w:pPr>
      <w:rPr>
        <w:rFonts w:ascii="Wingdings" w:hAnsi="Wingdings" w:hint="default"/>
      </w:rPr>
    </w:lvl>
    <w:lvl w:ilvl="6" w:tplc="04100001" w:tentative="1">
      <w:start w:val="1"/>
      <w:numFmt w:val="bullet"/>
      <w:lvlText w:val=""/>
      <w:lvlJc w:val="left"/>
      <w:pPr>
        <w:ind w:left="5073" w:hanging="360"/>
      </w:pPr>
      <w:rPr>
        <w:rFonts w:ascii="Symbol" w:hAnsi="Symbol" w:hint="default"/>
      </w:rPr>
    </w:lvl>
    <w:lvl w:ilvl="7" w:tplc="04100003" w:tentative="1">
      <w:start w:val="1"/>
      <w:numFmt w:val="bullet"/>
      <w:lvlText w:val="o"/>
      <w:lvlJc w:val="left"/>
      <w:pPr>
        <w:ind w:left="5793" w:hanging="360"/>
      </w:pPr>
      <w:rPr>
        <w:rFonts w:ascii="Courier New" w:hAnsi="Courier New" w:cs="Courier New" w:hint="default"/>
      </w:rPr>
    </w:lvl>
    <w:lvl w:ilvl="8" w:tplc="04100005" w:tentative="1">
      <w:start w:val="1"/>
      <w:numFmt w:val="bullet"/>
      <w:lvlText w:val=""/>
      <w:lvlJc w:val="left"/>
      <w:pPr>
        <w:ind w:left="6513" w:hanging="360"/>
      </w:pPr>
      <w:rPr>
        <w:rFonts w:ascii="Wingdings" w:hAnsi="Wingdings" w:hint="default"/>
      </w:rPr>
    </w:lvl>
  </w:abstractNum>
  <w:abstractNum w:abstractNumId="52">
    <w:nsid w:val="3D5768C9"/>
    <w:multiLevelType w:val="hybridMultilevel"/>
    <w:tmpl w:val="310AB754"/>
    <w:lvl w:ilvl="0" w:tplc="CEB0C6E0">
      <w:start w:val="16"/>
      <w:numFmt w:val="bullet"/>
      <w:lvlText w:val="-"/>
      <w:lvlJc w:val="left"/>
      <w:pPr>
        <w:ind w:left="720" w:hanging="360"/>
      </w:pPr>
      <w:rPr>
        <w:rFonts w:ascii="Arial" w:eastAsia="Times New Roman" w:hAnsi="Arial" w:cs="Arial" w:hint="default"/>
        <w:sz w:val="22"/>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3">
    <w:nsid w:val="3E627CF0"/>
    <w:multiLevelType w:val="hybridMultilevel"/>
    <w:tmpl w:val="8A22E40E"/>
    <w:lvl w:ilvl="0" w:tplc="AE34B7DC">
      <w:start w:val="1"/>
      <w:numFmt w:val="decimal"/>
      <w:lvlText w:val="%1."/>
      <w:lvlJc w:val="left"/>
      <w:pPr>
        <w:tabs>
          <w:tab w:val="num" w:pos="170"/>
        </w:tabs>
        <w:ind w:left="170" w:hanging="17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414247EA"/>
    <w:multiLevelType w:val="hybridMultilevel"/>
    <w:tmpl w:val="6092259C"/>
    <w:lvl w:ilvl="0" w:tplc="AE34B7DC">
      <w:start w:val="1"/>
      <w:numFmt w:val="decimal"/>
      <w:lvlText w:val="%1."/>
      <w:lvlJc w:val="left"/>
      <w:pPr>
        <w:tabs>
          <w:tab w:val="num" w:pos="170"/>
        </w:tabs>
        <w:ind w:left="170" w:hanging="17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41C27F17"/>
    <w:multiLevelType w:val="hybridMultilevel"/>
    <w:tmpl w:val="E8629C90"/>
    <w:lvl w:ilvl="0" w:tplc="5040F6BA">
      <w:start w:val="2"/>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6">
    <w:nsid w:val="426E41CE"/>
    <w:multiLevelType w:val="hybridMultilevel"/>
    <w:tmpl w:val="7FF42B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45BD180A"/>
    <w:multiLevelType w:val="hybridMultilevel"/>
    <w:tmpl w:val="EE083C36"/>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8">
    <w:nsid w:val="46113D4F"/>
    <w:multiLevelType w:val="singleLevel"/>
    <w:tmpl w:val="A3323CB8"/>
    <w:lvl w:ilvl="0">
      <w:start w:val="1"/>
      <w:numFmt w:val="bullet"/>
      <w:pStyle w:val="ListDash3"/>
      <w:lvlText w:val="–"/>
      <w:lvlJc w:val="left"/>
      <w:pPr>
        <w:tabs>
          <w:tab w:val="num" w:pos="1485"/>
        </w:tabs>
        <w:ind w:left="1485" w:hanging="283"/>
      </w:pPr>
      <w:rPr>
        <w:rFonts w:ascii="Times New Roman" w:hAnsi="Times New Roman"/>
      </w:rPr>
    </w:lvl>
  </w:abstractNum>
  <w:abstractNum w:abstractNumId="59">
    <w:nsid w:val="48BF03CF"/>
    <w:multiLevelType w:val="hybridMultilevel"/>
    <w:tmpl w:val="7F66FCA6"/>
    <w:lvl w:ilvl="0" w:tplc="695EB810">
      <w:start w:val="2"/>
      <w:numFmt w:val="bullet"/>
      <w:lvlText w:val="-"/>
      <w:lvlJc w:val="left"/>
      <w:pPr>
        <w:ind w:left="720" w:hanging="360"/>
      </w:pPr>
      <w:rPr>
        <w:rFonts w:ascii="Times New Roman" w:eastAsia="Times New Roman" w:hAnsi="Times New Roman" w:cs="Times New Roman" w:hint="default"/>
      </w:rPr>
    </w:lvl>
    <w:lvl w:ilvl="1" w:tplc="C596831C" w:tentative="1">
      <w:start w:val="1"/>
      <w:numFmt w:val="bullet"/>
      <w:lvlText w:val="o"/>
      <w:lvlJc w:val="left"/>
      <w:pPr>
        <w:ind w:left="1440" w:hanging="360"/>
      </w:pPr>
      <w:rPr>
        <w:rFonts w:ascii="Courier New" w:hAnsi="Courier New" w:cs="Courier New" w:hint="default"/>
      </w:rPr>
    </w:lvl>
    <w:lvl w:ilvl="2" w:tplc="35AA12D0" w:tentative="1">
      <w:start w:val="1"/>
      <w:numFmt w:val="bullet"/>
      <w:lvlText w:val=""/>
      <w:lvlJc w:val="left"/>
      <w:pPr>
        <w:ind w:left="2160" w:hanging="360"/>
      </w:pPr>
      <w:rPr>
        <w:rFonts w:ascii="Wingdings" w:hAnsi="Wingdings" w:hint="default"/>
      </w:rPr>
    </w:lvl>
    <w:lvl w:ilvl="3" w:tplc="061A8A2C" w:tentative="1">
      <w:start w:val="1"/>
      <w:numFmt w:val="bullet"/>
      <w:lvlText w:val=""/>
      <w:lvlJc w:val="left"/>
      <w:pPr>
        <w:ind w:left="2880" w:hanging="360"/>
      </w:pPr>
      <w:rPr>
        <w:rFonts w:ascii="Symbol" w:hAnsi="Symbol" w:hint="default"/>
      </w:rPr>
    </w:lvl>
    <w:lvl w:ilvl="4" w:tplc="3E04AFCE" w:tentative="1">
      <w:start w:val="1"/>
      <w:numFmt w:val="bullet"/>
      <w:lvlText w:val="o"/>
      <w:lvlJc w:val="left"/>
      <w:pPr>
        <w:ind w:left="3600" w:hanging="360"/>
      </w:pPr>
      <w:rPr>
        <w:rFonts w:ascii="Courier New" w:hAnsi="Courier New" w:cs="Courier New" w:hint="default"/>
      </w:rPr>
    </w:lvl>
    <w:lvl w:ilvl="5" w:tplc="0762B532" w:tentative="1">
      <w:start w:val="1"/>
      <w:numFmt w:val="bullet"/>
      <w:lvlText w:val=""/>
      <w:lvlJc w:val="left"/>
      <w:pPr>
        <w:ind w:left="4320" w:hanging="360"/>
      </w:pPr>
      <w:rPr>
        <w:rFonts w:ascii="Wingdings" w:hAnsi="Wingdings" w:hint="default"/>
      </w:rPr>
    </w:lvl>
    <w:lvl w:ilvl="6" w:tplc="B57E3828" w:tentative="1">
      <w:start w:val="1"/>
      <w:numFmt w:val="bullet"/>
      <w:lvlText w:val=""/>
      <w:lvlJc w:val="left"/>
      <w:pPr>
        <w:ind w:left="5040" w:hanging="360"/>
      </w:pPr>
      <w:rPr>
        <w:rFonts w:ascii="Symbol" w:hAnsi="Symbol" w:hint="default"/>
      </w:rPr>
    </w:lvl>
    <w:lvl w:ilvl="7" w:tplc="DE18CE4C" w:tentative="1">
      <w:start w:val="1"/>
      <w:numFmt w:val="bullet"/>
      <w:lvlText w:val="o"/>
      <w:lvlJc w:val="left"/>
      <w:pPr>
        <w:ind w:left="5760" w:hanging="360"/>
      </w:pPr>
      <w:rPr>
        <w:rFonts w:ascii="Courier New" w:hAnsi="Courier New" w:cs="Courier New" w:hint="default"/>
      </w:rPr>
    </w:lvl>
    <w:lvl w:ilvl="8" w:tplc="DADCE682" w:tentative="1">
      <w:start w:val="1"/>
      <w:numFmt w:val="bullet"/>
      <w:lvlText w:val=""/>
      <w:lvlJc w:val="left"/>
      <w:pPr>
        <w:ind w:left="6480" w:hanging="360"/>
      </w:pPr>
      <w:rPr>
        <w:rFonts w:ascii="Wingdings" w:hAnsi="Wingdings" w:hint="default"/>
      </w:rPr>
    </w:lvl>
  </w:abstractNum>
  <w:abstractNum w:abstractNumId="60">
    <w:nsid w:val="4B430A38"/>
    <w:multiLevelType w:val="hybridMultilevel"/>
    <w:tmpl w:val="643E0C72"/>
    <w:lvl w:ilvl="0" w:tplc="2CF2BA2E">
      <w:start w:val="1"/>
      <w:numFmt w:val="lowerLetter"/>
      <w:lvlText w:val="%1)"/>
      <w:lvlJc w:val="left"/>
      <w:pPr>
        <w:ind w:left="720" w:hanging="360"/>
      </w:pPr>
      <w:rPr>
        <w:rFonts w:hint="default"/>
        <w:b/>
      </w:rPr>
    </w:lvl>
    <w:lvl w:ilvl="1" w:tplc="04100003" w:tentative="1">
      <w:start w:val="1"/>
      <w:numFmt w:val="lowerLetter"/>
      <w:lvlText w:val="%2."/>
      <w:lvlJc w:val="left"/>
      <w:pPr>
        <w:ind w:left="1440" w:hanging="360"/>
      </w:pPr>
    </w:lvl>
    <w:lvl w:ilvl="2" w:tplc="04100005" w:tentative="1">
      <w:start w:val="1"/>
      <w:numFmt w:val="lowerRoman"/>
      <w:lvlText w:val="%3."/>
      <w:lvlJc w:val="right"/>
      <w:pPr>
        <w:ind w:left="2160" w:hanging="180"/>
      </w:pPr>
    </w:lvl>
    <w:lvl w:ilvl="3" w:tplc="04100001" w:tentative="1">
      <w:start w:val="1"/>
      <w:numFmt w:val="decimal"/>
      <w:lvlText w:val="%4."/>
      <w:lvlJc w:val="left"/>
      <w:pPr>
        <w:ind w:left="2880" w:hanging="360"/>
      </w:pPr>
    </w:lvl>
    <w:lvl w:ilvl="4" w:tplc="04100003" w:tentative="1">
      <w:start w:val="1"/>
      <w:numFmt w:val="lowerLetter"/>
      <w:lvlText w:val="%5."/>
      <w:lvlJc w:val="left"/>
      <w:pPr>
        <w:ind w:left="3600" w:hanging="360"/>
      </w:pPr>
    </w:lvl>
    <w:lvl w:ilvl="5" w:tplc="04100005" w:tentative="1">
      <w:start w:val="1"/>
      <w:numFmt w:val="lowerRoman"/>
      <w:lvlText w:val="%6."/>
      <w:lvlJc w:val="right"/>
      <w:pPr>
        <w:ind w:left="4320" w:hanging="180"/>
      </w:pPr>
    </w:lvl>
    <w:lvl w:ilvl="6" w:tplc="04100001" w:tentative="1">
      <w:start w:val="1"/>
      <w:numFmt w:val="decimal"/>
      <w:lvlText w:val="%7."/>
      <w:lvlJc w:val="left"/>
      <w:pPr>
        <w:ind w:left="5040" w:hanging="360"/>
      </w:pPr>
    </w:lvl>
    <w:lvl w:ilvl="7" w:tplc="04100003" w:tentative="1">
      <w:start w:val="1"/>
      <w:numFmt w:val="lowerLetter"/>
      <w:lvlText w:val="%8."/>
      <w:lvlJc w:val="left"/>
      <w:pPr>
        <w:ind w:left="5760" w:hanging="360"/>
      </w:pPr>
    </w:lvl>
    <w:lvl w:ilvl="8" w:tplc="04100005" w:tentative="1">
      <w:start w:val="1"/>
      <w:numFmt w:val="lowerRoman"/>
      <w:lvlText w:val="%9."/>
      <w:lvlJc w:val="right"/>
      <w:pPr>
        <w:ind w:left="6480" w:hanging="180"/>
      </w:pPr>
    </w:lvl>
  </w:abstractNum>
  <w:abstractNum w:abstractNumId="61">
    <w:nsid w:val="4C4A0AC2"/>
    <w:multiLevelType w:val="hybridMultilevel"/>
    <w:tmpl w:val="BCD6049A"/>
    <w:lvl w:ilvl="0" w:tplc="CD1423D6">
      <w:start w:val="1"/>
      <w:numFmt w:val="decimal"/>
      <w:lvlText w:val="%1."/>
      <w:lvlJc w:val="left"/>
      <w:pPr>
        <w:tabs>
          <w:tab w:val="num" w:pos="170"/>
        </w:tabs>
        <w:ind w:left="170" w:hanging="170"/>
      </w:pPr>
      <w:rPr>
        <w:rFonts w:hint="default"/>
      </w:rPr>
    </w:lvl>
    <w:lvl w:ilvl="1" w:tplc="04100019" w:tentative="1">
      <w:start w:val="1"/>
      <w:numFmt w:val="bullet"/>
      <w:lvlText w:val="o"/>
      <w:lvlJc w:val="left"/>
      <w:pPr>
        <w:ind w:left="1440" w:hanging="360"/>
      </w:pPr>
      <w:rPr>
        <w:rFonts w:ascii="Courier New" w:hAnsi="Courier New" w:cs="Courier New" w:hint="default"/>
      </w:rPr>
    </w:lvl>
    <w:lvl w:ilvl="2" w:tplc="0410001B" w:tentative="1">
      <w:start w:val="1"/>
      <w:numFmt w:val="bullet"/>
      <w:lvlText w:val=""/>
      <w:lvlJc w:val="left"/>
      <w:pPr>
        <w:ind w:left="2160" w:hanging="360"/>
      </w:pPr>
      <w:rPr>
        <w:rFonts w:ascii="Wingdings" w:hAnsi="Wingdings" w:hint="default"/>
      </w:rPr>
    </w:lvl>
    <w:lvl w:ilvl="3" w:tplc="0410000F" w:tentative="1">
      <w:start w:val="1"/>
      <w:numFmt w:val="bullet"/>
      <w:lvlText w:val=""/>
      <w:lvlJc w:val="left"/>
      <w:pPr>
        <w:ind w:left="2880" w:hanging="360"/>
      </w:pPr>
      <w:rPr>
        <w:rFonts w:ascii="Symbol" w:hAnsi="Symbol" w:hint="default"/>
      </w:rPr>
    </w:lvl>
    <w:lvl w:ilvl="4" w:tplc="04100019" w:tentative="1">
      <w:start w:val="1"/>
      <w:numFmt w:val="bullet"/>
      <w:lvlText w:val="o"/>
      <w:lvlJc w:val="left"/>
      <w:pPr>
        <w:ind w:left="3600" w:hanging="360"/>
      </w:pPr>
      <w:rPr>
        <w:rFonts w:ascii="Courier New" w:hAnsi="Courier New" w:cs="Courier New" w:hint="default"/>
      </w:rPr>
    </w:lvl>
    <w:lvl w:ilvl="5" w:tplc="0410001B" w:tentative="1">
      <w:start w:val="1"/>
      <w:numFmt w:val="bullet"/>
      <w:lvlText w:val=""/>
      <w:lvlJc w:val="left"/>
      <w:pPr>
        <w:ind w:left="4320" w:hanging="360"/>
      </w:pPr>
      <w:rPr>
        <w:rFonts w:ascii="Wingdings" w:hAnsi="Wingdings" w:hint="default"/>
      </w:rPr>
    </w:lvl>
    <w:lvl w:ilvl="6" w:tplc="0410000F" w:tentative="1">
      <w:start w:val="1"/>
      <w:numFmt w:val="bullet"/>
      <w:lvlText w:val=""/>
      <w:lvlJc w:val="left"/>
      <w:pPr>
        <w:ind w:left="5040" w:hanging="360"/>
      </w:pPr>
      <w:rPr>
        <w:rFonts w:ascii="Symbol" w:hAnsi="Symbol" w:hint="default"/>
      </w:rPr>
    </w:lvl>
    <w:lvl w:ilvl="7" w:tplc="04100019" w:tentative="1">
      <w:start w:val="1"/>
      <w:numFmt w:val="bullet"/>
      <w:lvlText w:val="o"/>
      <w:lvlJc w:val="left"/>
      <w:pPr>
        <w:ind w:left="5760" w:hanging="360"/>
      </w:pPr>
      <w:rPr>
        <w:rFonts w:ascii="Courier New" w:hAnsi="Courier New" w:cs="Courier New" w:hint="default"/>
      </w:rPr>
    </w:lvl>
    <w:lvl w:ilvl="8" w:tplc="0410001B" w:tentative="1">
      <w:start w:val="1"/>
      <w:numFmt w:val="bullet"/>
      <w:lvlText w:val=""/>
      <w:lvlJc w:val="left"/>
      <w:pPr>
        <w:ind w:left="6480" w:hanging="360"/>
      </w:pPr>
      <w:rPr>
        <w:rFonts w:ascii="Wingdings" w:hAnsi="Wingdings" w:hint="default"/>
      </w:rPr>
    </w:lvl>
  </w:abstractNum>
  <w:abstractNum w:abstractNumId="62">
    <w:nsid w:val="4E5021A1"/>
    <w:multiLevelType w:val="hybridMultilevel"/>
    <w:tmpl w:val="C630AD86"/>
    <w:lvl w:ilvl="0" w:tplc="AE34B7DC">
      <w:start w:val="1"/>
      <w:numFmt w:val="decimal"/>
      <w:lvlText w:val="%1."/>
      <w:lvlJc w:val="left"/>
      <w:pPr>
        <w:tabs>
          <w:tab w:val="num" w:pos="170"/>
        </w:tabs>
        <w:ind w:left="170" w:hanging="17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4F012AAA"/>
    <w:multiLevelType w:val="hybridMultilevel"/>
    <w:tmpl w:val="A87ADF3A"/>
    <w:lvl w:ilvl="0" w:tplc="1EF4E09E">
      <w:start w:val="1"/>
      <w:numFmt w:val="decimal"/>
      <w:lvlText w:val="%1."/>
      <w:lvlJc w:val="left"/>
      <w:pPr>
        <w:tabs>
          <w:tab w:val="num" w:pos="170"/>
        </w:tabs>
        <w:ind w:left="170" w:hanging="170"/>
      </w:pPr>
      <w:rPr>
        <w:rFonts w:hint="default"/>
      </w:rPr>
    </w:lvl>
    <w:lvl w:ilvl="1" w:tplc="B7DA96B6" w:tentative="1">
      <w:start w:val="1"/>
      <w:numFmt w:val="bullet"/>
      <w:lvlText w:val="o"/>
      <w:lvlJc w:val="left"/>
      <w:pPr>
        <w:ind w:left="1440" w:hanging="360"/>
      </w:pPr>
      <w:rPr>
        <w:rFonts w:ascii="Courier New" w:hAnsi="Courier New" w:cs="Courier New" w:hint="default"/>
      </w:rPr>
    </w:lvl>
    <w:lvl w:ilvl="2" w:tplc="7130A7E6" w:tentative="1">
      <w:start w:val="1"/>
      <w:numFmt w:val="bullet"/>
      <w:lvlText w:val=""/>
      <w:lvlJc w:val="left"/>
      <w:pPr>
        <w:ind w:left="2160" w:hanging="360"/>
      </w:pPr>
      <w:rPr>
        <w:rFonts w:ascii="Wingdings" w:hAnsi="Wingdings" w:hint="default"/>
      </w:rPr>
    </w:lvl>
    <w:lvl w:ilvl="3" w:tplc="D5603C42" w:tentative="1">
      <w:start w:val="1"/>
      <w:numFmt w:val="bullet"/>
      <w:lvlText w:val=""/>
      <w:lvlJc w:val="left"/>
      <w:pPr>
        <w:ind w:left="2880" w:hanging="360"/>
      </w:pPr>
      <w:rPr>
        <w:rFonts w:ascii="Symbol" w:hAnsi="Symbol" w:hint="default"/>
      </w:rPr>
    </w:lvl>
    <w:lvl w:ilvl="4" w:tplc="1C5C5586" w:tentative="1">
      <w:start w:val="1"/>
      <w:numFmt w:val="bullet"/>
      <w:lvlText w:val="o"/>
      <w:lvlJc w:val="left"/>
      <w:pPr>
        <w:ind w:left="3600" w:hanging="360"/>
      </w:pPr>
      <w:rPr>
        <w:rFonts w:ascii="Courier New" w:hAnsi="Courier New" w:cs="Courier New" w:hint="default"/>
      </w:rPr>
    </w:lvl>
    <w:lvl w:ilvl="5" w:tplc="5816C050" w:tentative="1">
      <w:start w:val="1"/>
      <w:numFmt w:val="bullet"/>
      <w:lvlText w:val=""/>
      <w:lvlJc w:val="left"/>
      <w:pPr>
        <w:ind w:left="4320" w:hanging="360"/>
      </w:pPr>
      <w:rPr>
        <w:rFonts w:ascii="Wingdings" w:hAnsi="Wingdings" w:hint="default"/>
      </w:rPr>
    </w:lvl>
    <w:lvl w:ilvl="6" w:tplc="2FAC5CBE" w:tentative="1">
      <w:start w:val="1"/>
      <w:numFmt w:val="bullet"/>
      <w:lvlText w:val=""/>
      <w:lvlJc w:val="left"/>
      <w:pPr>
        <w:ind w:left="5040" w:hanging="360"/>
      </w:pPr>
      <w:rPr>
        <w:rFonts w:ascii="Symbol" w:hAnsi="Symbol" w:hint="default"/>
      </w:rPr>
    </w:lvl>
    <w:lvl w:ilvl="7" w:tplc="4E663752" w:tentative="1">
      <w:start w:val="1"/>
      <w:numFmt w:val="bullet"/>
      <w:lvlText w:val="o"/>
      <w:lvlJc w:val="left"/>
      <w:pPr>
        <w:ind w:left="5760" w:hanging="360"/>
      </w:pPr>
      <w:rPr>
        <w:rFonts w:ascii="Courier New" w:hAnsi="Courier New" w:cs="Courier New" w:hint="default"/>
      </w:rPr>
    </w:lvl>
    <w:lvl w:ilvl="8" w:tplc="CD26B7B0" w:tentative="1">
      <w:start w:val="1"/>
      <w:numFmt w:val="bullet"/>
      <w:lvlText w:val=""/>
      <w:lvlJc w:val="left"/>
      <w:pPr>
        <w:ind w:left="6480" w:hanging="360"/>
      </w:pPr>
      <w:rPr>
        <w:rFonts w:ascii="Wingdings" w:hAnsi="Wingdings" w:hint="default"/>
      </w:rPr>
    </w:lvl>
  </w:abstractNum>
  <w:abstractNum w:abstractNumId="64">
    <w:nsid w:val="4F330B85"/>
    <w:multiLevelType w:val="hybridMultilevel"/>
    <w:tmpl w:val="1A32467A"/>
    <w:lvl w:ilvl="0" w:tplc="AE34B7D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4F357132"/>
    <w:multiLevelType w:val="hybridMultilevel"/>
    <w:tmpl w:val="A040656A"/>
    <w:lvl w:ilvl="0" w:tplc="37E84EB4">
      <w:start w:val="1"/>
      <w:numFmt w:val="decimal"/>
      <w:lvlText w:val="%1."/>
      <w:lvlJc w:val="left"/>
      <w:pPr>
        <w:tabs>
          <w:tab w:val="num" w:pos="170"/>
        </w:tabs>
        <w:ind w:left="170" w:hanging="170"/>
      </w:pPr>
      <w:rPr>
        <w:rFont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6">
    <w:nsid w:val="4F831A82"/>
    <w:multiLevelType w:val="multilevel"/>
    <w:tmpl w:val="C36A445C"/>
    <w:lvl w:ilvl="0">
      <w:start w:val="1"/>
      <w:numFmt w:val="decimal"/>
      <w:pStyle w:val="CharCharCarattereCarattereCharChar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b/>
        <w:i w:val="0"/>
      </w:rPr>
    </w:lvl>
    <w:lvl w:ilvl="2">
      <w:start w:val="1"/>
      <w:numFmt w:val="decimal"/>
      <w:lvlText w:val="2.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7">
    <w:nsid w:val="4FDA25DA"/>
    <w:multiLevelType w:val="hybridMultilevel"/>
    <w:tmpl w:val="B756176C"/>
    <w:lvl w:ilvl="0" w:tplc="1BD4E72E">
      <w:start w:val="1"/>
      <w:numFmt w:val="decimal"/>
      <w:lvlText w:val="%1."/>
      <w:lvlJc w:val="left"/>
      <w:pPr>
        <w:tabs>
          <w:tab w:val="num" w:pos="170"/>
        </w:tabs>
        <w:ind w:left="170" w:hanging="170"/>
      </w:pPr>
      <w:rPr>
        <w:rFonts w:hint="default"/>
      </w:rPr>
    </w:lvl>
    <w:lvl w:ilvl="1" w:tplc="847E5D3C" w:tentative="1">
      <w:start w:val="1"/>
      <w:numFmt w:val="bullet"/>
      <w:lvlText w:val="o"/>
      <w:lvlJc w:val="left"/>
      <w:pPr>
        <w:ind w:left="1440" w:hanging="360"/>
      </w:pPr>
      <w:rPr>
        <w:rFonts w:ascii="Courier New" w:hAnsi="Courier New" w:cs="Courier New" w:hint="default"/>
      </w:rPr>
    </w:lvl>
    <w:lvl w:ilvl="2" w:tplc="1B2263D6" w:tentative="1">
      <w:start w:val="1"/>
      <w:numFmt w:val="bullet"/>
      <w:lvlText w:val=""/>
      <w:lvlJc w:val="left"/>
      <w:pPr>
        <w:ind w:left="2160" w:hanging="360"/>
      </w:pPr>
      <w:rPr>
        <w:rFonts w:ascii="Wingdings" w:hAnsi="Wingdings" w:hint="default"/>
      </w:rPr>
    </w:lvl>
    <w:lvl w:ilvl="3" w:tplc="693EC5A2" w:tentative="1">
      <w:start w:val="1"/>
      <w:numFmt w:val="bullet"/>
      <w:lvlText w:val=""/>
      <w:lvlJc w:val="left"/>
      <w:pPr>
        <w:ind w:left="2880" w:hanging="360"/>
      </w:pPr>
      <w:rPr>
        <w:rFonts w:ascii="Symbol" w:hAnsi="Symbol" w:hint="default"/>
      </w:rPr>
    </w:lvl>
    <w:lvl w:ilvl="4" w:tplc="4AA63934" w:tentative="1">
      <w:start w:val="1"/>
      <w:numFmt w:val="bullet"/>
      <w:lvlText w:val="o"/>
      <w:lvlJc w:val="left"/>
      <w:pPr>
        <w:ind w:left="3600" w:hanging="360"/>
      </w:pPr>
      <w:rPr>
        <w:rFonts w:ascii="Courier New" w:hAnsi="Courier New" w:cs="Courier New" w:hint="default"/>
      </w:rPr>
    </w:lvl>
    <w:lvl w:ilvl="5" w:tplc="DE142C5E" w:tentative="1">
      <w:start w:val="1"/>
      <w:numFmt w:val="bullet"/>
      <w:lvlText w:val=""/>
      <w:lvlJc w:val="left"/>
      <w:pPr>
        <w:ind w:left="4320" w:hanging="360"/>
      </w:pPr>
      <w:rPr>
        <w:rFonts w:ascii="Wingdings" w:hAnsi="Wingdings" w:hint="default"/>
      </w:rPr>
    </w:lvl>
    <w:lvl w:ilvl="6" w:tplc="9B628AE4" w:tentative="1">
      <w:start w:val="1"/>
      <w:numFmt w:val="bullet"/>
      <w:lvlText w:val=""/>
      <w:lvlJc w:val="left"/>
      <w:pPr>
        <w:ind w:left="5040" w:hanging="360"/>
      </w:pPr>
      <w:rPr>
        <w:rFonts w:ascii="Symbol" w:hAnsi="Symbol" w:hint="default"/>
      </w:rPr>
    </w:lvl>
    <w:lvl w:ilvl="7" w:tplc="EB16649E" w:tentative="1">
      <w:start w:val="1"/>
      <w:numFmt w:val="bullet"/>
      <w:lvlText w:val="o"/>
      <w:lvlJc w:val="left"/>
      <w:pPr>
        <w:ind w:left="5760" w:hanging="360"/>
      </w:pPr>
      <w:rPr>
        <w:rFonts w:ascii="Courier New" w:hAnsi="Courier New" w:cs="Courier New" w:hint="default"/>
      </w:rPr>
    </w:lvl>
    <w:lvl w:ilvl="8" w:tplc="58D694BE" w:tentative="1">
      <w:start w:val="1"/>
      <w:numFmt w:val="bullet"/>
      <w:lvlText w:val=""/>
      <w:lvlJc w:val="left"/>
      <w:pPr>
        <w:ind w:left="6480" w:hanging="360"/>
      </w:pPr>
      <w:rPr>
        <w:rFonts w:ascii="Wingdings" w:hAnsi="Wingdings" w:hint="default"/>
      </w:rPr>
    </w:lvl>
  </w:abstractNum>
  <w:abstractNum w:abstractNumId="68">
    <w:nsid w:val="50D425A0"/>
    <w:multiLevelType w:val="hybridMultilevel"/>
    <w:tmpl w:val="61F6723C"/>
    <w:lvl w:ilvl="0" w:tplc="47CE1800">
      <w:start w:val="1"/>
      <w:numFmt w:val="decimal"/>
      <w:lvlText w:val="%1."/>
      <w:lvlJc w:val="left"/>
      <w:pPr>
        <w:tabs>
          <w:tab w:val="num" w:pos="170"/>
        </w:tabs>
        <w:ind w:left="170" w:hanging="170"/>
      </w:pPr>
      <w:rPr>
        <w:rFont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9">
    <w:nsid w:val="513A6450"/>
    <w:multiLevelType w:val="hybridMultilevel"/>
    <w:tmpl w:val="7B34D658"/>
    <w:lvl w:ilvl="0" w:tplc="AE34B7DC">
      <w:start w:val="1"/>
      <w:numFmt w:val="decimal"/>
      <w:pStyle w:val="h"/>
      <w:lvlText w:val="%1."/>
      <w:lvlJc w:val="left"/>
      <w:pPr>
        <w:ind w:left="360" w:hanging="360"/>
      </w:p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70">
    <w:nsid w:val="5184038C"/>
    <w:multiLevelType w:val="hybridMultilevel"/>
    <w:tmpl w:val="036E0402"/>
    <w:lvl w:ilvl="0" w:tplc="04100017">
      <w:start w:val="4"/>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1">
    <w:nsid w:val="51A6167A"/>
    <w:multiLevelType w:val="hybridMultilevel"/>
    <w:tmpl w:val="1638C15A"/>
    <w:lvl w:ilvl="0" w:tplc="D79CF83C">
      <w:start w:val="1"/>
      <w:numFmt w:val="decimal"/>
      <w:lvlText w:val="%1."/>
      <w:lvlJc w:val="left"/>
      <w:pPr>
        <w:tabs>
          <w:tab w:val="num" w:pos="170"/>
        </w:tabs>
        <w:ind w:left="170" w:hanging="17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72">
    <w:nsid w:val="52B407F9"/>
    <w:multiLevelType w:val="hybridMultilevel"/>
    <w:tmpl w:val="FC0CEDC6"/>
    <w:lvl w:ilvl="0" w:tplc="AE34B7DC">
      <w:start w:val="1"/>
      <w:numFmt w:val="decimal"/>
      <w:lvlText w:val="%1."/>
      <w:lvlJc w:val="left"/>
      <w:pPr>
        <w:tabs>
          <w:tab w:val="num" w:pos="170"/>
        </w:tabs>
        <w:ind w:left="170" w:hanging="170"/>
      </w:pPr>
      <w:rPr>
        <w:rFonts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3">
    <w:nsid w:val="53750808"/>
    <w:multiLevelType w:val="hybridMultilevel"/>
    <w:tmpl w:val="93B61D02"/>
    <w:lvl w:ilvl="0" w:tplc="AE34B7DC">
      <w:start w:val="1"/>
      <w:numFmt w:val="decimal"/>
      <w:lvlText w:val="%1."/>
      <w:lvlJc w:val="left"/>
      <w:pPr>
        <w:tabs>
          <w:tab w:val="num" w:pos="170"/>
        </w:tabs>
        <w:ind w:left="170" w:hanging="17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544179B2"/>
    <w:multiLevelType w:val="hybridMultilevel"/>
    <w:tmpl w:val="D9726BC0"/>
    <w:lvl w:ilvl="0" w:tplc="AE34B7DC">
      <w:start w:val="1"/>
      <w:numFmt w:val="decimal"/>
      <w:lvlText w:val="%1."/>
      <w:lvlJc w:val="left"/>
      <w:pPr>
        <w:tabs>
          <w:tab w:val="num" w:pos="170"/>
        </w:tabs>
        <w:ind w:left="170" w:hanging="17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54D10AB0"/>
    <w:multiLevelType w:val="singleLevel"/>
    <w:tmpl w:val="5B50620E"/>
    <w:lvl w:ilvl="0">
      <w:start w:val="1"/>
      <w:numFmt w:val="bullet"/>
      <w:pStyle w:val="ListDash4"/>
      <w:lvlText w:val="–"/>
      <w:lvlJc w:val="left"/>
      <w:pPr>
        <w:tabs>
          <w:tab w:val="num" w:pos="1485"/>
        </w:tabs>
        <w:ind w:left="1485" w:hanging="283"/>
      </w:pPr>
      <w:rPr>
        <w:rFonts w:ascii="Times New Roman" w:hAnsi="Times New Roman"/>
      </w:rPr>
    </w:lvl>
  </w:abstractNum>
  <w:abstractNum w:abstractNumId="76">
    <w:nsid w:val="54D11AB9"/>
    <w:multiLevelType w:val="hybridMultilevel"/>
    <w:tmpl w:val="C4381352"/>
    <w:lvl w:ilvl="0" w:tplc="A642C264">
      <w:start w:val="1"/>
      <w:numFmt w:val="decimal"/>
      <w:lvlText w:val="%1."/>
      <w:lvlJc w:val="left"/>
      <w:pPr>
        <w:tabs>
          <w:tab w:val="num" w:pos="170"/>
        </w:tabs>
        <w:ind w:left="170" w:hanging="170"/>
      </w:pPr>
      <w:rPr>
        <w:rFonts w:hint="default"/>
      </w:rPr>
    </w:lvl>
    <w:lvl w:ilvl="1" w:tplc="1464BAF4" w:tentative="1">
      <w:start w:val="1"/>
      <w:numFmt w:val="bullet"/>
      <w:lvlText w:val="o"/>
      <w:lvlJc w:val="left"/>
      <w:pPr>
        <w:ind w:left="1440" w:hanging="360"/>
      </w:pPr>
      <w:rPr>
        <w:rFonts w:ascii="Courier New" w:hAnsi="Courier New" w:cs="Courier New" w:hint="default"/>
      </w:rPr>
    </w:lvl>
    <w:lvl w:ilvl="2" w:tplc="CBF047B2" w:tentative="1">
      <w:start w:val="1"/>
      <w:numFmt w:val="bullet"/>
      <w:lvlText w:val=""/>
      <w:lvlJc w:val="left"/>
      <w:pPr>
        <w:ind w:left="2160" w:hanging="360"/>
      </w:pPr>
      <w:rPr>
        <w:rFonts w:ascii="Wingdings" w:hAnsi="Wingdings" w:hint="default"/>
      </w:rPr>
    </w:lvl>
    <w:lvl w:ilvl="3" w:tplc="E7BA89E4" w:tentative="1">
      <w:start w:val="1"/>
      <w:numFmt w:val="bullet"/>
      <w:lvlText w:val=""/>
      <w:lvlJc w:val="left"/>
      <w:pPr>
        <w:ind w:left="2880" w:hanging="360"/>
      </w:pPr>
      <w:rPr>
        <w:rFonts w:ascii="Symbol" w:hAnsi="Symbol" w:hint="default"/>
      </w:rPr>
    </w:lvl>
    <w:lvl w:ilvl="4" w:tplc="7B9A2D20" w:tentative="1">
      <w:start w:val="1"/>
      <w:numFmt w:val="bullet"/>
      <w:lvlText w:val="o"/>
      <w:lvlJc w:val="left"/>
      <w:pPr>
        <w:ind w:left="3600" w:hanging="360"/>
      </w:pPr>
      <w:rPr>
        <w:rFonts w:ascii="Courier New" w:hAnsi="Courier New" w:cs="Courier New" w:hint="default"/>
      </w:rPr>
    </w:lvl>
    <w:lvl w:ilvl="5" w:tplc="8EA26638" w:tentative="1">
      <w:start w:val="1"/>
      <w:numFmt w:val="bullet"/>
      <w:lvlText w:val=""/>
      <w:lvlJc w:val="left"/>
      <w:pPr>
        <w:ind w:left="4320" w:hanging="360"/>
      </w:pPr>
      <w:rPr>
        <w:rFonts w:ascii="Wingdings" w:hAnsi="Wingdings" w:hint="default"/>
      </w:rPr>
    </w:lvl>
    <w:lvl w:ilvl="6" w:tplc="CD06E284" w:tentative="1">
      <w:start w:val="1"/>
      <w:numFmt w:val="bullet"/>
      <w:lvlText w:val=""/>
      <w:lvlJc w:val="left"/>
      <w:pPr>
        <w:ind w:left="5040" w:hanging="360"/>
      </w:pPr>
      <w:rPr>
        <w:rFonts w:ascii="Symbol" w:hAnsi="Symbol" w:hint="default"/>
      </w:rPr>
    </w:lvl>
    <w:lvl w:ilvl="7" w:tplc="9F7A8E44" w:tentative="1">
      <w:start w:val="1"/>
      <w:numFmt w:val="bullet"/>
      <w:lvlText w:val="o"/>
      <w:lvlJc w:val="left"/>
      <w:pPr>
        <w:ind w:left="5760" w:hanging="360"/>
      </w:pPr>
      <w:rPr>
        <w:rFonts w:ascii="Courier New" w:hAnsi="Courier New" w:cs="Courier New" w:hint="default"/>
      </w:rPr>
    </w:lvl>
    <w:lvl w:ilvl="8" w:tplc="5B4A9CFE" w:tentative="1">
      <w:start w:val="1"/>
      <w:numFmt w:val="bullet"/>
      <w:lvlText w:val=""/>
      <w:lvlJc w:val="left"/>
      <w:pPr>
        <w:ind w:left="6480" w:hanging="360"/>
      </w:pPr>
      <w:rPr>
        <w:rFonts w:ascii="Wingdings" w:hAnsi="Wingdings" w:hint="default"/>
      </w:rPr>
    </w:lvl>
  </w:abstractNum>
  <w:abstractNum w:abstractNumId="77">
    <w:nsid w:val="584F0763"/>
    <w:multiLevelType w:val="hybridMultilevel"/>
    <w:tmpl w:val="52EC8F30"/>
    <w:lvl w:ilvl="0" w:tplc="D79CF83C">
      <w:start w:val="1"/>
      <w:numFmt w:val="bullet"/>
      <w:lvlText w:val=""/>
      <w:lvlJc w:val="left"/>
      <w:pPr>
        <w:ind w:left="720" w:hanging="360"/>
      </w:pPr>
      <w:rPr>
        <w:rFonts w:ascii="Wingdings" w:hAnsi="Wingdings" w:hint="default"/>
        <w:color w:val="365F91" w:themeColor="accent1" w:themeShade="BF"/>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8">
    <w:nsid w:val="59460DE7"/>
    <w:multiLevelType w:val="hybridMultilevel"/>
    <w:tmpl w:val="3790EC9A"/>
    <w:lvl w:ilvl="0" w:tplc="AE34B7DC">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5B2C7E04"/>
    <w:multiLevelType w:val="hybridMultilevel"/>
    <w:tmpl w:val="578C2AF0"/>
    <w:lvl w:ilvl="0" w:tplc="5040F6BA">
      <w:start w:val="1"/>
      <w:numFmt w:val="decimal"/>
      <w:lvlText w:val="%1."/>
      <w:lvlJc w:val="left"/>
      <w:pPr>
        <w:tabs>
          <w:tab w:val="num" w:pos="170"/>
        </w:tabs>
        <w:ind w:left="170" w:hanging="170"/>
      </w:pPr>
      <w:rPr>
        <w:rFonts w:hint="default"/>
      </w:rPr>
    </w:lvl>
    <w:lvl w:ilvl="1" w:tplc="04100003" w:tentative="1">
      <w:start w:val="1"/>
      <w:numFmt w:val="lowerLetter"/>
      <w:lvlText w:val="%2."/>
      <w:lvlJc w:val="left"/>
      <w:pPr>
        <w:ind w:left="1440" w:hanging="360"/>
      </w:pPr>
    </w:lvl>
    <w:lvl w:ilvl="2" w:tplc="04100005" w:tentative="1">
      <w:start w:val="1"/>
      <w:numFmt w:val="lowerRoman"/>
      <w:lvlText w:val="%3."/>
      <w:lvlJc w:val="right"/>
      <w:pPr>
        <w:ind w:left="2160" w:hanging="180"/>
      </w:pPr>
    </w:lvl>
    <w:lvl w:ilvl="3" w:tplc="04100001" w:tentative="1">
      <w:start w:val="1"/>
      <w:numFmt w:val="decimal"/>
      <w:lvlText w:val="%4."/>
      <w:lvlJc w:val="left"/>
      <w:pPr>
        <w:ind w:left="2880" w:hanging="360"/>
      </w:pPr>
    </w:lvl>
    <w:lvl w:ilvl="4" w:tplc="04100003" w:tentative="1">
      <w:start w:val="1"/>
      <w:numFmt w:val="lowerLetter"/>
      <w:lvlText w:val="%5."/>
      <w:lvlJc w:val="left"/>
      <w:pPr>
        <w:ind w:left="3600" w:hanging="360"/>
      </w:pPr>
    </w:lvl>
    <w:lvl w:ilvl="5" w:tplc="04100005" w:tentative="1">
      <w:start w:val="1"/>
      <w:numFmt w:val="lowerRoman"/>
      <w:lvlText w:val="%6."/>
      <w:lvlJc w:val="right"/>
      <w:pPr>
        <w:ind w:left="4320" w:hanging="180"/>
      </w:pPr>
    </w:lvl>
    <w:lvl w:ilvl="6" w:tplc="04100001" w:tentative="1">
      <w:start w:val="1"/>
      <w:numFmt w:val="decimal"/>
      <w:lvlText w:val="%7."/>
      <w:lvlJc w:val="left"/>
      <w:pPr>
        <w:ind w:left="5040" w:hanging="360"/>
      </w:pPr>
    </w:lvl>
    <w:lvl w:ilvl="7" w:tplc="04100003" w:tentative="1">
      <w:start w:val="1"/>
      <w:numFmt w:val="lowerLetter"/>
      <w:lvlText w:val="%8."/>
      <w:lvlJc w:val="left"/>
      <w:pPr>
        <w:ind w:left="5760" w:hanging="360"/>
      </w:pPr>
    </w:lvl>
    <w:lvl w:ilvl="8" w:tplc="04100005" w:tentative="1">
      <w:start w:val="1"/>
      <w:numFmt w:val="lowerRoman"/>
      <w:lvlText w:val="%9."/>
      <w:lvlJc w:val="right"/>
      <w:pPr>
        <w:ind w:left="6480" w:hanging="180"/>
      </w:pPr>
    </w:lvl>
  </w:abstractNum>
  <w:abstractNum w:abstractNumId="80">
    <w:nsid w:val="5BDB374F"/>
    <w:multiLevelType w:val="multilevel"/>
    <w:tmpl w:val="9F58A2B0"/>
    <w:lvl w:ilvl="0">
      <w:start w:val="1"/>
      <w:numFmt w:val="upperRoman"/>
      <w:pStyle w:val="Heading0"/>
      <w:lvlText w:val="Section %1."/>
      <w:lvlJc w:val="left"/>
      <w:pPr>
        <w:tabs>
          <w:tab w:val="num" w:pos="397"/>
        </w:tabs>
        <w:ind w:left="397" w:hanging="397"/>
      </w:pPr>
      <w:rPr>
        <w:rFonts w:hint="default"/>
      </w:rPr>
    </w:lvl>
    <w:lvl w:ilvl="1">
      <w:start w:val="1"/>
      <w:numFmt w:val="decimal"/>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1">
    <w:nsid w:val="5C016F00"/>
    <w:multiLevelType w:val="hybridMultilevel"/>
    <w:tmpl w:val="2B303022"/>
    <w:lvl w:ilvl="0" w:tplc="AE34B7DC">
      <w:start w:val="1"/>
      <w:numFmt w:val="decimal"/>
      <w:lvlText w:val="%1."/>
      <w:lvlJc w:val="left"/>
      <w:pPr>
        <w:tabs>
          <w:tab w:val="num" w:pos="170"/>
        </w:tabs>
        <w:ind w:left="170" w:hanging="17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nsid w:val="5D530B34"/>
    <w:multiLevelType w:val="hybridMultilevel"/>
    <w:tmpl w:val="086462BE"/>
    <w:lvl w:ilvl="0" w:tplc="7FDA75BE">
      <w:start w:val="1"/>
      <w:numFmt w:val="bullet"/>
      <w:lvlText w:val=""/>
      <w:lvlJc w:val="left"/>
      <w:pPr>
        <w:tabs>
          <w:tab w:val="num" w:pos="113"/>
        </w:tabs>
        <w:ind w:left="113" w:hanging="113"/>
      </w:pPr>
      <w:rPr>
        <w:rFonts w:ascii="Symbol" w:hAnsi="Symbol" w:hint="default"/>
      </w:rPr>
    </w:lvl>
    <w:lvl w:ilvl="1" w:tplc="5E44E4C8" w:tentative="1">
      <w:start w:val="1"/>
      <w:numFmt w:val="bullet"/>
      <w:lvlText w:val="o"/>
      <w:lvlJc w:val="left"/>
      <w:pPr>
        <w:ind w:left="1440" w:hanging="360"/>
      </w:pPr>
      <w:rPr>
        <w:rFonts w:ascii="Courier New" w:hAnsi="Courier New" w:hint="default"/>
      </w:rPr>
    </w:lvl>
    <w:lvl w:ilvl="2" w:tplc="64FC71B2" w:tentative="1">
      <w:start w:val="1"/>
      <w:numFmt w:val="bullet"/>
      <w:lvlText w:val=""/>
      <w:lvlJc w:val="left"/>
      <w:pPr>
        <w:ind w:left="2160" w:hanging="360"/>
      </w:pPr>
      <w:rPr>
        <w:rFonts w:ascii="Wingdings" w:hAnsi="Wingdings" w:hint="default"/>
      </w:rPr>
    </w:lvl>
    <w:lvl w:ilvl="3" w:tplc="3B9678F2" w:tentative="1">
      <w:start w:val="1"/>
      <w:numFmt w:val="bullet"/>
      <w:lvlText w:val=""/>
      <w:lvlJc w:val="left"/>
      <w:pPr>
        <w:ind w:left="2880" w:hanging="360"/>
      </w:pPr>
      <w:rPr>
        <w:rFonts w:ascii="Symbol" w:hAnsi="Symbol" w:hint="default"/>
      </w:rPr>
    </w:lvl>
    <w:lvl w:ilvl="4" w:tplc="80BC1550" w:tentative="1">
      <w:start w:val="1"/>
      <w:numFmt w:val="bullet"/>
      <w:lvlText w:val="o"/>
      <w:lvlJc w:val="left"/>
      <w:pPr>
        <w:ind w:left="3600" w:hanging="360"/>
      </w:pPr>
      <w:rPr>
        <w:rFonts w:ascii="Courier New" w:hAnsi="Courier New" w:hint="default"/>
      </w:rPr>
    </w:lvl>
    <w:lvl w:ilvl="5" w:tplc="23B43422" w:tentative="1">
      <w:start w:val="1"/>
      <w:numFmt w:val="bullet"/>
      <w:lvlText w:val=""/>
      <w:lvlJc w:val="left"/>
      <w:pPr>
        <w:ind w:left="4320" w:hanging="360"/>
      </w:pPr>
      <w:rPr>
        <w:rFonts w:ascii="Wingdings" w:hAnsi="Wingdings" w:hint="default"/>
      </w:rPr>
    </w:lvl>
    <w:lvl w:ilvl="6" w:tplc="6302B96E" w:tentative="1">
      <w:start w:val="1"/>
      <w:numFmt w:val="bullet"/>
      <w:lvlText w:val=""/>
      <w:lvlJc w:val="left"/>
      <w:pPr>
        <w:ind w:left="5040" w:hanging="360"/>
      </w:pPr>
      <w:rPr>
        <w:rFonts w:ascii="Symbol" w:hAnsi="Symbol" w:hint="default"/>
      </w:rPr>
    </w:lvl>
    <w:lvl w:ilvl="7" w:tplc="337C7D8E" w:tentative="1">
      <w:start w:val="1"/>
      <w:numFmt w:val="bullet"/>
      <w:lvlText w:val="o"/>
      <w:lvlJc w:val="left"/>
      <w:pPr>
        <w:ind w:left="5760" w:hanging="360"/>
      </w:pPr>
      <w:rPr>
        <w:rFonts w:ascii="Courier New" w:hAnsi="Courier New" w:hint="default"/>
      </w:rPr>
    </w:lvl>
    <w:lvl w:ilvl="8" w:tplc="12D02474" w:tentative="1">
      <w:start w:val="1"/>
      <w:numFmt w:val="bullet"/>
      <w:lvlText w:val=""/>
      <w:lvlJc w:val="left"/>
      <w:pPr>
        <w:ind w:left="6480" w:hanging="360"/>
      </w:pPr>
      <w:rPr>
        <w:rFonts w:ascii="Wingdings" w:hAnsi="Wingdings" w:hint="default"/>
      </w:rPr>
    </w:lvl>
  </w:abstractNum>
  <w:abstractNum w:abstractNumId="83">
    <w:nsid w:val="5E0D6286"/>
    <w:multiLevelType w:val="singleLevel"/>
    <w:tmpl w:val="B0567122"/>
    <w:lvl w:ilvl="0">
      <w:start w:val="1"/>
      <w:numFmt w:val="bullet"/>
      <w:pStyle w:val="ListDash2"/>
      <w:lvlText w:val="–"/>
      <w:lvlJc w:val="left"/>
      <w:pPr>
        <w:tabs>
          <w:tab w:val="num" w:pos="1485"/>
        </w:tabs>
        <w:ind w:left="1485" w:hanging="283"/>
      </w:pPr>
      <w:rPr>
        <w:rFonts w:ascii="Times New Roman" w:hAnsi="Times New Roman"/>
      </w:rPr>
    </w:lvl>
  </w:abstractNum>
  <w:abstractNum w:abstractNumId="84">
    <w:nsid w:val="5F7552AC"/>
    <w:multiLevelType w:val="hybridMultilevel"/>
    <w:tmpl w:val="514C5180"/>
    <w:lvl w:ilvl="0" w:tplc="D79CF83C">
      <w:start w:val="1"/>
      <w:numFmt w:val="decimal"/>
      <w:lvlText w:val="%1."/>
      <w:lvlJc w:val="left"/>
      <w:pPr>
        <w:tabs>
          <w:tab w:val="num" w:pos="170"/>
        </w:tabs>
        <w:ind w:left="170" w:hanging="170"/>
      </w:pPr>
      <w:rPr>
        <w:rFont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5">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86">
    <w:nsid w:val="61942FDB"/>
    <w:multiLevelType w:val="hybridMultilevel"/>
    <w:tmpl w:val="5E602386"/>
    <w:lvl w:ilvl="0" w:tplc="AE34B7DC">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nsid w:val="62286C14"/>
    <w:multiLevelType w:val="hybridMultilevel"/>
    <w:tmpl w:val="2D08FE3E"/>
    <w:lvl w:ilvl="0" w:tplc="AAC82CE6">
      <w:start w:val="1"/>
      <w:numFmt w:val="bullet"/>
      <w:lvlText w:val=""/>
      <w:lvlJc w:val="left"/>
      <w:pPr>
        <w:ind w:left="720" w:hanging="360"/>
      </w:pPr>
      <w:rPr>
        <w:rFonts w:ascii="Wingdings" w:hAnsi="Wingdings" w:hint="default"/>
        <w:color w:val="365F91" w:themeColor="accent1" w:themeShade="BF"/>
      </w:rPr>
    </w:lvl>
    <w:lvl w:ilvl="1" w:tplc="DAEC22D8" w:tentative="1">
      <w:start w:val="1"/>
      <w:numFmt w:val="bullet"/>
      <w:lvlText w:val="o"/>
      <w:lvlJc w:val="left"/>
      <w:pPr>
        <w:ind w:left="1440" w:hanging="360"/>
      </w:pPr>
      <w:rPr>
        <w:rFonts w:ascii="Courier New" w:hAnsi="Courier New" w:hint="default"/>
      </w:rPr>
    </w:lvl>
    <w:lvl w:ilvl="2" w:tplc="29923A68" w:tentative="1">
      <w:start w:val="1"/>
      <w:numFmt w:val="bullet"/>
      <w:lvlText w:val=""/>
      <w:lvlJc w:val="left"/>
      <w:pPr>
        <w:ind w:left="2160" w:hanging="360"/>
      </w:pPr>
      <w:rPr>
        <w:rFonts w:ascii="Wingdings" w:hAnsi="Wingdings" w:hint="default"/>
      </w:rPr>
    </w:lvl>
    <w:lvl w:ilvl="3" w:tplc="03E6D3FE" w:tentative="1">
      <w:start w:val="1"/>
      <w:numFmt w:val="bullet"/>
      <w:lvlText w:val=""/>
      <w:lvlJc w:val="left"/>
      <w:pPr>
        <w:ind w:left="2880" w:hanging="360"/>
      </w:pPr>
      <w:rPr>
        <w:rFonts w:ascii="Symbol" w:hAnsi="Symbol" w:hint="default"/>
      </w:rPr>
    </w:lvl>
    <w:lvl w:ilvl="4" w:tplc="52FE3C56" w:tentative="1">
      <w:start w:val="1"/>
      <w:numFmt w:val="bullet"/>
      <w:lvlText w:val="o"/>
      <w:lvlJc w:val="left"/>
      <w:pPr>
        <w:ind w:left="3600" w:hanging="360"/>
      </w:pPr>
      <w:rPr>
        <w:rFonts w:ascii="Courier New" w:hAnsi="Courier New" w:hint="default"/>
      </w:rPr>
    </w:lvl>
    <w:lvl w:ilvl="5" w:tplc="40D6DE74" w:tentative="1">
      <w:start w:val="1"/>
      <w:numFmt w:val="bullet"/>
      <w:lvlText w:val=""/>
      <w:lvlJc w:val="left"/>
      <w:pPr>
        <w:ind w:left="4320" w:hanging="360"/>
      </w:pPr>
      <w:rPr>
        <w:rFonts w:ascii="Wingdings" w:hAnsi="Wingdings" w:hint="default"/>
      </w:rPr>
    </w:lvl>
    <w:lvl w:ilvl="6" w:tplc="83EC83EC" w:tentative="1">
      <w:start w:val="1"/>
      <w:numFmt w:val="bullet"/>
      <w:lvlText w:val=""/>
      <w:lvlJc w:val="left"/>
      <w:pPr>
        <w:ind w:left="5040" w:hanging="360"/>
      </w:pPr>
      <w:rPr>
        <w:rFonts w:ascii="Symbol" w:hAnsi="Symbol" w:hint="default"/>
      </w:rPr>
    </w:lvl>
    <w:lvl w:ilvl="7" w:tplc="577E0602" w:tentative="1">
      <w:start w:val="1"/>
      <w:numFmt w:val="bullet"/>
      <w:lvlText w:val="o"/>
      <w:lvlJc w:val="left"/>
      <w:pPr>
        <w:ind w:left="5760" w:hanging="360"/>
      </w:pPr>
      <w:rPr>
        <w:rFonts w:ascii="Courier New" w:hAnsi="Courier New" w:hint="default"/>
      </w:rPr>
    </w:lvl>
    <w:lvl w:ilvl="8" w:tplc="DD349A6A" w:tentative="1">
      <w:start w:val="1"/>
      <w:numFmt w:val="bullet"/>
      <w:lvlText w:val=""/>
      <w:lvlJc w:val="left"/>
      <w:pPr>
        <w:ind w:left="6480" w:hanging="360"/>
      </w:pPr>
      <w:rPr>
        <w:rFonts w:ascii="Wingdings" w:hAnsi="Wingdings" w:hint="default"/>
      </w:rPr>
    </w:lvl>
  </w:abstractNum>
  <w:abstractNum w:abstractNumId="88">
    <w:nsid w:val="62674536"/>
    <w:multiLevelType w:val="multilevel"/>
    <w:tmpl w:val="36220EF2"/>
    <w:lvl w:ilvl="0">
      <w:start w:val="1"/>
      <w:numFmt w:val="decimal"/>
      <w:lvlText w:val="%1"/>
      <w:lvlJc w:val="left"/>
      <w:pPr>
        <w:tabs>
          <w:tab w:val="num" w:pos="720"/>
        </w:tabs>
        <w:ind w:left="720" w:hanging="720"/>
      </w:pPr>
      <w:rPr>
        <w:rFonts w:hint="default"/>
      </w:rPr>
    </w:lvl>
    <w:lvl w:ilvl="1">
      <w:start w:val="1"/>
      <w:numFmt w:val="decimal"/>
      <w:pStyle w:val="Bulletlevel2"/>
      <w:lvlText w:val="%1.%2"/>
      <w:lvlJc w:val="left"/>
      <w:pPr>
        <w:tabs>
          <w:tab w:val="num" w:pos="720"/>
        </w:tabs>
        <w:ind w:left="720" w:hanging="720"/>
      </w:pPr>
      <w:rPr>
        <w:rFonts w:hint="default"/>
      </w:rPr>
    </w:lvl>
    <w:lvl w:ilvl="2">
      <w:start w:val="1"/>
      <w:numFmt w:val="decimal"/>
      <w:lvlText w:val="%1.%2.%3"/>
      <w:lvlJc w:val="left"/>
      <w:pPr>
        <w:tabs>
          <w:tab w:val="num" w:pos="1080"/>
        </w:tabs>
        <w:ind w:left="720" w:hanging="720"/>
      </w:pPr>
      <w:rPr>
        <w:rFonts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lvlText w:val="%1.%2.%3.%4"/>
      <w:lvlJc w:val="left"/>
      <w:pPr>
        <w:tabs>
          <w:tab w:val="num" w:pos="1440"/>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9">
    <w:nsid w:val="66B75600"/>
    <w:multiLevelType w:val="singleLevel"/>
    <w:tmpl w:val="EBBC44FA"/>
    <w:lvl w:ilvl="0">
      <w:start w:val="1"/>
      <w:numFmt w:val="bullet"/>
      <w:pStyle w:val="Logro"/>
      <w:lvlText w:val=""/>
      <w:lvlJc w:val="left"/>
      <w:pPr>
        <w:tabs>
          <w:tab w:val="num" w:pos="360"/>
        </w:tabs>
        <w:ind w:left="245" w:right="245" w:hanging="245"/>
      </w:pPr>
      <w:rPr>
        <w:rFonts w:ascii="Wingdings" w:hAnsi="Wingdings" w:hint="default"/>
      </w:rPr>
    </w:lvl>
  </w:abstractNum>
  <w:abstractNum w:abstractNumId="90">
    <w:nsid w:val="67E62CC5"/>
    <w:multiLevelType w:val="multilevel"/>
    <w:tmpl w:val="6D62B254"/>
    <w:lvl w:ilvl="0">
      <w:start w:val="1"/>
      <w:numFmt w:val="decimal"/>
      <w:pStyle w:val="ECDPMHeading1numbered"/>
      <w:lvlText w:val="%1."/>
      <w:lvlJc w:val="left"/>
      <w:pPr>
        <w:tabs>
          <w:tab w:val="num" w:pos="567"/>
        </w:tabs>
        <w:ind w:left="567" w:hanging="567"/>
      </w:pPr>
      <w:rPr>
        <w:rFonts w:ascii="Verdana" w:hAnsi="Verdana" w:hint="default"/>
        <w:b w:val="0"/>
        <w:i w:val="0"/>
        <w:caps w:val="0"/>
        <w:strike w:val="0"/>
        <w:dstrike w:val="0"/>
        <w:vanish w:val="0"/>
        <w:color w:val="0092D2"/>
        <w:sz w:val="32"/>
        <w:vertAlign w:val="baseline"/>
      </w:rPr>
    </w:lvl>
    <w:lvl w:ilvl="1">
      <w:start w:val="1"/>
      <w:numFmt w:val="decimal"/>
      <w:pStyle w:val="ECDPMHeading2numbered"/>
      <w:lvlText w:val="%1.%2."/>
      <w:lvlJc w:val="left"/>
      <w:pPr>
        <w:ind w:left="432" w:hanging="432"/>
      </w:pPr>
      <w:rPr>
        <w:rFonts w:ascii="Verdana" w:hAnsi="Verdana" w:hint="default"/>
        <w:b w:val="0"/>
        <w:i w:val="0"/>
        <w:color w:val="0092D2"/>
        <w:sz w:val="24"/>
      </w:rPr>
    </w:lvl>
    <w:lvl w:ilvl="2">
      <w:start w:val="1"/>
      <w:numFmt w:val="decimal"/>
      <w:pStyle w:val="ECDPMHeading3numbered"/>
      <w:lvlText w:val="%1.%2.%3."/>
      <w:lvlJc w:val="left"/>
      <w:pPr>
        <w:tabs>
          <w:tab w:val="num" w:pos="862"/>
        </w:tabs>
        <w:ind w:left="864" w:hanging="864"/>
      </w:pPr>
      <w:rPr>
        <w:rFonts w:ascii="Verdana" w:hAnsi="Verdana" w:hint="default"/>
        <w:b/>
        <w:i w:val="0"/>
        <w:color w:val="7C892B"/>
        <w:sz w:val="20"/>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91">
    <w:nsid w:val="688335B0"/>
    <w:multiLevelType w:val="hybridMultilevel"/>
    <w:tmpl w:val="AAF62B4A"/>
    <w:lvl w:ilvl="0" w:tplc="5CF0F894">
      <w:start w:val="1"/>
      <w:numFmt w:val="decimal"/>
      <w:lvlText w:val="%1."/>
      <w:lvlJc w:val="left"/>
      <w:pPr>
        <w:tabs>
          <w:tab w:val="num" w:pos="170"/>
        </w:tabs>
        <w:ind w:left="170" w:hanging="170"/>
      </w:pPr>
      <w:rPr>
        <w:rFonts w:hint="default"/>
      </w:rPr>
    </w:lvl>
    <w:lvl w:ilvl="1" w:tplc="C9961760" w:tentative="1">
      <w:start w:val="1"/>
      <w:numFmt w:val="bullet"/>
      <w:lvlText w:val="o"/>
      <w:lvlJc w:val="left"/>
      <w:pPr>
        <w:ind w:left="1440" w:hanging="360"/>
      </w:pPr>
      <w:rPr>
        <w:rFonts w:ascii="Courier New" w:hAnsi="Courier New" w:cs="Courier New" w:hint="default"/>
      </w:rPr>
    </w:lvl>
    <w:lvl w:ilvl="2" w:tplc="2A9ACB74" w:tentative="1">
      <w:start w:val="1"/>
      <w:numFmt w:val="bullet"/>
      <w:lvlText w:val=""/>
      <w:lvlJc w:val="left"/>
      <w:pPr>
        <w:ind w:left="2160" w:hanging="360"/>
      </w:pPr>
      <w:rPr>
        <w:rFonts w:ascii="Wingdings" w:hAnsi="Wingdings" w:hint="default"/>
      </w:rPr>
    </w:lvl>
    <w:lvl w:ilvl="3" w:tplc="D5FCC0F6" w:tentative="1">
      <w:start w:val="1"/>
      <w:numFmt w:val="bullet"/>
      <w:lvlText w:val=""/>
      <w:lvlJc w:val="left"/>
      <w:pPr>
        <w:ind w:left="2880" w:hanging="360"/>
      </w:pPr>
      <w:rPr>
        <w:rFonts w:ascii="Symbol" w:hAnsi="Symbol" w:hint="default"/>
      </w:rPr>
    </w:lvl>
    <w:lvl w:ilvl="4" w:tplc="15C48206" w:tentative="1">
      <w:start w:val="1"/>
      <w:numFmt w:val="bullet"/>
      <w:lvlText w:val="o"/>
      <w:lvlJc w:val="left"/>
      <w:pPr>
        <w:ind w:left="3600" w:hanging="360"/>
      </w:pPr>
      <w:rPr>
        <w:rFonts w:ascii="Courier New" w:hAnsi="Courier New" w:cs="Courier New" w:hint="default"/>
      </w:rPr>
    </w:lvl>
    <w:lvl w:ilvl="5" w:tplc="ABAEB2BC" w:tentative="1">
      <w:start w:val="1"/>
      <w:numFmt w:val="bullet"/>
      <w:lvlText w:val=""/>
      <w:lvlJc w:val="left"/>
      <w:pPr>
        <w:ind w:left="4320" w:hanging="360"/>
      </w:pPr>
      <w:rPr>
        <w:rFonts w:ascii="Wingdings" w:hAnsi="Wingdings" w:hint="default"/>
      </w:rPr>
    </w:lvl>
    <w:lvl w:ilvl="6" w:tplc="4C5E1F4A" w:tentative="1">
      <w:start w:val="1"/>
      <w:numFmt w:val="bullet"/>
      <w:lvlText w:val=""/>
      <w:lvlJc w:val="left"/>
      <w:pPr>
        <w:ind w:left="5040" w:hanging="360"/>
      </w:pPr>
      <w:rPr>
        <w:rFonts w:ascii="Symbol" w:hAnsi="Symbol" w:hint="default"/>
      </w:rPr>
    </w:lvl>
    <w:lvl w:ilvl="7" w:tplc="B096097E" w:tentative="1">
      <w:start w:val="1"/>
      <w:numFmt w:val="bullet"/>
      <w:lvlText w:val="o"/>
      <w:lvlJc w:val="left"/>
      <w:pPr>
        <w:ind w:left="5760" w:hanging="360"/>
      </w:pPr>
      <w:rPr>
        <w:rFonts w:ascii="Courier New" w:hAnsi="Courier New" w:cs="Courier New" w:hint="default"/>
      </w:rPr>
    </w:lvl>
    <w:lvl w:ilvl="8" w:tplc="A3CE950E" w:tentative="1">
      <w:start w:val="1"/>
      <w:numFmt w:val="bullet"/>
      <w:lvlText w:val=""/>
      <w:lvlJc w:val="left"/>
      <w:pPr>
        <w:ind w:left="6480" w:hanging="360"/>
      </w:pPr>
      <w:rPr>
        <w:rFonts w:ascii="Wingdings" w:hAnsi="Wingdings" w:hint="default"/>
      </w:rPr>
    </w:lvl>
  </w:abstractNum>
  <w:abstractNum w:abstractNumId="92">
    <w:nsid w:val="689B46BA"/>
    <w:multiLevelType w:val="hybridMultilevel"/>
    <w:tmpl w:val="2AFA0FD2"/>
    <w:lvl w:ilvl="0" w:tplc="EFC2A886">
      <w:start w:val="1"/>
      <w:numFmt w:val="bullet"/>
      <w:lvlText w:val="-"/>
      <w:lvlJc w:val="left"/>
      <w:pPr>
        <w:tabs>
          <w:tab w:val="num" w:pos="113"/>
        </w:tabs>
        <w:ind w:left="113" w:hanging="113"/>
      </w:pPr>
      <w:rPr>
        <w:rFonts w:ascii="Arial" w:hAnsi="Arial" w:hint="default"/>
      </w:rPr>
    </w:lvl>
    <w:lvl w:ilvl="1" w:tplc="BB36BFB8" w:tentative="1">
      <w:start w:val="1"/>
      <w:numFmt w:val="bullet"/>
      <w:lvlText w:val="o"/>
      <w:lvlJc w:val="left"/>
      <w:pPr>
        <w:ind w:left="1440" w:hanging="360"/>
      </w:pPr>
      <w:rPr>
        <w:rFonts w:ascii="Courier New" w:hAnsi="Courier New" w:cs="Courier New" w:hint="default"/>
      </w:rPr>
    </w:lvl>
    <w:lvl w:ilvl="2" w:tplc="8EA28832" w:tentative="1">
      <w:start w:val="1"/>
      <w:numFmt w:val="bullet"/>
      <w:lvlText w:val=""/>
      <w:lvlJc w:val="left"/>
      <w:pPr>
        <w:ind w:left="2160" w:hanging="360"/>
      </w:pPr>
      <w:rPr>
        <w:rFonts w:ascii="Wingdings" w:hAnsi="Wingdings" w:hint="default"/>
      </w:rPr>
    </w:lvl>
    <w:lvl w:ilvl="3" w:tplc="6556308E" w:tentative="1">
      <w:start w:val="1"/>
      <w:numFmt w:val="bullet"/>
      <w:lvlText w:val=""/>
      <w:lvlJc w:val="left"/>
      <w:pPr>
        <w:ind w:left="2880" w:hanging="360"/>
      </w:pPr>
      <w:rPr>
        <w:rFonts w:ascii="Symbol" w:hAnsi="Symbol" w:hint="default"/>
      </w:rPr>
    </w:lvl>
    <w:lvl w:ilvl="4" w:tplc="1A22E9F8" w:tentative="1">
      <w:start w:val="1"/>
      <w:numFmt w:val="bullet"/>
      <w:lvlText w:val="o"/>
      <w:lvlJc w:val="left"/>
      <w:pPr>
        <w:ind w:left="3600" w:hanging="360"/>
      </w:pPr>
      <w:rPr>
        <w:rFonts w:ascii="Courier New" w:hAnsi="Courier New" w:cs="Courier New" w:hint="default"/>
      </w:rPr>
    </w:lvl>
    <w:lvl w:ilvl="5" w:tplc="8ACC13E4" w:tentative="1">
      <w:start w:val="1"/>
      <w:numFmt w:val="bullet"/>
      <w:lvlText w:val=""/>
      <w:lvlJc w:val="left"/>
      <w:pPr>
        <w:ind w:left="4320" w:hanging="360"/>
      </w:pPr>
      <w:rPr>
        <w:rFonts w:ascii="Wingdings" w:hAnsi="Wingdings" w:hint="default"/>
      </w:rPr>
    </w:lvl>
    <w:lvl w:ilvl="6" w:tplc="68E2373A" w:tentative="1">
      <w:start w:val="1"/>
      <w:numFmt w:val="bullet"/>
      <w:lvlText w:val=""/>
      <w:lvlJc w:val="left"/>
      <w:pPr>
        <w:ind w:left="5040" w:hanging="360"/>
      </w:pPr>
      <w:rPr>
        <w:rFonts w:ascii="Symbol" w:hAnsi="Symbol" w:hint="default"/>
      </w:rPr>
    </w:lvl>
    <w:lvl w:ilvl="7" w:tplc="0414D1EA" w:tentative="1">
      <w:start w:val="1"/>
      <w:numFmt w:val="bullet"/>
      <w:lvlText w:val="o"/>
      <w:lvlJc w:val="left"/>
      <w:pPr>
        <w:ind w:left="5760" w:hanging="360"/>
      </w:pPr>
      <w:rPr>
        <w:rFonts w:ascii="Courier New" w:hAnsi="Courier New" w:cs="Courier New" w:hint="default"/>
      </w:rPr>
    </w:lvl>
    <w:lvl w:ilvl="8" w:tplc="BAD0738A" w:tentative="1">
      <w:start w:val="1"/>
      <w:numFmt w:val="bullet"/>
      <w:lvlText w:val=""/>
      <w:lvlJc w:val="left"/>
      <w:pPr>
        <w:ind w:left="6480" w:hanging="360"/>
      </w:pPr>
      <w:rPr>
        <w:rFonts w:ascii="Wingdings" w:hAnsi="Wingdings" w:hint="default"/>
      </w:rPr>
    </w:lvl>
  </w:abstractNum>
  <w:abstractNum w:abstractNumId="93">
    <w:nsid w:val="692E5DF4"/>
    <w:multiLevelType w:val="hybridMultilevel"/>
    <w:tmpl w:val="A6967430"/>
    <w:lvl w:ilvl="0" w:tplc="AE34B7DC">
      <w:start w:val="1"/>
      <w:numFmt w:val="decimal"/>
      <w:lvlText w:val="%1."/>
      <w:lvlJc w:val="left"/>
      <w:pPr>
        <w:ind w:left="720" w:hanging="360"/>
      </w:pPr>
    </w:lvl>
    <w:lvl w:ilvl="1" w:tplc="04090003">
      <w:start w:val="1"/>
      <w:numFmt w:val="decimal"/>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94">
    <w:nsid w:val="6BDD487D"/>
    <w:multiLevelType w:val="hybridMultilevel"/>
    <w:tmpl w:val="A8F2E42C"/>
    <w:lvl w:ilvl="0" w:tplc="5906B37C">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nsid w:val="6CEE35EA"/>
    <w:multiLevelType w:val="hybridMultilevel"/>
    <w:tmpl w:val="5E184F24"/>
    <w:lvl w:ilvl="0" w:tplc="0809000F">
      <w:start w:val="1"/>
      <w:numFmt w:val="bullet"/>
      <w:pStyle w:val="Keyqualifications"/>
      <w:lvlText w:val=""/>
      <w:lvlJc w:val="left"/>
      <w:pPr>
        <w:tabs>
          <w:tab w:val="num" w:pos="720"/>
        </w:tabs>
        <w:ind w:left="720" w:hanging="360"/>
      </w:pPr>
      <w:rPr>
        <w:rFonts w:ascii="Symbol" w:hAnsi="Symbol" w:hint="default"/>
      </w:rPr>
    </w:lvl>
    <w:lvl w:ilvl="1" w:tplc="0809000F" w:tentative="1">
      <w:start w:val="1"/>
      <w:numFmt w:val="bullet"/>
      <w:lvlText w:val="o"/>
      <w:lvlJc w:val="left"/>
      <w:pPr>
        <w:tabs>
          <w:tab w:val="num" w:pos="1440"/>
        </w:tabs>
        <w:ind w:left="1440" w:hanging="360"/>
      </w:pPr>
      <w:rPr>
        <w:rFonts w:ascii="Courier New" w:hAnsi="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96">
    <w:nsid w:val="6CFF4F07"/>
    <w:multiLevelType w:val="multilevel"/>
    <w:tmpl w:val="A50EB62E"/>
    <w:lvl w:ilvl="0">
      <w:start w:val="1"/>
      <w:numFmt w:val="decimal"/>
      <w:pStyle w:val="Heading11"/>
      <w:lvlText w:val="%1."/>
      <w:lvlJc w:val="left"/>
      <w:pPr>
        <w:tabs>
          <w:tab w:val="num" w:pos="360"/>
        </w:tabs>
        <w:ind w:left="360" w:hanging="360"/>
      </w:pPr>
      <w:rPr>
        <w:rFonts w:ascii="Times New Roman" w:hAnsi="Times New Roman"/>
      </w:r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97">
    <w:nsid w:val="6DEC5169"/>
    <w:multiLevelType w:val="hybridMultilevel"/>
    <w:tmpl w:val="D1C061C8"/>
    <w:lvl w:ilvl="0" w:tplc="50D6B4A8">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8">
    <w:nsid w:val="6E881B8B"/>
    <w:multiLevelType w:val="hybridMultilevel"/>
    <w:tmpl w:val="BBE0378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9">
    <w:nsid w:val="6E934541"/>
    <w:multiLevelType w:val="hybridMultilevel"/>
    <w:tmpl w:val="3C6E9F56"/>
    <w:lvl w:ilvl="0" w:tplc="4B986616">
      <w:start w:val="1"/>
      <w:numFmt w:val="decimal"/>
      <w:lvlText w:val="%1."/>
      <w:lvlJc w:val="left"/>
      <w:pPr>
        <w:tabs>
          <w:tab w:val="num" w:pos="170"/>
        </w:tabs>
        <w:ind w:left="170" w:hanging="170"/>
      </w:pPr>
      <w:rPr>
        <w:rFonts w:hint="default"/>
      </w:rPr>
    </w:lvl>
    <w:lvl w:ilvl="1" w:tplc="D4A685C8" w:tentative="1">
      <w:start w:val="1"/>
      <w:numFmt w:val="bullet"/>
      <w:lvlText w:val="o"/>
      <w:lvlJc w:val="left"/>
      <w:pPr>
        <w:ind w:left="1440" w:hanging="360"/>
      </w:pPr>
      <w:rPr>
        <w:rFonts w:ascii="Courier New" w:hAnsi="Courier New" w:cs="Courier New" w:hint="default"/>
      </w:rPr>
    </w:lvl>
    <w:lvl w:ilvl="2" w:tplc="B67C6036" w:tentative="1">
      <w:start w:val="1"/>
      <w:numFmt w:val="bullet"/>
      <w:lvlText w:val=""/>
      <w:lvlJc w:val="left"/>
      <w:pPr>
        <w:ind w:left="2160" w:hanging="360"/>
      </w:pPr>
      <w:rPr>
        <w:rFonts w:ascii="Wingdings" w:hAnsi="Wingdings" w:hint="default"/>
      </w:rPr>
    </w:lvl>
    <w:lvl w:ilvl="3" w:tplc="8AB605F6" w:tentative="1">
      <w:start w:val="1"/>
      <w:numFmt w:val="bullet"/>
      <w:lvlText w:val=""/>
      <w:lvlJc w:val="left"/>
      <w:pPr>
        <w:ind w:left="2880" w:hanging="360"/>
      </w:pPr>
      <w:rPr>
        <w:rFonts w:ascii="Symbol" w:hAnsi="Symbol" w:hint="default"/>
      </w:rPr>
    </w:lvl>
    <w:lvl w:ilvl="4" w:tplc="01C40292" w:tentative="1">
      <w:start w:val="1"/>
      <w:numFmt w:val="bullet"/>
      <w:lvlText w:val="o"/>
      <w:lvlJc w:val="left"/>
      <w:pPr>
        <w:ind w:left="3600" w:hanging="360"/>
      </w:pPr>
      <w:rPr>
        <w:rFonts w:ascii="Courier New" w:hAnsi="Courier New" w:cs="Courier New" w:hint="default"/>
      </w:rPr>
    </w:lvl>
    <w:lvl w:ilvl="5" w:tplc="DBD6454C" w:tentative="1">
      <w:start w:val="1"/>
      <w:numFmt w:val="bullet"/>
      <w:lvlText w:val=""/>
      <w:lvlJc w:val="left"/>
      <w:pPr>
        <w:ind w:left="4320" w:hanging="360"/>
      </w:pPr>
      <w:rPr>
        <w:rFonts w:ascii="Wingdings" w:hAnsi="Wingdings" w:hint="default"/>
      </w:rPr>
    </w:lvl>
    <w:lvl w:ilvl="6" w:tplc="E5769870" w:tentative="1">
      <w:start w:val="1"/>
      <w:numFmt w:val="bullet"/>
      <w:lvlText w:val=""/>
      <w:lvlJc w:val="left"/>
      <w:pPr>
        <w:ind w:left="5040" w:hanging="360"/>
      </w:pPr>
      <w:rPr>
        <w:rFonts w:ascii="Symbol" w:hAnsi="Symbol" w:hint="default"/>
      </w:rPr>
    </w:lvl>
    <w:lvl w:ilvl="7" w:tplc="7F22D078" w:tentative="1">
      <w:start w:val="1"/>
      <w:numFmt w:val="bullet"/>
      <w:lvlText w:val="o"/>
      <w:lvlJc w:val="left"/>
      <w:pPr>
        <w:ind w:left="5760" w:hanging="360"/>
      </w:pPr>
      <w:rPr>
        <w:rFonts w:ascii="Courier New" w:hAnsi="Courier New" w:cs="Courier New" w:hint="default"/>
      </w:rPr>
    </w:lvl>
    <w:lvl w:ilvl="8" w:tplc="2242C19A" w:tentative="1">
      <w:start w:val="1"/>
      <w:numFmt w:val="bullet"/>
      <w:lvlText w:val=""/>
      <w:lvlJc w:val="left"/>
      <w:pPr>
        <w:ind w:left="6480" w:hanging="360"/>
      </w:pPr>
      <w:rPr>
        <w:rFonts w:ascii="Wingdings" w:hAnsi="Wingdings" w:hint="default"/>
      </w:rPr>
    </w:lvl>
  </w:abstractNum>
  <w:abstractNum w:abstractNumId="100">
    <w:nsid w:val="6FFB349D"/>
    <w:multiLevelType w:val="hybridMultilevel"/>
    <w:tmpl w:val="4502D646"/>
    <w:lvl w:ilvl="0" w:tplc="1144A8F8">
      <w:start w:val="1"/>
      <w:numFmt w:val="decimal"/>
      <w:lvlText w:val="%1."/>
      <w:lvlJc w:val="left"/>
      <w:pPr>
        <w:tabs>
          <w:tab w:val="num" w:pos="170"/>
        </w:tabs>
        <w:ind w:left="170" w:hanging="170"/>
      </w:pPr>
      <w:rPr>
        <w:rFonts w:hint="default"/>
      </w:rPr>
    </w:lvl>
    <w:lvl w:ilvl="1" w:tplc="B57E1E20" w:tentative="1">
      <w:start w:val="1"/>
      <w:numFmt w:val="bullet"/>
      <w:lvlText w:val="o"/>
      <w:lvlJc w:val="left"/>
      <w:pPr>
        <w:ind w:left="1440" w:hanging="360"/>
      </w:pPr>
      <w:rPr>
        <w:rFonts w:ascii="Courier New" w:hAnsi="Courier New" w:cs="Courier New" w:hint="default"/>
      </w:rPr>
    </w:lvl>
    <w:lvl w:ilvl="2" w:tplc="08E6A0B6" w:tentative="1">
      <w:start w:val="1"/>
      <w:numFmt w:val="bullet"/>
      <w:lvlText w:val=""/>
      <w:lvlJc w:val="left"/>
      <w:pPr>
        <w:ind w:left="2160" w:hanging="360"/>
      </w:pPr>
      <w:rPr>
        <w:rFonts w:ascii="Wingdings" w:hAnsi="Wingdings" w:hint="default"/>
      </w:rPr>
    </w:lvl>
    <w:lvl w:ilvl="3" w:tplc="E2428116" w:tentative="1">
      <w:start w:val="1"/>
      <w:numFmt w:val="bullet"/>
      <w:lvlText w:val=""/>
      <w:lvlJc w:val="left"/>
      <w:pPr>
        <w:ind w:left="2880" w:hanging="360"/>
      </w:pPr>
      <w:rPr>
        <w:rFonts w:ascii="Symbol" w:hAnsi="Symbol" w:hint="default"/>
      </w:rPr>
    </w:lvl>
    <w:lvl w:ilvl="4" w:tplc="BBB822DC" w:tentative="1">
      <w:start w:val="1"/>
      <w:numFmt w:val="bullet"/>
      <w:lvlText w:val="o"/>
      <w:lvlJc w:val="left"/>
      <w:pPr>
        <w:ind w:left="3600" w:hanging="360"/>
      </w:pPr>
      <w:rPr>
        <w:rFonts w:ascii="Courier New" w:hAnsi="Courier New" w:cs="Courier New" w:hint="default"/>
      </w:rPr>
    </w:lvl>
    <w:lvl w:ilvl="5" w:tplc="9F980A18" w:tentative="1">
      <w:start w:val="1"/>
      <w:numFmt w:val="bullet"/>
      <w:lvlText w:val=""/>
      <w:lvlJc w:val="left"/>
      <w:pPr>
        <w:ind w:left="4320" w:hanging="360"/>
      </w:pPr>
      <w:rPr>
        <w:rFonts w:ascii="Wingdings" w:hAnsi="Wingdings" w:hint="default"/>
      </w:rPr>
    </w:lvl>
    <w:lvl w:ilvl="6" w:tplc="B3F8D2DC" w:tentative="1">
      <w:start w:val="1"/>
      <w:numFmt w:val="bullet"/>
      <w:lvlText w:val=""/>
      <w:lvlJc w:val="left"/>
      <w:pPr>
        <w:ind w:left="5040" w:hanging="360"/>
      </w:pPr>
      <w:rPr>
        <w:rFonts w:ascii="Symbol" w:hAnsi="Symbol" w:hint="default"/>
      </w:rPr>
    </w:lvl>
    <w:lvl w:ilvl="7" w:tplc="D8C4633C" w:tentative="1">
      <w:start w:val="1"/>
      <w:numFmt w:val="bullet"/>
      <w:lvlText w:val="o"/>
      <w:lvlJc w:val="left"/>
      <w:pPr>
        <w:ind w:left="5760" w:hanging="360"/>
      </w:pPr>
      <w:rPr>
        <w:rFonts w:ascii="Courier New" w:hAnsi="Courier New" w:cs="Courier New" w:hint="default"/>
      </w:rPr>
    </w:lvl>
    <w:lvl w:ilvl="8" w:tplc="4BDE0848" w:tentative="1">
      <w:start w:val="1"/>
      <w:numFmt w:val="bullet"/>
      <w:lvlText w:val=""/>
      <w:lvlJc w:val="left"/>
      <w:pPr>
        <w:ind w:left="6480" w:hanging="360"/>
      </w:pPr>
      <w:rPr>
        <w:rFonts w:ascii="Wingdings" w:hAnsi="Wingdings" w:hint="default"/>
      </w:rPr>
    </w:lvl>
  </w:abstractNum>
  <w:abstractNum w:abstractNumId="101">
    <w:nsid w:val="71CC5D08"/>
    <w:multiLevelType w:val="hybridMultilevel"/>
    <w:tmpl w:val="673A8AD0"/>
    <w:lvl w:ilvl="0" w:tplc="0409000F">
      <w:start w:val="1"/>
      <w:numFmt w:val="decimal"/>
      <w:lvlText w:val="%1."/>
      <w:lvlJc w:val="left"/>
      <w:pPr>
        <w:tabs>
          <w:tab w:val="num" w:pos="170"/>
        </w:tabs>
        <w:ind w:left="170" w:hanging="17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nsid w:val="71D2618A"/>
    <w:multiLevelType w:val="hybridMultilevel"/>
    <w:tmpl w:val="6BF28C70"/>
    <w:lvl w:ilvl="0" w:tplc="AE34B7DC">
      <w:start w:val="1"/>
      <w:numFmt w:val="decimal"/>
      <w:lvlText w:val="%1."/>
      <w:lvlJc w:val="left"/>
      <w:pPr>
        <w:tabs>
          <w:tab w:val="num" w:pos="170"/>
        </w:tabs>
        <w:ind w:left="170" w:hanging="17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nsid w:val="723531D2"/>
    <w:multiLevelType w:val="hybridMultilevel"/>
    <w:tmpl w:val="A1DAC7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nsid w:val="73DE5210"/>
    <w:multiLevelType w:val="hybridMultilevel"/>
    <w:tmpl w:val="F912C5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nsid w:val="74506513"/>
    <w:multiLevelType w:val="hybridMultilevel"/>
    <w:tmpl w:val="C08090A4"/>
    <w:lvl w:ilvl="0" w:tplc="AE34B7DC">
      <w:start w:val="1"/>
      <w:numFmt w:val="decimal"/>
      <w:lvlText w:val="%1."/>
      <w:lvlJc w:val="left"/>
      <w:pPr>
        <w:tabs>
          <w:tab w:val="num" w:pos="170"/>
        </w:tabs>
        <w:ind w:left="170" w:hanging="17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nsid w:val="75854E72"/>
    <w:multiLevelType w:val="hybridMultilevel"/>
    <w:tmpl w:val="29424AF0"/>
    <w:lvl w:ilvl="0" w:tplc="AE34B7D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nsid w:val="76D360E9"/>
    <w:multiLevelType w:val="hybridMultilevel"/>
    <w:tmpl w:val="38A0E09E"/>
    <w:lvl w:ilvl="0" w:tplc="AE34B7DC">
      <w:start w:val="1"/>
      <w:numFmt w:val="decimal"/>
      <w:lvlText w:val="%1."/>
      <w:lvlJc w:val="left"/>
      <w:pPr>
        <w:ind w:left="360" w:hanging="360"/>
      </w:p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108">
    <w:nsid w:val="76DB7E86"/>
    <w:multiLevelType w:val="hybridMultilevel"/>
    <w:tmpl w:val="643A94D2"/>
    <w:lvl w:ilvl="0" w:tplc="04090001">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09">
    <w:nsid w:val="77A42E3F"/>
    <w:multiLevelType w:val="hybridMultilevel"/>
    <w:tmpl w:val="E5906664"/>
    <w:lvl w:ilvl="0" w:tplc="0409000F">
      <w:start w:val="1"/>
      <w:numFmt w:val="bullet"/>
      <w:lvlText w:val=""/>
      <w:lvlJc w:val="left"/>
      <w:pPr>
        <w:ind w:left="360" w:hanging="360"/>
      </w:pPr>
      <w:rPr>
        <w:rFonts w:ascii="Symbol" w:hAnsi="Symbol" w:hint="default"/>
      </w:rPr>
    </w:lvl>
    <w:lvl w:ilvl="1" w:tplc="04090019" w:tentative="1">
      <w:start w:val="1"/>
      <w:numFmt w:val="bullet"/>
      <w:lvlText w:val="o"/>
      <w:lvlJc w:val="left"/>
      <w:pPr>
        <w:ind w:left="1080" w:hanging="360"/>
      </w:pPr>
      <w:rPr>
        <w:rFonts w:ascii="Courier New" w:hAnsi="Courier New" w:hint="default"/>
      </w:rPr>
    </w:lvl>
    <w:lvl w:ilvl="2" w:tplc="0409001B" w:tentative="1">
      <w:start w:val="1"/>
      <w:numFmt w:val="bullet"/>
      <w:lvlText w:val=""/>
      <w:lvlJc w:val="left"/>
      <w:pPr>
        <w:ind w:left="1800" w:hanging="360"/>
      </w:pPr>
      <w:rPr>
        <w:rFonts w:ascii="Wingdings" w:hAnsi="Wingdings" w:hint="default"/>
      </w:rPr>
    </w:lvl>
    <w:lvl w:ilvl="3" w:tplc="0409000F" w:tentative="1">
      <w:start w:val="1"/>
      <w:numFmt w:val="bullet"/>
      <w:lvlText w:val=""/>
      <w:lvlJc w:val="left"/>
      <w:pPr>
        <w:ind w:left="2520" w:hanging="360"/>
      </w:pPr>
      <w:rPr>
        <w:rFonts w:ascii="Symbol" w:hAnsi="Symbol" w:hint="default"/>
      </w:rPr>
    </w:lvl>
    <w:lvl w:ilvl="4" w:tplc="04090019" w:tentative="1">
      <w:start w:val="1"/>
      <w:numFmt w:val="bullet"/>
      <w:lvlText w:val="o"/>
      <w:lvlJc w:val="left"/>
      <w:pPr>
        <w:ind w:left="3240" w:hanging="360"/>
      </w:pPr>
      <w:rPr>
        <w:rFonts w:ascii="Courier New" w:hAnsi="Courier New" w:hint="default"/>
      </w:rPr>
    </w:lvl>
    <w:lvl w:ilvl="5" w:tplc="0409001B" w:tentative="1">
      <w:start w:val="1"/>
      <w:numFmt w:val="bullet"/>
      <w:lvlText w:val=""/>
      <w:lvlJc w:val="left"/>
      <w:pPr>
        <w:ind w:left="3960" w:hanging="360"/>
      </w:pPr>
      <w:rPr>
        <w:rFonts w:ascii="Wingdings" w:hAnsi="Wingdings" w:hint="default"/>
      </w:rPr>
    </w:lvl>
    <w:lvl w:ilvl="6" w:tplc="0409000F" w:tentative="1">
      <w:start w:val="1"/>
      <w:numFmt w:val="bullet"/>
      <w:lvlText w:val=""/>
      <w:lvlJc w:val="left"/>
      <w:pPr>
        <w:ind w:left="4680" w:hanging="360"/>
      </w:pPr>
      <w:rPr>
        <w:rFonts w:ascii="Symbol" w:hAnsi="Symbol" w:hint="default"/>
      </w:rPr>
    </w:lvl>
    <w:lvl w:ilvl="7" w:tplc="04090019" w:tentative="1">
      <w:start w:val="1"/>
      <w:numFmt w:val="bullet"/>
      <w:lvlText w:val="o"/>
      <w:lvlJc w:val="left"/>
      <w:pPr>
        <w:ind w:left="5400" w:hanging="360"/>
      </w:pPr>
      <w:rPr>
        <w:rFonts w:ascii="Courier New" w:hAnsi="Courier New" w:hint="default"/>
      </w:rPr>
    </w:lvl>
    <w:lvl w:ilvl="8" w:tplc="0409001B" w:tentative="1">
      <w:start w:val="1"/>
      <w:numFmt w:val="bullet"/>
      <w:lvlText w:val=""/>
      <w:lvlJc w:val="left"/>
      <w:pPr>
        <w:ind w:left="6120" w:hanging="360"/>
      </w:pPr>
      <w:rPr>
        <w:rFonts w:ascii="Wingdings" w:hAnsi="Wingdings" w:hint="default"/>
      </w:rPr>
    </w:lvl>
  </w:abstractNum>
  <w:abstractNum w:abstractNumId="110">
    <w:nsid w:val="781F09DF"/>
    <w:multiLevelType w:val="hybridMultilevel"/>
    <w:tmpl w:val="9EACC9A6"/>
    <w:lvl w:ilvl="0" w:tplc="04100011">
      <w:start w:val="2"/>
      <w:numFmt w:val="bullet"/>
      <w:lvlText w:val="-"/>
      <w:lvlJc w:val="left"/>
      <w:pPr>
        <w:ind w:left="720" w:hanging="360"/>
      </w:pPr>
      <w:rPr>
        <w:rFonts w:ascii="Times New Roman" w:eastAsia="Times New Roman" w:hAnsi="Times New Roman" w:cs="Times New Roman" w:hint="default"/>
      </w:rPr>
    </w:lvl>
    <w:lvl w:ilvl="1" w:tplc="04100019" w:tentative="1">
      <w:start w:val="1"/>
      <w:numFmt w:val="bullet"/>
      <w:lvlText w:val="o"/>
      <w:lvlJc w:val="left"/>
      <w:pPr>
        <w:ind w:left="1440" w:hanging="360"/>
      </w:pPr>
      <w:rPr>
        <w:rFonts w:ascii="Courier New" w:hAnsi="Courier New" w:cs="Courier New" w:hint="default"/>
      </w:rPr>
    </w:lvl>
    <w:lvl w:ilvl="2" w:tplc="0410001B" w:tentative="1">
      <w:start w:val="1"/>
      <w:numFmt w:val="bullet"/>
      <w:lvlText w:val=""/>
      <w:lvlJc w:val="left"/>
      <w:pPr>
        <w:ind w:left="2160" w:hanging="360"/>
      </w:pPr>
      <w:rPr>
        <w:rFonts w:ascii="Wingdings" w:hAnsi="Wingdings" w:hint="default"/>
      </w:rPr>
    </w:lvl>
    <w:lvl w:ilvl="3" w:tplc="0410000F" w:tentative="1">
      <w:start w:val="1"/>
      <w:numFmt w:val="bullet"/>
      <w:lvlText w:val=""/>
      <w:lvlJc w:val="left"/>
      <w:pPr>
        <w:ind w:left="2880" w:hanging="360"/>
      </w:pPr>
      <w:rPr>
        <w:rFonts w:ascii="Symbol" w:hAnsi="Symbol" w:hint="default"/>
      </w:rPr>
    </w:lvl>
    <w:lvl w:ilvl="4" w:tplc="04100019" w:tentative="1">
      <w:start w:val="1"/>
      <w:numFmt w:val="bullet"/>
      <w:lvlText w:val="o"/>
      <w:lvlJc w:val="left"/>
      <w:pPr>
        <w:ind w:left="3600" w:hanging="360"/>
      </w:pPr>
      <w:rPr>
        <w:rFonts w:ascii="Courier New" w:hAnsi="Courier New" w:cs="Courier New" w:hint="default"/>
      </w:rPr>
    </w:lvl>
    <w:lvl w:ilvl="5" w:tplc="0410001B" w:tentative="1">
      <w:start w:val="1"/>
      <w:numFmt w:val="bullet"/>
      <w:lvlText w:val=""/>
      <w:lvlJc w:val="left"/>
      <w:pPr>
        <w:ind w:left="4320" w:hanging="360"/>
      </w:pPr>
      <w:rPr>
        <w:rFonts w:ascii="Wingdings" w:hAnsi="Wingdings" w:hint="default"/>
      </w:rPr>
    </w:lvl>
    <w:lvl w:ilvl="6" w:tplc="0410000F" w:tentative="1">
      <w:start w:val="1"/>
      <w:numFmt w:val="bullet"/>
      <w:lvlText w:val=""/>
      <w:lvlJc w:val="left"/>
      <w:pPr>
        <w:ind w:left="5040" w:hanging="360"/>
      </w:pPr>
      <w:rPr>
        <w:rFonts w:ascii="Symbol" w:hAnsi="Symbol" w:hint="default"/>
      </w:rPr>
    </w:lvl>
    <w:lvl w:ilvl="7" w:tplc="04100019" w:tentative="1">
      <w:start w:val="1"/>
      <w:numFmt w:val="bullet"/>
      <w:lvlText w:val="o"/>
      <w:lvlJc w:val="left"/>
      <w:pPr>
        <w:ind w:left="5760" w:hanging="360"/>
      </w:pPr>
      <w:rPr>
        <w:rFonts w:ascii="Courier New" w:hAnsi="Courier New" w:cs="Courier New" w:hint="default"/>
      </w:rPr>
    </w:lvl>
    <w:lvl w:ilvl="8" w:tplc="0410001B" w:tentative="1">
      <w:start w:val="1"/>
      <w:numFmt w:val="bullet"/>
      <w:lvlText w:val=""/>
      <w:lvlJc w:val="left"/>
      <w:pPr>
        <w:ind w:left="6480" w:hanging="360"/>
      </w:pPr>
      <w:rPr>
        <w:rFonts w:ascii="Wingdings" w:hAnsi="Wingdings" w:hint="default"/>
      </w:rPr>
    </w:lvl>
  </w:abstractNum>
  <w:abstractNum w:abstractNumId="111">
    <w:nsid w:val="7A4D2986"/>
    <w:multiLevelType w:val="hybridMultilevel"/>
    <w:tmpl w:val="8DD24288"/>
    <w:lvl w:ilvl="0" w:tplc="0409000F">
      <w:start w:val="2"/>
      <w:numFmt w:val="bullet"/>
      <w:lvlText w:val="-"/>
      <w:lvlJc w:val="left"/>
      <w:pPr>
        <w:ind w:left="720" w:hanging="360"/>
      </w:pPr>
      <w:rPr>
        <w:rFonts w:ascii="Times New Roman" w:eastAsia="Times New Roma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5142A624"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12">
    <w:nsid w:val="7B606C4C"/>
    <w:multiLevelType w:val="multilevel"/>
    <w:tmpl w:val="229AAF42"/>
    <w:lvl w:ilvl="0">
      <w:start w:val="1"/>
      <w:numFmt w:val="decimal"/>
      <w:pStyle w:val="Char"/>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1080"/>
        </w:tabs>
        <w:ind w:left="720" w:hanging="720"/>
      </w:pPr>
      <w:rPr>
        <w:rFonts w:hint="default"/>
      </w:rPr>
    </w:lvl>
    <w:lvl w:ilvl="3">
      <w:start w:val="1"/>
      <w:numFmt w:val="decimal"/>
      <w:lvlText w:val="%1.%2.%3.%4"/>
      <w:lvlJc w:val="left"/>
      <w:pPr>
        <w:tabs>
          <w:tab w:val="num" w:pos="1440"/>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3">
    <w:nsid w:val="7B7636E5"/>
    <w:multiLevelType w:val="hybridMultilevel"/>
    <w:tmpl w:val="3A60EDA4"/>
    <w:lvl w:ilvl="0" w:tplc="28DE1A18">
      <w:start w:val="1"/>
      <w:numFmt w:val="decimal"/>
      <w:lvlText w:val="%1."/>
      <w:lvlJc w:val="left"/>
      <w:pPr>
        <w:tabs>
          <w:tab w:val="num" w:pos="170"/>
        </w:tabs>
        <w:ind w:left="170" w:hanging="170"/>
      </w:pPr>
      <w:rPr>
        <w:rFonts w:hint="default"/>
      </w:rPr>
    </w:lvl>
    <w:lvl w:ilvl="1" w:tplc="72CC85CC" w:tentative="1">
      <w:start w:val="1"/>
      <w:numFmt w:val="bullet"/>
      <w:lvlText w:val="o"/>
      <w:lvlJc w:val="left"/>
      <w:pPr>
        <w:ind w:left="1440" w:hanging="360"/>
      </w:pPr>
      <w:rPr>
        <w:rFonts w:ascii="Courier New" w:hAnsi="Courier New" w:cs="Courier New" w:hint="default"/>
      </w:rPr>
    </w:lvl>
    <w:lvl w:ilvl="2" w:tplc="42AC3A30" w:tentative="1">
      <w:start w:val="1"/>
      <w:numFmt w:val="bullet"/>
      <w:lvlText w:val=""/>
      <w:lvlJc w:val="left"/>
      <w:pPr>
        <w:ind w:left="2160" w:hanging="360"/>
      </w:pPr>
      <w:rPr>
        <w:rFonts w:ascii="Wingdings" w:hAnsi="Wingdings" w:hint="default"/>
      </w:rPr>
    </w:lvl>
    <w:lvl w:ilvl="3" w:tplc="C518BFC4" w:tentative="1">
      <w:start w:val="1"/>
      <w:numFmt w:val="bullet"/>
      <w:lvlText w:val=""/>
      <w:lvlJc w:val="left"/>
      <w:pPr>
        <w:ind w:left="2880" w:hanging="360"/>
      </w:pPr>
      <w:rPr>
        <w:rFonts w:ascii="Symbol" w:hAnsi="Symbol" w:hint="default"/>
      </w:rPr>
    </w:lvl>
    <w:lvl w:ilvl="4" w:tplc="39CEE22A" w:tentative="1">
      <w:start w:val="1"/>
      <w:numFmt w:val="bullet"/>
      <w:lvlText w:val="o"/>
      <w:lvlJc w:val="left"/>
      <w:pPr>
        <w:ind w:left="3600" w:hanging="360"/>
      </w:pPr>
      <w:rPr>
        <w:rFonts w:ascii="Courier New" w:hAnsi="Courier New" w:cs="Courier New" w:hint="default"/>
      </w:rPr>
    </w:lvl>
    <w:lvl w:ilvl="5" w:tplc="140A1D26" w:tentative="1">
      <w:start w:val="1"/>
      <w:numFmt w:val="bullet"/>
      <w:lvlText w:val=""/>
      <w:lvlJc w:val="left"/>
      <w:pPr>
        <w:ind w:left="4320" w:hanging="360"/>
      </w:pPr>
      <w:rPr>
        <w:rFonts w:ascii="Wingdings" w:hAnsi="Wingdings" w:hint="default"/>
      </w:rPr>
    </w:lvl>
    <w:lvl w:ilvl="6" w:tplc="8D0A651E" w:tentative="1">
      <w:start w:val="1"/>
      <w:numFmt w:val="bullet"/>
      <w:lvlText w:val=""/>
      <w:lvlJc w:val="left"/>
      <w:pPr>
        <w:ind w:left="5040" w:hanging="360"/>
      </w:pPr>
      <w:rPr>
        <w:rFonts w:ascii="Symbol" w:hAnsi="Symbol" w:hint="default"/>
      </w:rPr>
    </w:lvl>
    <w:lvl w:ilvl="7" w:tplc="A0BAAB66" w:tentative="1">
      <w:start w:val="1"/>
      <w:numFmt w:val="bullet"/>
      <w:lvlText w:val="o"/>
      <w:lvlJc w:val="left"/>
      <w:pPr>
        <w:ind w:left="5760" w:hanging="360"/>
      </w:pPr>
      <w:rPr>
        <w:rFonts w:ascii="Courier New" w:hAnsi="Courier New" w:cs="Courier New" w:hint="default"/>
      </w:rPr>
    </w:lvl>
    <w:lvl w:ilvl="8" w:tplc="13BC91D8" w:tentative="1">
      <w:start w:val="1"/>
      <w:numFmt w:val="bullet"/>
      <w:lvlText w:val=""/>
      <w:lvlJc w:val="left"/>
      <w:pPr>
        <w:ind w:left="6480" w:hanging="360"/>
      </w:pPr>
      <w:rPr>
        <w:rFonts w:ascii="Wingdings" w:hAnsi="Wingdings" w:hint="default"/>
      </w:rPr>
    </w:lvl>
  </w:abstractNum>
  <w:abstractNum w:abstractNumId="114">
    <w:nsid w:val="7E695995"/>
    <w:multiLevelType w:val="hybridMultilevel"/>
    <w:tmpl w:val="96B293D6"/>
    <w:lvl w:ilvl="0" w:tplc="5040F6BA">
      <w:start w:val="1"/>
      <w:numFmt w:val="decimal"/>
      <w:lvlText w:val="%1."/>
      <w:lvlJc w:val="left"/>
      <w:pPr>
        <w:ind w:left="720" w:hanging="360"/>
      </w:pPr>
      <w:rPr>
        <w:rFonts w:hint="default"/>
      </w:rPr>
    </w:lvl>
    <w:lvl w:ilvl="1" w:tplc="04100003" w:tentative="1">
      <w:start w:val="1"/>
      <w:numFmt w:val="lowerLetter"/>
      <w:lvlText w:val="%2."/>
      <w:lvlJc w:val="left"/>
      <w:pPr>
        <w:ind w:left="1440" w:hanging="360"/>
      </w:pPr>
    </w:lvl>
    <w:lvl w:ilvl="2" w:tplc="04100005" w:tentative="1">
      <w:start w:val="1"/>
      <w:numFmt w:val="lowerRoman"/>
      <w:lvlText w:val="%3."/>
      <w:lvlJc w:val="right"/>
      <w:pPr>
        <w:ind w:left="2160" w:hanging="180"/>
      </w:pPr>
    </w:lvl>
    <w:lvl w:ilvl="3" w:tplc="04100001" w:tentative="1">
      <w:start w:val="1"/>
      <w:numFmt w:val="decimal"/>
      <w:lvlText w:val="%4."/>
      <w:lvlJc w:val="left"/>
      <w:pPr>
        <w:ind w:left="2880" w:hanging="360"/>
      </w:pPr>
    </w:lvl>
    <w:lvl w:ilvl="4" w:tplc="04100003" w:tentative="1">
      <w:start w:val="1"/>
      <w:numFmt w:val="lowerLetter"/>
      <w:lvlText w:val="%5."/>
      <w:lvlJc w:val="left"/>
      <w:pPr>
        <w:ind w:left="3600" w:hanging="360"/>
      </w:pPr>
    </w:lvl>
    <w:lvl w:ilvl="5" w:tplc="04100005" w:tentative="1">
      <w:start w:val="1"/>
      <w:numFmt w:val="lowerRoman"/>
      <w:lvlText w:val="%6."/>
      <w:lvlJc w:val="right"/>
      <w:pPr>
        <w:ind w:left="4320" w:hanging="180"/>
      </w:pPr>
    </w:lvl>
    <w:lvl w:ilvl="6" w:tplc="04100001" w:tentative="1">
      <w:start w:val="1"/>
      <w:numFmt w:val="decimal"/>
      <w:lvlText w:val="%7."/>
      <w:lvlJc w:val="left"/>
      <w:pPr>
        <w:ind w:left="5040" w:hanging="360"/>
      </w:pPr>
    </w:lvl>
    <w:lvl w:ilvl="7" w:tplc="04100003" w:tentative="1">
      <w:start w:val="1"/>
      <w:numFmt w:val="lowerLetter"/>
      <w:lvlText w:val="%8."/>
      <w:lvlJc w:val="left"/>
      <w:pPr>
        <w:ind w:left="5760" w:hanging="360"/>
      </w:pPr>
    </w:lvl>
    <w:lvl w:ilvl="8" w:tplc="04100005" w:tentative="1">
      <w:start w:val="1"/>
      <w:numFmt w:val="lowerRoman"/>
      <w:lvlText w:val="%9."/>
      <w:lvlJc w:val="right"/>
      <w:pPr>
        <w:ind w:left="6480" w:hanging="180"/>
      </w:pPr>
    </w:lvl>
  </w:abstractNum>
  <w:abstractNum w:abstractNumId="115">
    <w:nsid w:val="7EB70138"/>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80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60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400"/>
        </w:tabs>
        <w:ind w:left="4320" w:hanging="1440"/>
      </w:pPr>
    </w:lvl>
  </w:abstractNum>
  <w:abstractNum w:abstractNumId="116">
    <w:nsid w:val="7EF84D94"/>
    <w:multiLevelType w:val="hybridMultilevel"/>
    <w:tmpl w:val="CC66E5DC"/>
    <w:lvl w:ilvl="0" w:tplc="1C286D68">
      <w:start w:val="1"/>
      <w:numFmt w:val="decimal"/>
      <w:lvlText w:val="%1."/>
      <w:lvlJc w:val="left"/>
      <w:pPr>
        <w:tabs>
          <w:tab w:val="num" w:pos="170"/>
        </w:tabs>
        <w:ind w:left="170" w:hanging="170"/>
      </w:pPr>
      <w:rPr>
        <w:rFonts w:hint="default"/>
      </w:rPr>
    </w:lvl>
    <w:lvl w:ilvl="1" w:tplc="CCD478B6" w:tentative="1">
      <w:start w:val="1"/>
      <w:numFmt w:val="bullet"/>
      <w:lvlText w:val="o"/>
      <w:lvlJc w:val="left"/>
      <w:pPr>
        <w:ind w:left="1440" w:hanging="360"/>
      </w:pPr>
      <w:rPr>
        <w:rFonts w:ascii="Courier New" w:hAnsi="Courier New" w:cs="Courier New" w:hint="default"/>
      </w:rPr>
    </w:lvl>
    <w:lvl w:ilvl="2" w:tplc="47FAC99E" w:tentative="1">
      <w:start w:val="1"/>
      <w:numFmt w:val="bullet"/>
      <w:lvlText w:val=""/>
      <w:lvlJc w:val="left"/>
      <w:pPr>
        <w:ind w:left="2160" w:hanging="360"/>
      </w:pPr>
      <w:rPr>
        <w:rFonts w:ascii="Wingdings" w:hAnsi="Wingdings" w:hint="default"/>
      </w:rPr>
    </w:lvl>
    <w:lvl w:ilvl="3" w:tplc="56488414" w:tentative="1">
      <w:start w:val="1"/>
      <w:numFmt w:val="bullet"/>
      <w:lvlText w:val=""/>
      <w:lvlJc w:val="left"/>
      <w:pPr>
        <w:ind w:left="2880" w:hanging="360"/>
      </w:pPr>
      <w:rPr>
        <w:rFonts w:ascii="Symbol" w:hAnsi="Symbol" w:hint="default"/>
      </w:rPr>
    </w:lvl>
    <w:lvl w:ilvl="4" w:tplc="9AFAF24E" w:tentative="1">
      <w:start w:val="1"/>
      <w:numFmt w:val="bullet"/>
      <w:lvlText w:val="o"/>
      <w:lvlJc w:val="left"/>
      <w:pPr>
        <w:ind w:left="3600" w:hanging="360"/>
      </w:pPr>
      <w:rPr>
        <w:rFonts w:ascii="Courier New" w:hAnsi="Courier New" w:cs="Courier New" w:hint="default"/>
      </w:rPr>
    </w:lvl>
    <w:lvl w:ilvl="5" w:tplc="2B969D68" w:tentative="1">
      <w:start w:val="1"/>
      <w:numFmt w:val="bullet"/>
      <w:lvlText w:val=""/>
      <w:lvlJc w:val="left"/>
      <w:pPr>
        <w:ind w:left="4320" w:hanging="360"/>
      </w:pPr>
      <w:rPr>
        <w:rFonts w:ascii="Wingdings" w:hAnsi="Wingdings" w:hint="default"/>
      </w:rPr>
    </w:lvl>
    <w:lvl w:ilvl="6" w:tplc="38A80466" w:tentative="1">
      <w:start w:val="1"/>
      <w:numFmt w:val="bullet"/>
      <w:lvlText w:val=""/>
      <w:lvlJc w:val="left"/>
      <w:pPr>
        <w:ind w:left="5040" w:hanging="360"/>
      </w:pPr>
      <w:rPr>
        <w:rFonts w:ascii="Symbol" w:hAnsi="Symbol" w:hint="default"/>
      </w:rPr>
    </w:lvl>
    <w:lvl w:ilvl="7" w:tplc="121C2E4C" w:tentative="1">
      <w:start w:val="1"/>
      <w:numFmt w:val="bullet"/>
      <w:lvlText w:val="o"/>
      <w:lvlJc w:val="left"/>
      <w:pPr>
        <w:ind w:left="5760" w:hanging="360"/>
      </w:pPr>
      <w:rPr>
        <w:rFonts w:ascii="Courier New" w:hAnsi="Courier New" w:cs="Courier New" w:hint="default"/>
      </w:rPr>
    </w:lvl>
    <w:lvl w:ilvl="8" w:tplc="88CC5DF8" w:tentative="1">
      <w:start w:val="1"/>
      <w:numFmt w:val="bullet"/>
      <w:lvlText w:val=""/>
      <w:lvlJc w:val="left"/>
      <w:pPr>
        <w:ind w:left="6480" w:hanging="360"/>
      </w:pPr>
      <w:rPr>
        <w:rFonts w:ascii="Wingdings" w:hAnsi="Wingdings" w:hint="default"/>
      </w:rPr>
    </w:lvl>
  </w:abstractNum>
  <w:num w:numId="1">
    <w:abstractNumId w:val="106"/>
  </w:num>
  <w:num w:numId="2">
    <w:abstractNumId w:val="35"/>
  </w:num>
  <w:num w:numId="3">
    <w:abstractNumId w:val="36"/>
  </w:num>
  <w:num w:numId="4">
    <w:abstractNumId w:val="44"/>
  </w:num>
  <w:num w:numId="5">
    <w:abstractNumId w:val="60"/>
  </w:num>
  <w:num w:numId="6">
    <w:abstractNumId w:val="8"/>
  </w:num>
  <w:num w:numId="7">
    <w:abstractNumId w:val="7"/>
  </w:num>
  <w:num w:numId="8">
    <w:abstractNumId w:val="33"/>
  </w:num>
  <w:num w:numId="9">
    <w:abstractNumId w:val="18"/>
  </w:num>
  <w:num w:numId="10">
    <w:abstractNumId w:val="112"/>
  </w:num>
  <w:num w:numId="11">
    <w:abstractNumId w:val="11"/>
  </w:num>
  <w:num w:numId="12">
    <w:abstractNumId w:val="66"/>
  </w:num>
  <w:num w:numId="13">
    <w:abstractNumId w:val="42"/>
  </w:num>
  <w:num w:numId="14">
    <w:abstractNumId w:val="80"/>
  </w:num>
  <w:num w:numId="15">
    <w:abstractNumId w:val="24"/>
  </w:num>
  <w:num w:numId="16">
    <w:abstractNumId w:val="1"/>
  </w:num>
  <w:num w:numId="17">
    <w:abstractNumId w:val="88"/>
  </w:num>
  <w:num w:numId="18">
    <w:abstractNumId w:val="19"/>
  </w:num>
  <w:num w:numId="19">
    <w:abstractNumId w:val="96"/>
  </w:num>
  <w:num w:numId="20">
    <w:abstractNumId w:val="89"/>
  </w:num>
  <w:num w:numId="21">
    <w:abstractNumId w:val="95"/>
  </w:num>
  <w:num w:numId="22">
    <w:abstractNumId w:val="39"/>
  </w:num>
  <w:num w:numId="23">
    <w:abstractNumId w:val="28"/>
  </w:num>
  <w:num w:numId="24">
    <w:abstractNumId w:val="14"/>
  </w:num>
  <w:num w:numId="25">
    <w:abstractNumId w:val="115"/>
  </w:num>
  <w:num w:numId="26">
    <w:abstractNumId w:val="17"/>
  </w:num>
  <w:num w:numId="27">
    <w:abstractNumId w:val="50"/>
  </w:num>
  <w:num w:numId="28">
    <w:abstractNumId w:val="85"/>
  </w:num>
  <w:num w:numId="29">
    <w:abstractNumId w:val="83"/>
  </w:num>
  <w:num w:numId="30">
    <w:abstractNumId w:val="58"/>
  </w:num>
  <w:num w:numId="31">
    <w:abstractNumId w:val="75"/>
  </w:num>
  <w:num w:numId="32">
    <w:abstractNumId w:val="47"/>
  </w:num>
  <w:num w:numId="33">
    <w:abstractNumId w:val="3"/>
  </w:num>
  <w:num w:numId="34">
    <w:abstractNumId w:val="0"/>
  </w:num>
  <w:num w:numId="35">
    <w:abstractNumId w:val="6"/>
  </w:num>
  <w:num w:numId="36">
    <w:abstractNumId w:val="37"/>
  </w:num>
  <w:num w:numId="37">
    <w:abstractNumId w:val="45"/>
  </w:num>
  <w:num w:numId="38">
    <w:abstractNumId w:val="69"/>
  </w:num>
  <w:num w:numId="39">
    <w:abstractNumId w:val="90"/>
  </w:num>
  <w:num w:numId="40">
    <w:abstractNumId w:val="87"/>
  </w:num>
  <w:num w:numId="41">
    <w:abstractNumId w:val="93"/>
  </w:num>
  <w:num w:numId="42">
    <w:abstractNumId w:val="12"/>
  </w:num>
  <w:num w:numId="43">
    <w:abstractNumId w:val="109"/>
  </w:num>
  <w:num w:numId="44">
    <w:abstractNumId w:val="57"/>
  </w:num>
  <w:num w:numId="45">
    <w:abstractNumId w:val="94"/>
  </w:num>
  <w:num w:numId="46">
    <w:abstractNumId w:val="55"/>
  </w:num>
  <w:num w:numId="47">
    <w:abstractNumId w:val="59"/>
  </w:num>
  <w:num w:numId="48">
    <w:abstractNumId w:val="110"/>
  </w:num>
  <w:num w:numId="49">
    <w:abstractNumId w:val="86"/>
  </w:num>
  <w:num w:numId="50">
    <w:abstractNumId w:val="20"/>
  </w:num>
  <w:num w:numId="51">
    <w:abstractNumId w:val="111"/>
  </w:num>
  <w:num w:numId="52">
    <w:abstractNumId w:val="16"/>
  </w:num>
  <w:num w:numId="53">
    <w:abstractNumId w:val="78"/>
  </w:num>
  <w:num w:numId="54">
    <w:abstractNumId w:val="27"/>
  </w:num>
  <w:num w:numId="55">
    <w:abstractNumId w:val="40"/>
  </w:num>
  <w:num w:numId="56">
    <w:abstractNumId w:val="21"/>
  </w:num>
  <w:num w:numId="57">
    <w:abstractNumId w:val="25"/>
  </w:num>
  <w:num w:numId="58">
    <w:abstractNumId w:val="64"/>
  </w:num>
  <w:num w:numId="59">
    <w:abstractNumId w:val="26"/>
  </w:num>
  <w:num w:numId="60">
    <w:abstractNumId w:val="32"/>
  </w:num>
  <w:num w:numId="61">
    <w:abstractNumId w:val="92"/>
  </w:num>
  <w:num w:numId="62">
    <w:abstractNumId w:val="63"/>
  </w:num>
  <w:num w:numId="63">
    <w:abstractNumId w:val="48"/>
  </w:num>
  <w:num w:numId="64">
    <w:abstractNumId w:val="79"/>
  </w:num>
  <w:num w:numId="65">
    <w:abstractNumId w:val="15"/>
  </w:num>
  <w:num w:numId="66">
    <w:abstractNumId w:val="65"/>
  </w:num>
  <w:num w:numId="67">
    <w:abstractNumId w:val="68"/>
  </w:num>
  <w:num w:numId="68">
    <w:abstractNumId w:val="71"/>
  </w:num>
  <w:num w:numId="69">
    <w:abstractNumId w:val="116"/>
  </w:num>
  <w:num w:numId="70">
    <w:abstractNumId w:val="54"/>
  </w:num>
  <w:num w:numId="71">
    <w:abstractNumId w:val="29"/>
  </w:num>
  <w:num w:numId="72">
    <w:abstractNumId w:val="91"/>
  </w:num>
  <w:num w:numId="73">
    <w:abstractNumId w:val="5"/>
  </w:num>
  <w:num w:numId="74">
    <w:abstractNumId w:val="67"/>
  </w:num>
  <w:num w:numId="75">
    <w:abstractNumId w:val="41"/>
  </w:num>
  <w:num w:numId="76">
    <w:abstractNumId w:val="61"/>
  </w:num>
  <w:num w:numId="77">
    <w:abstractNumId w:val="113"/>
  </w:num>
  <w:num w:numId="78">
    <w:abstractNumId w:val="4"/>
  </w:num>
  <w:num w:numId="79">
    <w:abstractNumId w:val="101"/>
  </w:num>
  <w:num w:numId="80">
    <w:abstractNumId w:val="102"/>
  </w:num>
  <w:num w:numId="81">
    <w:abstractNumId w:val="9"/>
  </w:num>
  <w:num w:numId="82">
    <w:abstractNumId w:val="84"/>
  </w:num>
  <w:num w:numId="83">
    <w:abstractNumId w:val="81"/>
  </w:num>
  <w:num w:numId="84">
    <w:abstractNumId w:val="62"/>
  </w:num>
  <w:num w:numId="85">
    <w:abstractNumId w:val="105"/>
  </w:num>
  <w:num w:numId="86">
    <w:abstractNumId w:val="100"/>
  </w:num>
  <w:num w:numId="87">
    <w:abstractNumId w:val="31"/>
  </w:num>
  <w:num w:numId="88">
    <w:abstractNumId w:val="53"/>
  </w:num>
  <w:num w:numId="89">
    <w:abstractNumId w:val="30"/>
  </w:num>
  <w:num w:numId="90">
    <w:abstractNumId w:val="74"/>
  </w:num>
  <w:num w:numId="91">
    <w:abstractNumId w:val="73"/>
  </w:num>
  <w:num w:numId="92">
    <w:abstractNumId w:val="99"/>
  </w:num>
  <w:num w:numId="93">
    <w:abstractNumId w:val="72"/>
  </w:num>
  <w:num w:numId="94">
    <w:abstractNumId w:val="76"/>
  </w:num>
  <w:num w:numId="95">
    <w:abstractNumId w:val="97"/>
  </w:num>
  <w:num w:numId="96">
    <w:abstractNumId w:val="82"/>
  </w:num>
  <w:num w:numId="97">
    <w:abstractNumId w:val="70"/>
  </w:num>
  <w:num w:numId="98">
    <w:abstractNumId w:val="13"/>
  </w:num>
  <w:num w:numId="99">
    <w:abstractNumId w:val="77"/>
  </w:num>
  <w:num w:numId="100">
    <w:abstractNumId w:val="52"/>
  </w:num>
  <w:num w:numId="101">
    <w:abstractNumId w:val="23"/>
  </w:num>
  <w:num w:numId="102">
    <w:abstractNumId w:val="107"/>
  </w:num>
  <w:num w:numId="103">
    <w:abstractNumId w:val="108"/>
  </w:num>
  <w:num w:numId="104">
    <w:abstractNumId w:val="2"/>
  </w:num>
  <w:num w:numId="105">
    <w:abstractNumId w:val="49"/>
  </w:num>
  <w:num w:numId="106">
    <w:abstractNumId w:val="22"/>
  </w:num>
  <w:num w:numId="107">
    <w:abstractNumId w:val="114"/>
  </w:num>
  <w:num w:numId="108">
    <w:abstractNumId w:val="38"/>
  </w:num>
  <w:num w:numId="109">
    <w:abstractNumId w:val="10"/>
  </w:num>
  <w:num w:numId="110">
    <w:abstractNumId w:val="51"/>
  </w:num>
  <w:num w:numId="111">
    <w:abstractNumId w:val="103"/>
  </w:num>
  <w:num w:numId="112">
    <w:abstractNumId w:val="104"/>
  </w:num>
  <w:num w:numId="113">
    <w:abstractNumId w:val="98"/>
  </w:num>
  <w:num w:numId="114">
    <w:abstractNumId w:val="46"/>
  </w:num>
  <w:num w:numId="115">
    <w:abstractNumId w:val="43"/>
  </w:num>
  <w:num w:numId="116">
    <w:abstractNumId w:val="56"/>
  </w:num>
  <w:num w:numId="117">
    <w:abstractNumId w:val="34"/>
  </w:num>
  <w:numIdMacAtCleanup w:val="11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283"/>
  <w:drawingGridHorizontalSpacing w:val="105"/>
  <w:displayHorizontalDrawingGridEvery w:val="2"/>
  <w:characterSpacingControl w:val="doNotCompress"/>
  <w:footnotePr>
    <w:footnote w:id="-1"/>
    <w:footnote w:id="0"/>
  </w:footnotePr>
  <w:endnotePr>
    <w:endnote w:id="-1"/>
    <w:endnote w:id="0"/>
  </w:endnotePr>
  <w:compat/>
  <w:rsids>
    <w:rsidRoot w:val="003B0CD7"/>
    <w:rsid w:val="00004446"/>
    <w:rsid w:val="00016443"/>
    <w:rsid w:val="000303CE"/>
    <w:rsid w:val="000349CD"/>
    <w:rsid w:val="0003586E"/>
    <w:rsid w:val="000368F4"/>
    <w:rsid w:val="00043271"/>
    <w:rsid w:val="000550D3"/>
    <w:rsid w:val="000622AE"/>
    <w:rsid w:val="00071CAF"/>
    <w:rsid w:val="00072392"/>
    <w:rsid w:val="00091576"/>
    <w:rsid w:val="0009346D"/>
    <w:rsid w:val="000954E5"/>
    <w:rsid w:val="000B20B1"/>
    <w:rsid w:val="000B2B99"/>
    <w:rsid w:val="000B6DCA"/>
    <w:rsid w:val="000C211F"/>
    <w:rsid w:val="000D2042"/>
    <w:rsid w:val="000D6363"/>
    <w:rsid w:val="000D73B5"/>
    <w:rsid w:val="000E40A2"/>
    <w:rsid w:val="000F0A20"/>
    <w:rsid w:val="000F4AAC"/>
    <w:rsid w:val="00102FC6"/>
    <w:rsid w:val="00106421"/>
    <w:rsid w:val="0011416A"/>
    <w:rsid w:val="001172D6"/>
    <w:rsid w:val="001211E1"/>
    <w:rsid w:val="00124A50"/>
    <w:rsid w:val="00132BDF"/>
    <w:rsid w:val="0013435C"/>
    <w:rsid w:val="00137A36"/>
    <w:rsid w:val="00140882"/>
    <w:rsid w:val="00141DD8"/>
    <w:rsid w:val="001513BF"/>
    <w:rsid w:val="001860F4"/>
    <w:rsid w:val="00193FF8"/>
    <w:rsid w:val="0019402C"/>
    <w:rsid w:val="001A15FA"/>
    <w:rsid w:val="001A5B23"/>
    <w:rsid w:val="001A745D"/>
    <w:rsid w:val="001C0E55"/>
    <w:rsid w:val="001E470F"/>
    <w:rsid w:val="001F2DDF"/>
    <w:rsid w:val="001F5071"/>
    <w:rsid w:val="001F6412"/>
    <w:rsid w:val="0020269B"/>
    <w:rsid w:val="002051FA"/>
    <w:rsid w:val="00205969"/>
    <w:rsid w:val="00227E35"/>
    <w:rsid w:val="002342FA"/>
    <w:rsid w:val="00237899"/>
    <w:rsid w:val="0024556C"/>
    <w:rsid w:val="0024626A"/>
    <w:rsid w:val="002473ED"/>
    <w:rsid w:val="00264FCD"/>
    <w:rsid w:val="00283E7B"/>
    <w:rsid w:val="0028494A"/>
    <w:rsid w:val="00287715"/>
    <w:rsid w:val="00290A39"/>
    <w:rsid w:val="00297832"/>
    <w:rsid w:val="00297F4E"/>
    <w:rsid w:val="002A193F"/>
    <w:rsid w:val="002C43DD"/>
    <w:rsid w:val="002C4ADF"/>
    <w:rsid w:val="002D6996"/>
    <w:rsid w:val="002E7A85"/>
    <w:rsid w:val="002F5EF7"/>
    <w:rsid w:val="003017E5"/>
    <w:rsid w:val="00303B45"/>
    <w:rsid w:val="00304B99"/>
    <w:rsid w:val="003152D8"/>
    <w:rsid w:val="00331008"/>
    <w:rsid w:val="003369DE"/>
    <w:rsid w:val="0034151E"/>
    <w:rsid w:val="00346B65"/>
    <w:rsid w:val="003542AB"/>
    <w:rsid w:val="00355A5E"/>
    <w:rsid w:val="00363C06"/>
    <w:rsid w:val="00364179"/>
    <w:rsid w:val="00364492"/>
    <w:rsid w:val="003650DF"/>
    <w:rsid w:val="00372BED"/>
    <w:rsid w:val="00376ECE"/>
    <w:rsid w:val="00377FDD"/>
    <w:rsid w:val="00393638"/>
    <w:rsid w:val="003A3951"/>
    <w:rsid w:val="003B0CD7"/>
    <w:rsid w:val="003C2A8A"/>
    <w:rsid w:val="003C3712"/>
    <w:rsid w:val="003C3FE4"/>
    <w:rsid w:val="003C6F5E"/>
    <w:rsid w:val="003D3804"/>
    <w:rsid w:val="003D6932"/>
    <w:rsid w:val="003F1794"/>
    <w:rsid w:val="00403484"/>
    <w:rsid w:val="004052BE"/>
    <w:rsid w:val="00414036"/>
    <w:rsid w:val="00417B89"/>
    <w:rsid w:val="0044493C"/>
    <w:rsid w:val="00444DFA"/>
    <w:rsid w:val="004525DF"/>
    <w:rsid w:val="00452F61"/>
    <w:rsid w:val="00480637"/>
    <w:rsid w:val="00490397"/>
    <w:rsid w:val="00493094"/>
    <w:rsid w:val="0049631C"/>
    <w:rsid w:val="004A778B"/>
    <w:rsid w:val="004A7840"/>
    <w:rsid w:val="004B4228"/>
    <w:rsid w:val="004B73B7"/>
    <w:rsid w:val="004C54F8"/>
    <w:rsid w:val="004C76A5"/>
    <w:rsid w:val="004D0E04"/>
    <w:rsid w:val="004D3D6D"/>
    <w:rsid w:val="004D5E99"/>
    <w:rsid w:val="004E3444"/>
    <w:rsid w:val="004F147A"/>
    <w:rsid w:val="004F3502"/>
    <w:rsid w:val="004F50CF"/>
    <w:rsid w:val="004F7933"/>
    <w:rsid w:val="005053A0"/>
    <w:rsid w:val="00507380"/>
    <w:rsid w:val="00507999"/>
    <w:rsid w:val="00511D4F"/>
    <w:rsid w:val="005124A4"/>
    <w:rsid w:val="005157B8"/>
    <w:rsid w:val="00515CDF"/>
    <w:rsid w:val="00520DD4"/>
    <w:rsid w:val="00526ACF"/>
    <w:rsid w:val="00527276"/>
    <w:rsid w:val="00533BE5"/>
    <w:rsid w:val="00533C16"/>
    <w:rsid w:val="00542DCE"/>
    <w:rsid w:val="005436DA"/>
    <w:rsid w:val="00543778"/>
    <w:rsid w:val="00545AE9"/>
    <w:rsid w:val="005464E1"/>
    <w:rsid w:val="00550007"/>
    <w:rsid w:val="00560B79"/>
    <w:rsid w:val="005765C5"/>
    <w:rsid w:val="005800A6"/>
    <w:rsid w:val="00582AC7"/>
    <w:rsid w:val="00585551"/>
    <w:rsid w:val="00590759"/>
    <w:rsid w:val="00592187"/>
    <w:rsid w:val="00595C45"/>
    <w:rsid w:val="005968C3"/>
    <w:rsid w:val="005A7D67"/>
    <w:rsid w:val="005B210F"/>
    <w:rsid w:val="005C0FA5"/>
    <w:rsid w:val="005C5F6C"/>
    <w:rsid w:val="005C68D3"/>
    <w:rsid w:val="005D72C2"/>
    <w:rsid w:val="005E2855"/>
    <w:rsid w:val="005E7468"/>
    <w:rsid w:val="006017D4"/>
    <w:rsid w:val="00605AB1"/>
    <w:rsid w:val="0061213D"/>
    <w:rsid w:val="00623080"/>
    <w:rsid w:val="00625324"/>
    <w:rsid w:val="00627274"/>
    <w:rsid w:val="006304F9"/>
    <w:rsid w:val="00633521"/>
    <w:rsid w:val="006475B3"/>
    <w:rsid w:val="00650659"/>
    <w:rsid w:val="00664A9B"/>
    <w:rsid w:val="0067386E"/>
    <w:rsid w:val="006927CC"/>
    <w:rsid w:val="006A482A"/>
    <w:rsid w:val="006B039B"/>
    <w:rsid w:val="006B636D"/>
    <w:rsid w:val="006C435C"/>
    <w:rsid w:val="006C4DB8"/>
    <w:rsid w:val="006D1442"/>
    <w:rsid w:val="006D392E"/>
    <w:rsid w:val="006D3B79"/>
    <w:rsid w:val="006D5FDE"/>
    <w:rsid w:val="006D6734"/>
    <w:rsid w:val="006D7451"/>
    <w:rsid w:val="006E33B1"/>
    <w:rsid w:val="006E399C"/>
    <w:rsid w:val="006E5541"/>
    <w:rsid w:val="006F08ED"/>
    <w:rsid w:val="006F2F6D"/>
    <w:rsid w:val="006F3A86"/>
    <w:rsid w:val="00700A0D"/>
    <w:rsid w:val="007047EC"/>
    <w:rsid w:val="00705D33"/>
    <w:rsid w:val="00706DC7"/>
    <w:rsid w:val="00707E10"/>
    <w:rsid w:val="00710840"/>
    <w:rsid w:val="00716F55"/>
    <w:rsid w:val="0071776E"/>
    <w:rsid w:val="00725733"/>
    <w:rsid w:val="0073109E"/>
    <w:rsid w:val="00740262"/>
    <w:rsid w:val="007443A9"/>
    <w:rsid w:val="00755471"/>
    <w:rsid w:val="00765219"/>
    <w:rsid w:val="00771A9E"/>
    <w:rsid w:val="0078244A"/>
    <w:rsid w:val="00792401"/>
    <w:rsid w:val="007A1595"/>
    <w:rsid w:val="007A1C08"/>
    <w:rsid w:val="007A35FE"/>
    <w:rsid w:val="007B5760"/>
    <w:rsid w:val="007C7964"/>
    <w:rsid w:val="007D5C8B"/>
    <w:rsid w:val="007E06AC"/>
    <w:rsid w:val="007E0A71"/>
    <w:rsid w:val="007E0F99"/>
    <w:rsid w:val="007F1099"/>
    <w:rsid w:val="007F3E94"/>
    <w:rsid w:val="00806CFD"/>
    <w:rsid w:val="008070A8"/>
    <w:rsid w:val="00821985"/>
    <w:rsid w:val="00823537"/>
    <w:rsid w:val="008257CF"/>
    <w:rsid w:val="00833C9D"/>
    <w:rsid w:val="00837DF9"/>
    <w:rsid w:val="008415E4"/>
    <w:rsid w:val="00855A61"/>
    <w:rsid w:val="0086030F"/>
    <w:rsid w:val="00862706"/>
    <w:rsid w:val="0086610C"/>
    <w:rsid w:val="00873F50"/>
    <w:rsid w:val="00880AF0"/>
    <w:rsid w:val="0089471B"/>
    <w:rsid w:val="00896A66"/>
    <w:rsid w:val="008A1F34"/>
    <w:rsid w:val="008A24AD"/>
    <w:rsid w:val="008A7D84"/>
    <w:rsid w:val="008C0106"/>
    <w:rsid w:val="008C776A"/>
    <w:rsid w:val="008E447C"/>
    <w:rsid w:val="008E5C4C"/>
    <w:rsid w:val="008F2A89"/>
    <w:rsid w:val="008F7EE1"/>
    <w:rsid w:val="009022DA"/>
    <w:rsid w:val="00914486"/>
    <w:rsid w:val="009145B4"/>
    <w:rsid w:val="00914AA8"/>
    <w:rsid w:val="00917E36"/>
    <w:rsid w:val="0092108E"/>
    <w:rsid w:val="0092641D"/>
    <w:rsid w:val="00930B96"/>
    <w:rsid w:val="009316C9"/>
    <w:rsid w:val="00943FF8"/>
    <w:rsid w:val="00950AE5"/>
    <w:rsid w:val="009510DF"/>
    <w:rsid w:val="0095456B"/>
    <w:rsid w:val="00961265"/>
    <w:rsid w:val="0097221C"/>
    <w:rsid w:val="00974CFF"/>
    <w:rsid w:val="00975FDF"/>
    <w:rsid w:val="0098181B"/>
    <w:rsid w:val="009828E1"/>
    <w:rsid w:val="00983660"/>
    <w:rsid w:val="00984FD6"/>
    <w:rsid w:val="00985A66"/>
    <w:rsid w:val="009878C9"/>
    <w:rsid w:val="0099377F"/>
    <w:rsid w:val="009A0643"/>
    <w:rsid w:val="009A2B0D"/>
    <w:rsid w:val="009B1A28"/>
    <w:rsid w:val="009C2F04"/>
    <w:rsid w:val="009C5E73"/>
    <w:rsid w:val="009D2433"/>
    <w:rsid w:val="009D7E2C"/>
    <w:rsid w:val="009E16C9"/>
    <w:rsid w:val="009F1876"/>
    <w:rsid w:val="009F747F"/>
    <w:rsid w:val="009F7D41"/>
    <w:rsid w:val="00A013DC"/>
    <w:rsid w:val="00A0270E"/>
    <w:rsid w:val="00A14E07"/>
    <w:rsid w:val="00A23BF8"/>
    <w:rsid w:val="00A23C41"/>
    <w:rsid w:val="00A3074D"/>
    <w:rsid w:val="00A375EE"/>
    <w:rsid w:val="00A43E18"/>
    <w:rsid w:val="00A441DA"/>
    <w:rsid w:val="00A4567A"/>
    <w:rsid w:val="00A56955"/>
    <w:rsid w:val="00A574EB"/>
    <w:rsid w:val="00A60FCC"/>
    <w:rsid w:val="00A61134"/>
    <w:rsid w:val="00A72D31"/>
    <w:rsid w:val="00A73849"/>
    <w:rsid w:val="00A84219"/>
    <w:rsid w:val="00A85671"/>
    <w:rsid w:val="00A8750E"/>
    <w:rsid w:val="00A87A06"/>
    <w:rsid w:val="00A90FBC"/>
    <w:rsid w:val="00A93318"/>
    <w:rsid w:val="00A933B6"/>
    <w:rsid w:val="00A936F7"/>
    <w:rsid w:val="00A96ED2"/>
    <w:rsid w:val="00AA3136"/>
    <w:rsid w:val="00AB31B3"/>
    <w:rsid w:val="00AB481A"/>
    <w:rsid w:val="00AC39E3"/>
    <w:rsid w:val="00AC49B1"/>
    <w:rsid w:val="00AD5EB6"/>
    <w:rsid w:val="00AE37AE"/>
    <w:rsid w:val="00AE3B5E"/>
    <w:rsid w:val="00AE6360"/>
    <w:rsid w:val="00AE7029"/>
    <w:rsid w:val="00B00240"/>
    <w:rsid w:val="00B020F1"/>
    <w:rsid w:val="00B05A67"/>
    <w:rsid w:val="00B16626"/>
    <w:rsid w:val="00B309A9"/>
    <w:rsid w:val="00B34C8C"/>
    <w:rsid w:val="00B54233"/>
    <w:rsid w:val="00B54C8F"/>
    <w:rsid w:val="00B72654"/>
    <w:rsid w:val="00B72E11"/>
    <w:rsid w:val="00B84297"/>
    <w:rsid w:val="00BA0442"/>
    <w:rsid w:val="00BA1878"/>
    <w:rsid w:val="00BA588A"/>
    <w:rsid w:val="00BA6EAE"/>
    <w:rsid w:val="00BB18B7"/>
    <w:rsid w:val="00BB5EF6"/>
    <w:rsid w:val="00BC7710"/>
    <w:rsid w:val="00BC7A5E"/>
    <w:rsid w:val="00BF42E5"/>
    <w:rsid w:val="00BF5FA1"/>
    <w:rsid w:val="00BF6655"/>
    <w:rsid w:val="00C0249D"/>
    <w:rsid w:val="00C05645"/>
    <w:rsid w:val="00C14C56"/>
    <w:rsid w:val="00C21CA3"/>
    <w:rsid w:val="00C2327B"/>
    <w:rsid w:val="00C23818"/>
    <w:rsid w:val="00C23C68"/>
    <w:rsid w:val="00C32443"/>
    <w:rsid w:val="00C3617C"/>
    <w:rsid w:val="00C4079C"/>
    <w:rsid w:val="00C46353"/>
    <w:rsid w:val="00C468AA"/>
    <w:rsid w:val="00C509D5"/>
    <w:rsid w:val="00C5139C"/>
    <w:rsid w:val="00C61E40"/>
    <w:rsid w:val="00C6245B"/>
    <w:rsid w:val="00C744DB"/>
    <w:rsid w:val="00C74BD8"/>
    <w:rsid w:val="00C768B0"/>
    <w:rsid w:val="00C81719"/>
    <w:rsid w:val="00C8250F"/>
    <w:rsid w:val="00C82C36"/>
    <w:rsid w:val="00C83007"/>
    <w:rsid w:val="00C83977"/>
    <w:rsid w:val="00CA0CE8"/>
    <w:rsid w:val="00CA5FE7"/>
    <w:rsid w:val="00CC04A8"/>
    <w:rsid w:val="00CC0612"/>
    <w:rsid w:val="00CC1CDD"/>
    <w:rsid w:val="00CC3890"/>
    <w:rsid w:val="00CD29DA"/>
    <w:rsid w:val="00CE21C5"/>
    <w:rsid w:val="00CF6D4C"/>
    <w:rsid w:val="00CF6D66"/>
    <w:rsid w:val="00D14FD6"/>
    <w:rsid w:val="00D24D0C"/>
    <w:rsid w:val="00D26878"/>
    <w:rsid w:val="00D27A37"/>
    <w:rsid w:val="00D30964"/>
    <w:rsid w:val="00D3159F"/>
    <w:rsid w:val="00D3372C"/>
    <w:rsid w:val="00D34489"/>
    <w:rsid w:val="00D42338"/>
    <w:rsid w:val="00D42D3C"/>
    <w:rsid w:val="00D471AD"/>
    <w:rsid w:val="00D5511D"/>
    <w:rsid w:val="00D57EA2"/>
    <w:rsid w:val="00D714DB"/>
    <w:rsid w:val="00D72AAA"/>
    <w:rsid w:val="00D777DC"/>
    <w:rsid w:val="00D8375D"/>
    <w:rsid w:val="00D85353"/>
    <w:rsid w:val="00D970D4"/>
    <w:rsid w:val="00DA082E"/>
    <w:rsid w:val="00DB570D"/>
    <w:rsid w:val="00DB659B"/>
    <w:rsid w:val="00DC4C06"/>
    <w:rsid w:val="00DD4D7D"/>
    <w:rsid w:val="00DE1F72"/>
    <w:rsid w:val="00DE2A81"/>
    <w:rsid w:val="00DE2B58"/>
    <w:rsid w:val="00DE371E"/>
    <w:rsid w:val="00DE3838"/>
    <w:rsid w:val="00DF2B8C"/>
    <w:rsid w:val="00DF4DFC"/>
    <w:rsid w:val="00DF74C4"/>
    <w:rsid w:val="00E037C0"/>
    <w:rsid w:val="00E05B2B"/>
    <w:rsid w:val="00E10F78"/>
    <w:rsid w:val="00E15817"/>
    <w:rsid w:val="00E340C6"/>
    <w:rsid w:val="00E37F81"/>
    <w:rsid w:val="00E61488"/>
    <w:rsid w:val="00E67B8E"/>
    <w:rsid w:val="00E70FE2"/>
    <w:rsid w:val="00E717B4"/>
    <w:rsid w:val="00E81D61"/>
    <w:rsid w:val="00E87D03"/>
    <w:rsid w:val="00EA548B"/>
    <w:rsid w:val="00EA64CB"/>
    <w:rsid w:val="00EB2C91"/>
    <w:rsid w:val="00EB46F3"/>
    <w:rsid w:val="00EC4DDD"/>
    <w:rsid w:val="00EC6137"/>
    <w:rsid w:val="00ED1BE3"/>
    <w:rsid w:val="00ED4102"/>
    <w:rsid w:val="00EE34AA"/>
    <w:rsid w:val="00EE66F2"/>
    <w:rsid w:val="00EE6A63"/>
    <w:rsid w:val="00EF66BB"/>
    <w:rsid w:val="00F019D9"/>
    <w:rsid w:val="00F1602F"/>
    <w:rsid w:val="00F325A9"/>
    <w:rsid w:val="00F32D5F"/>
    <w:rsid w:val="00F33637"/>
    <w:rsid w:val="00F47B5C"/>
    <w:rsid w:val="00F549A5"/>
    <w:rsid w:val="00F56A47"/>
    <w:rsid w:val="00F6019C"/>
    <w:rsid w:val="00F60372"/>
    <w:rsid w:val="00F727FE"/>
    <w:rsid w:val="00F755DE"/>
    <w:rsid w:val="00F7782A"/>
    <w:rsid w:val="00F81FCA"/>
    <w:rsid w:val="00F85BE0"/>
    <w:rsid w:val="00F85E7F"/>
    <w:rsid w:val="00F952E2"/>
    <w:rsid w:val="00FA339A"/>
    <w:rsid w:val="00FB0E7A"/>
    <w:rsid w:val="00FB7778"/>
    <w:rsid w:val="00FC181F"/>
    <w:rsid w:val="00FC6CD7"/>
    <w:rsid w:val="00FD23B5"/>
    <w:rsid w:val="00FD561E"/>
    <w:rsid w:val="00FE316F"/>
    <w:rsid w:val="00FE3547"/>
    <w:rsid w:val="00FE4BDA"/>
    <w:rsid w:val="00FE5D49"/>
    <w:rsid w:val="00FF46E1"/>
  </w:rsids>
  <m:mathPr>
    <m:mathFont m:val="Cambria Math"/>
    <m:brkBin m:val="before"/>
    <m:brkBinSub m:val="--"/>
    <m:smallFrac/>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39938"/>
    <o:shapelayout v:ext="edit">
      <o:idmap v:ext="edit" data="1"/>
      <o:rules v:ext="edit">
        <o:r id="V:Rule11" type="connector" idref="#_x0000_s1097"/>
        <o:r id="V:Rule12" type="connector" idref="#_x0000_s1102"/>
        <o:r id="V:Rule13" type="connector" idref="#_x0000_s1110"/>
        <o:r id="V:Rule14" type="connector" idref="#_x0000_s1107"/>
        <o:r id="V:Rule15" type="connector" idref="#_x0000_s1093"/>
        <o:r id="V:Rule16" type="connector" idref="#_x0000_s1105"/>
        <o:r id="V:Rule17" type="connector" idref="#_x0000_s1109"/>
        <o:r id="V:Rule18" type="connector" idref="#_x0000_s1091"/>
        <o:r id="V:Rule19" type="connector" idref="#_x0000_s1094"/>
        <o:r id="V:Rule20" type="connector" idref="#_x0000_s109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39" w:qFormat="1"/>
    <w:lsdException w:name="toc 2" w:uiPriority="39" w:qFormat="1"/>
    <w:lsdException w:name="toc 3" w:uiPriority="39" w:qFormat="1"/>
    <w:lsdException w:name="toc 4" w:uiPriority="1" w:qFormat="1"/>
    <w:lsdException w:name="toc 5" w:uiPriority="0"/>
    <w:lsdException w:name="toc 6" w:uiPriority="0"/>
    <w:lsdException w:name="toc 7" w:uiPriority="0"/>
    <w:lsdException w:name="toc 8" w:uiPriority="0"/>
    <w:lsdException w:name="toc 9" w:uiPriority="0"/>
    <w:lsdException w:name="Normal Indent" w:uiPriority="0"/>
    <w:lsdException w:name="header" w:uiPriority="0"/>
    <w:lsdException w:name="index heading" w:uiPriority="0"/>
    <w:lsdException w:name="caption" w:uiPriority="35" w:qFormat="1"/>
    <w:lsdException w:name="envelope address" w:uiPriority="0"/>
    <w:lsdException w:name="envelope return" w:uiPriority="0"/>
    <w:lsdException w:name="endnote reference" w:uiPriority="0"/>
    <w:lsdException w:name="table of authorities" w:uiPriority="0"/>
    <w:lsdException w:name="macro" w:uiPriority="0"/>
    <w:lsdException w:name="toa heading" w:uiPriority="0"/>
    <w:lsdException w:name="List" w:uiPriority="0"/>
    <w:lsdException w:name="List Bullet" w:uiPriority="0"/>
    <w:lsdException w:name="List Number"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List Number 2" w:uiPriority="0"/>
    <w:lsdException w:name="List Number 3" w:uiPriority="0"/>
    <w:lsdException w:name="List Number 4" w:uiPriority="0"/>
    <w:lsdException w:name="List Number 5" w:uiPriority="0"/>
    <w:lsdException w:name="Title" w:semiHidden="0" w:uiPriority="10" w:unhideWhenUsed="0" w:qFormat="1"/>
    <w:lsdException w:name="Closing" w:uiPriority="0"/>
    <w:lsdException w:name="Signature" w:uiPriority="0"/>
    <w:lsdException w:name="Default Paragraph Font" w:uiPriority="1"/>
    <w:lsdException w:name="Body Text" w:uiPriority="1" w:qFormat="1"/>
    <w:lsdException w:name="Body Text Indent" w:uiPriority="0"/>
    <w:lsdException w:name="List Continue" w:uiPriority="0"/>
    <w:lsdException w:name="List Continue 2" w:uiPriority="0"/>
    <w:lsdException w:name="List Continue 3" w:uiPriority="0"/>
    <w:lsdException w:name="List Continue 4" w:uiPriority="0"/>
    <w:lsdException w:name="List Continue 5" w:uiPriority="0"/>
    <w:lsdException w:name="Message Header" w:uiPriority="0"/>
    <w:lsdException w:name="Subtitle" w:semiHidden="0" w:uiPriority="11" w:unhideWhenUsed="0" w:qFormat="1"/>
    <w:lsdException w:name="Salutation" w:uiPriority="0"/>
    <w:lsdException w:name="Date" w:uiPriority="0"/>
    <w:lsdException w:name="Body Text First Indent" w:uiPriority="0"/>
    <w:lsdException w:name="Body Text First Indent 2" w:uiPriority="0"/>
    <w:lsdException w:name="Note Heading" w:uiPriority="0"/>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Outline List 2"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aliases w:val="Oferta técnica,Normal EC JEU reports"/>
    <w:qFormat/>
    <w:rsid w:val="003B0CD7"/>
    <w:pPr>
      <w:spacing w:before="120" w:after="120"/>
    </w:pPr>
    <w:rPr>
      <w:rFonts w:ascii="Cambria" w:eastAsia="Times New Roman" w:hAnsi="Cambria" w:cs="Times New Roman"/>
      <w:sz w:val="21"/>
      <w:szCs w:val="20"/>
      <w:lang w:val="en-US"/>
    </w:rPr>
  </w:style>
  <w:style w:type="paragraph" w:styleId="Titolo1">
    <w:name w:val="heading 1"/>
    <w:aliases w:val="Titre1"/>
    <w:basedOn w:val="Normale"/>
    <w:next w:val="Normale"/>
    <w:link w:val="Titolo1Carattere"/>
    <w:autoRedefine/>
    <w:uiPriority w:val="9"/>
    <w:qFormat/>
    <w:rsid w:val="005E7468"/>
    <w:pPr>
      <w:keepNext/>
      <w:keepLines/>
      <w:pBdr>
        <w:bottom w:val="single" w:sz="4" w:space="1" w:color="1F497D" w:themeColor="text2"/>
      </w:pBdr>
      <w:shd w:val="clear" w:color="auto" w:fill="FFFFFF" w:themeFill="background1"/>
      <w:overflowPunct w:val="0"/>
      <w:autoSpaceDE w:val="0"/>
      <w:autoSpaceDN w:val="0"/>
      <w:adjustRightInd w:val="0"/>
      <w:spacing w:before="0" w:after="0"/>
      <w:ind w:left="431" w:hanging="431"/>
      <w:jc w:val="center"/>
      <w:textAlignment w:val="baseline"/>
      <w:outlineLvl w:val="0"/>
    </w:pPr>
    <w:rPr>
      <w:rFonts w:ascii="Arial" w:hAnsi="Arial" w:cs="Arial"/>
      <w:b/>
      <w:caps/>
      <w:smallCaps/>
      <w:noProof/>
      <w:color w:val="1F497D" w:themeColor="text2"/>
      <w:spacing w:val="20"/>
      <w:kern w:val="28"/>
      <w:sz w:val="28"/>
      <w:szCs w:val="28"/>
      <w:lang w:val="en-GB" w:eastAsia="pl-PL"/>
    </w:rPr>
  </w:style>
  <w:style w:type="paragraph" w:styleId="Titolo2">
    <w:name w:val="heading 2"/>
    <w:aliases w:val="Titre 2,PAIRCA,Titre2, Char"/>
    <w:basedOn w:val="Normale"/>
    <w:next w:val="Normale"/>
    <w:link w:val="Titolo2Carattere"/>
    <w:autoRedefine/>
    <w:unhideWhenUsed/>
    <w:qFormat/>
    <w:rsid w:val="00C83007"/>
    <w:pPr>
      <w:keepNext/>
      <w:numPr>
        <w:ilvl w:val="1"/>
        <w:numId w:val="42"/>
      </w:numPr>
      <w:shd w:val="clear" w:color="auto" w:fill="F3F3F3"/>
      <w:spacing w:before="0"/>
      <w:outlineLvl w:val="1"/>
    </w:pPr>
    <w:rPr>
      <w:rFonts w:ascii="Times New Roman" w:hAnsi="Times New Roman"/>
      <w:b/>
      <w:bCs/>
      <w:caps/>
      <w:color w:val="1F497D" w:themeColor="text2"/>
      <w:sz w:val="28"/>
      <w:szCs w:val="28"/>
    </w:rPr>
  </w:style>
  <w:style w:type="paragraph" w:styleId="Titolo3">
    <w:name w:val="heading 3"/>
    <w:aliases w:val="Titre3,Titolo 3 -,section niveau 2,Titolo sublevel 3"/>
    <w:basedOn w:val="Normale"/>
    <w:next w:val="Normale"/>
    <w:link w:val="Titolo3Carattere"/>
    <w:autoRedefine/>
    <w:uiPriority w:val="9"/>
    <w:unhideWhenUsed/>
    <w:qFormat/>
    <w:rsid w:val="00BB5EF6"/>
    <w:pPr>
      <w:keepNext/>
      <w:keepLines/>
      <w:numPr>
        <w:ilvl w:val="2"/>
      </w:numPr>
      <w:shd w:val="clear" w:color="auto" w:fill="1F497D" w:themeFill="text2"/>
      <w:spacing w:before="0" w:after="0"/>
      <w:ind w:left="709" w:hanging="709"/>
      <w:outlineLvl w:val="2"/>
    </w:pPr>
    <w:rPr>
      <w:rFonts w:ascii="Times New Roman" w:eastAsia="Times" w:hAnsi="Times New Roman" w:cs="Tahoma"/>
      <w:b/>
      <w:smallCaps/>
      <w:color w:val="1F497D" w:themeColor="text2"/>
      <w:spacing w:val="-1"/>
      <w:sz w:val="24"/>
      <w:szCs w:val="24"/>
      <w:lang w:val="en-GB"/>
    </w:rPr>
  </w:style>
  <w:style w:type="paragraph" w:styleId="Titolo4">
    <w:name w:val="heading 4"/>
    <w:aliases w:val="Titre4"/>
    <w:basedOn w:val="Normale"/>
    <w:next w:val="Normale"/>
    <w:link w:val="Titolo4Carattere"/>
    <w:autoRedefine/>
    <w:uiPriority w:val="9"/>
    <w:unhideWhenUsed/>
    <w:qFormat/>
    <w:rsid w:val="00C83007"/>
    <w:pPr>
      <w:keepNext/>
      <w:numPr>
        <w:ilvl w:val="3"/>
        <w:numId w:val="42"/>
      </w:numPr>
      <w:overflowPunct w:val="0"/>
      <w:autoSpaceDE w:val="0"/>
      <w:autoSpaceDN w:val="0"/>
      <w:adjustRightInd w:val="0"/>
      <w:spacing w:before="240" w:after="60"/>
      <w:textAlignment w:val="baseline"/>
      <w:outlineLvl w:val="3"/>
    </w:pPr>
    <w:rPr>
      <w:i/>
      <w:color w:val="365F91"/>
      <w:u w:val="single"/>
      <w:lang w:val="en-GB" w:eastAsia="pl-PL"/>
    </w:rPr>
  </w:style>
  <w:style w:type="paragraph" w:styleId="Titolo5">
    <w:name w:val="heading 5"/>
    <w:aliases w:val="Titre5"/>
    <w:basedOn w:val="Normale"/>
    <w:next w:val="Normale"/>
    <w:link w:val="Titolo5Carattere"/>
    <w:uiPriority w:val="9"/>
    <w:unhideWhenUsed/>
    <w:qFormat/>
    <w:rsid w:val="00C83007"/>
    <w:pPr>
      <w:numPr>
        <w:ilvl w:val="4"/>
        <w:numId w:val="42"/>
      </w:numPr>
      <w:spacing w:before="320"/>
      <w:jc w:val="center"/>
      <w:outlineLvl w:val="4"/>
    </w:pPr>
    <w:rPr>
      <w:caps/>
      <w:color w:val="622423"/>
      <w:spacing w:val="10"/>
    </w:rPr>
  </w:style>
  <w:style w:type="paragraph" w:styleId="Titolo6">
    <w:name w:val="heading 6"/>
    <w:aliases w:val="Titre6"/>
    <w:basedOn w:val="Normale"/>
    <w:next w:val="Normale"/>
    <w:link w:val="Titolo6Carattere"/>
    <w:autoRedefine/>
    <w:uiPriority w:val="9"/>
    <w:unhideWhenUsed/>
    <w:qFormat/>
    <w:rsid w:val="00C83007"/>
    <w:pPr>
      <w:numPr>
        <w:ilvl w:val="5"/>
        <w:numId w:val="42"/>
      </w:numPr>
      <w:jc w:val="center"/>
      <w:outlineLvl w:val="5"/>
    </w:pPr>
    <w:rPr>
      <w:b/>
      <w:i/>
      <w:color w:val="365F91"/>
    </w:rPr>
  </w:style>
  <w:style w:type="paragraph" w:styleId="Titolo7">
    <w:name w:val="heading 7"/>
    <w:aliases w:val="Titre7"/>
    <w:basedOn w:val="Normale"/>
    <w:next w:val="Normale"/>
    <w:link w:val="Titolo7Carattere"/>
    <w:uiPriority w:val="9"/>
    <w:unhideWhenUsed/>
    <w:qFormat/>
    <w:rsid w:val="00C83007"/>
    <w:pPr>
      <w:numPr>
        <w:ilvl w:val="6"/>
        <w:numId w:val="42"/>
      </w:numPr>
      <w:jc w:val="center"/>
      <w:outlineLvl w:val="6"/>
    </w:pPr>
    <w:rPr>
      <w:i/>
      <w:iCs/>
      <w:caps/>
      <w:color w:val="943634"/>
      <w:spacing w:val="10"/>
    </w:rPr>
  </w:style>
  <w:style w:type="paragraph" w:styleId="Titolo8">
    <w:name w:val="heading 8"/>
    <w:aliases w:val="Titre8"/>
    <w:basedOn w:val="Normale"/>
    <w:next w:val="Normale"/>
    <w:link w:val="Titolo8Carattere"/>
    <w:uiPriority w:val="9"/>
    <w:unhideWhenUsed/>
    <w:qFormat/>
    <w:rsid w:val="00C83007"/>
    <w:pPr>
      <w:numPr>
        <w:ilvl w:val="7"/>
        <w:numId w:val="42"/>
      </w:numPr>
      <w:jc w:val="center"/>
      <w:outlineLvl w:val="7"/>
    </w:pPr>
    <w:rPr>
      <w:caps/>
      <w:spacing w:val="10"/>
      <w:sz w:val="20"/>
    </w:rPr>
  </w:style>
  <w:style w:type="paragraph" w:styleId="Titolo9">
    <w:name w:val="heading 9"/>
    <w:aliases w:val="Titre9"/>
    <w:basedOn w:val="Normale"/>
    <w:next w:val="Normale"/>
    <w:link w:val="Titolo9Carattere"/>
    <w:uiPriority w:val="9"/>
    <w:unhideWhenUsed/>
    <w:qFormat/>
    <w:rsid w:val="00C83007"/>
    <w:pPr>
      <w:numPr>
        <w:ilvl w:val="8"/>
        <w:numId w:val="42"/>
      </w:numPr>
      <w:jc w:val="center"/>
      <w:outlineLvl w:val="8"/>
    </w:pPr>
    <w:rPr>
      <w:i/>
      <w:iCs/>
      <w:caps/>
      <w:spacing w:val="10"/>
      <w:sz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Didascalia">
    <w:name w:val="caption"/>
    <w:aliases w:val="Textbox"/>
    <w:basedOn w:val="Normale"/>
    <w:next w:val="Normale"/>
    <w:link w:val="DidascaliaCarattere"/>
    <w:autoRedefine/>
    <w:uiPriority w:val="35"/>
    <w:unhideWhenUsed/>
    <w:qFormat/>
    <w:rsid w:val="00D714DB"/>
    <w:pPr>
      <w:framePr w:hSpace="141" w:wrap="around" w:vAnchor="text" w:hAnchor="margin" w:xAlign="center" w:y="50"/>
      <w:spacing w:before="0" w:after="0"/>
      <w:jc w:val="center"/>
    </w:pPr>
    <w:rPr>
      <w:rFonts w:ascii="Arial" w:hAnsi="Arial" w:cs="Arial"/>
      <w:b/>
      <w:color w:val="1F497D" w:themeColor="text2"/>
      <w:kern w:val="28"/>
      <w:sz w:val="18"/>
      <w:szCs w:val="18"/>
      <w:lang w:eastAsia="pl-PL"/>
    </w:rPr>
  </w:style>
  <w:style w:type="paragraph" w:styleId="Paragrafoelenco">
    <w:name w:val="List Paragraph"/>
    <w:basedOn w:val="Normale"/>
    <w:link w:val="ParagrafoelencoCarattere"/>
    <w:uiPriority w:val="34"/>
    <w:qFormat/>
    <w:rsid w:val="003B0CD7"/>
    <w:pPr>
      <w:ind w:left="720"/>
      <w:contextualSpacing/>
    </w:pPr>
  </w:style>
  <w:style w:type="paragraph" w:styleId="Testonotaapidipagina">
    <w:name w:val="footnote text"/>
    <w:aliases w:val="Footnote Text Char Char Char Char Char,Footnote Text Char Char Char Char,Footnote Text Char Char Char,Fußnotentextf,single space,footnote text,FOOTNOTES,fn,ADB,Footnote Text Char1 Char1,ft,WB-Fußnotentext,Footnote,Fußnote"/>
    <w:basedOn w:val="Normale"/>
    <w:link w:val="TestonotaapidipaginaCarattere1"/>
    <w:uiPriority w:val="99"/>
    <w:rsid w:val="003B0CD7"/>
    <w:rPr>
      <w:sz w:val="20"/>
    </w:rPr>
  </w:style>
  <w:style w:type="character" w:customStyle="1" w:styleId="TestonotaapidipaginaCarattere">
    <w:name w:val="Testo nota a piè di pagina Carattere"/>
    <w:aliases w:val="single space Carattere1,footnote text Carattere1"/>
    <w:basedOn w:val="Carpredefinitoparagrafo"/>
    <w:link w:val="Testonotaapidipagina"/>
    <w:rsid w:val="003B0CD7"/>
    <w:rPr>
      <w:rFonts w:ascii="Cambria" w:eastAsia="Times New Roman" w:hAnsi="Cambria" w:cs="Times New Roman"/>
      <w:sz w:val="20"/>
      <w:szCs w:val="20"/>
      <w:lang w:val="en-US"/>
    </w:rPr>
  </w:style>
  <w:style w:type="character" w:customStyle="1" w:styleId="TestonotaapidipaginaCarattere1">
    <w:name w:val="Testo nota a piè di pagina Carattere1"/>
    <w:aliases w:val="Footnote Text Char Char Char Char Char Carattere,Footnote Text Char Char Char Char Carattere,Footnote Text Char Char Char Carattere,Fußnotentextf Carattere,single space Carattere,footnote text Carattere,fn Carattere"/>
    <w:basedOn w:val="Carpredefinitoparagrafo"/>
    <w:link w:val="Testonotaapidipagina"/>
    <w:rsid w:val="003B0CD7"/>
    <w:rPr>
      <w:rFonts w:ascii="Cambria" w:eastAsia="Times New Roman" w:hAnsi="Cambria" w:cs="Times New Roman"/>
      <w:sz w:val="20"/>
      <w:szCs w:val="20"/>
      <w:lang w:val="en-US"/>
    </w:rPr>
  </w:style>
  <w:style w:type="character" w:styleId="Rimandonotaapidipagina">
    <w:name w:val="footnote reference"/>
    <w:aliases w:val=" BVI fnr,BVI fnr,16 Point,Superscript 6 Point,Footnote Reference Number,Footnote Reference_LVL6,Footnote Reference_LVL61,Footnote Reference_LVL62,Footnote Reference_LVL63,Footnote Reference_LVL64,ftref,Texto nota al pie,Car1"/>
    <w:basedOn w:val="Carpredefinitoparagrafo"/>
    <w:uiPriority w:val="99"/>
    <w:rsid w:val="003B0CD7"/>
    <w:rPr>
      <w:rFonts w:ascii="Garamond" w:hAnsi="Garamond"/>
      <w:smallCaps/>
      <w:sz w:val="20"/>
      <w:szCs w:val="24"/>
      <w:vertAlign w:val="superscript"/>
      <w:lang w:val="en-GB" w:eastAsia="pl-PL" w:bidi="ar-SA"/>
    </w:rPr>
  </w:style>
  <w:style w:type="paragraph" w:customStyle="1" w:styleId="Default">
    <w:name w:val="Default"/>
    <w:rsid w:val="003B0CD7"/>
    <w:pPr>
      <w:autoSpaceDE w:val="0"/>
      <w:autoSpaceDN w:val="0"/>
      <w:adjustRightInd w:val="0"/>
      <w:spacing w:before="120" w:after="120"/>
    </w:pPr>
    <w:rPr>
      <w:rFonts w:ascii="Verdana" w:eastAsia="Times New Roman" w:hAnsi="Verdana" w:cs="Verdana"/>
      <w:color w:val="000000"/>
      <w:sz w:val="24"/>
      <w:szCs w:val="24"/>
      <w:lang w:val="en-US"/>
    </w:rPr>
  </w:style>
  <w:style w:type="paragraph" w:styleId="Testofumetto">
    <w:name w:val="Balloon Text"/>
    <w:basedOn w:val="Normale"/>
    <w:link w:val="TestofumettoCarattere"/>
    <w:uiPriority w:val="99"/>
    <w:unhideWhenUsed/>
    <w:rsid w:val="003B0CD7"/>
    <w:pPr>
      <w:spacing w:before="0" w:after="0"/>
    </w:pPr>
    <w:rPr>
      <w:rFonts w:ascii="Tahoma" w:hAnsi="Tahoma" w:cs="Tahoma"/>
      <w:sz w:val="16"/>
      <w:szCs w:val="16"/>
    </w:rPr>
  </w:style>
  <w:style w:type="character" w:customStyle="1" w:styleId="TestofumettoCarattere">
    <w:name w:val="Testo fumetto Carattere"/>
    <w:basedOn w:val="Carpredefinitoparagrafo"/>
    <w:link w:val="Testofumetto"/>
    <w:uiPriority w:val="99"/>
    <w:rsid w:val="003B0CD7"/>
    <w:rPr>
      <w:rFonts w:ascii="Tahoma" w:eastAsia="Times New Roman" w:hAnsi="Tahoma" w:cs="Tahoma"/>
      <w:sz w:val="16"/>
      <w:szCs w:val="16"/>
      <w:lang w:val="en-US"/>
    </w:rPr>
  </w:style>
  <w:style w:type="character" w:customStyle="1" w:styleId="ParagrafoelencoCarattere">
    <w:name w:val="Paragrafo elenco Carattere"/>
    <w:basedOn w:val="Carpredefinitoparagrafo"/>
    <w:link w:val="Paragrafoelenco"/>
    <w:uiPriority w:val="34"/>
    <w:rsid w:val="00EB2C91"/>
    <w:rPr>
      <w:rFonts w:ascii="Cambria" w:eastAsia="Times New Roman" w:hAnsi="Cambria" w:cs="Times New Roman"/>
      <w:sz w:val="21"/>
      <w:szCs w:val="20"/>
      <w:lang w:val="en-US"/>
    </w:rPr>
  </w:style>
  <w:style w:type="table" w:styleId="Grigliatabella">
    <w:name w:val="Table Grid"/>
    <w:basedOn w:val="Tabellanormale"/>
    <w:uiPriority w:val="59"/>
    <w:rsid w:val="00CF6D6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itolo1Carattere">
    <w:name w:val="Titolo 1 Carattere"/>
    <w:aliases w:val="Titre1 Carattere"/>
    <w:basedOn w:val="Carpredefinitoparagrafo"/>
    <w:link w:val="Titolo1"/>
    <w:uiPriority w:val="9"/>
    <w:rsid w:val="005E7468"/>
    <w:rPr>
      <w:rFonts w:ascii="Arial" w:eastAsia="Times New Roman" w:hAnsi="Arial" w:cs="Arial"/>
      <w:b/>
      <w:caps/>
      <w:smallCaps/>
      <w:noProof/>
      <w:color w:val="1F497D" w:themeColor="text2"/>
      <w:spacing w:val="20"/>
      <w:kern w:val="28"/>
      <w:sz w:val="28"/>
      <w:szCs w:val="28"/>
      <w:shd w:val="clear" w:color="auto" w:fill="FFFFFF" w:themeFill="background1"/>
      <w:lang w:val="en-GB" w:eastAsia="pl-PL"/>
    </w:rPr>
  </w:style>
  <w:style w:type="character" w:customStyle="1" w:styleId="Titolo2Carattere">
    <w:name w:val="Titolo 2 Carattere"/>
    <w:aliases w:val="Titre 2 Carattere,PAIRCA Carattere,Titre2 Carattere, Char Carattere"/>
    <w:basedOn w:val="Carpredefinitoparagrafo"/>
    <w:link w:val="Titolo2"/>
    <w:rsid w:val="00C83007"/>
    <w:rPr>
      <w:rFonts w:ascii="Times New Roman" w:eastAsia="Times New Roman" w:hAnsi="Times New Roman" w:cs="Times New Roman"/>
      <w:b/>
      <w:bCs/>
      <w:caps/>
      <w:color w:val="1F497D" w:themeColor="text2"/>
      <w:sz w:val="28"/>
      <w:szCs w:val="28"/>
      <w:shd w:val="clear" w:color="auto" w:fill="F3F3F3"/>
      <w:lang w:val="en-US"/>
    </w:rPr>
  </w:style>
  <w:style w:type="character" w:customStyle="1" w:styleId="Titolo3Carattere">
    <w:name w:val="Titolo 3 Carattere"/>
    <w:aliases w:val="Titre3 Carattere,Titolo 3 - Carattere,section niveau 2 Carattere,Titolo sublevel 3 Carattere"/>
    <w:basedOn w:val="Carpredefinitoparagrafo"/>
    <w:link w:val="Titolo3"/>
    <w:uiPriority w:val="9"/>
    <w:rsid w:val="00BB5EF6"/>
    <w:rPr>
      <w:rFonts w:ascii="Times New Roman" w:eastAsia="Times" w:hAnsi="Times New Roman" w:cs="Tahoma"/>
      <w:b/>
      <w:smallCaps/>
      <w:color w:val="1F497D" w:themeColor="text2"/>
      <w:spacing w:val="-1"/>
      <w:sz w:val="24"/>
      <w:szCs w:val="24"/>
      <w:shd w:val="clear" w:color="auto" w:fill="1F497D" w:themeFill="text2"/>
      <w:lang w:val="en-GB"/>
    </w:rPr>
  </w:style>
  <w:style w:type="character" w:customStyle="1" w:styleId="Titolo4Carattere">
    <w:name w:val="Titolo 4 Carattere"/>
    <w:aliases w:val="Titre4 Carattere"/>
    <w:basedOn w:val="Carpredefinitoparagrafo"/>
    <w:link w:val="Titolo4"/>
    <w:uiPriority w:val="9"/>
    <w:rsid w:val="00C83007"/>
    <w:rPr>
      <w:rFonts w:ascii="Cambria" w:eastAsia="Times New Roman" w:hAnsi="Cambria" w:cs="Times New Roman"/>
      <w:i/>
      <w:color w:val="365F91"/>
      <w:sz w:val="21"/>
      <w:szCs w:val="20"/>
      <w:u w:val="single"/>
      <w:lang w:val="en-GB" w:eastAsia="pl-PL"/>
    </w:rPr>
  </w:style>
  <w:style w:type="character" w:customStyle="1" w:styleId="Titolo5Carattere">
    <w:name w:val="Titolo 5 Carattere"/>
    <w:aliases w:val="Titre5 Carattere"/>
    <w:basedOn w:val="Carpredefinitoparagrafo"/>
    <w:link w:val="Titolo5"/>
    <w:uiPriority w:val="9"/>
    <w:rsid w:val="00C83007"/>
    <w:rPr>
      <w:rFonts w:ascii="Cambria" w:eastAsia="Times New Roman" w:hAnsi="Cambria" w:cs="Times New Roman"/>
      <w:caps/>
      <w:color w:val="622423"/>
      <w:spacing w:val="10"/>
      <w:sz w:val="21"/>
      <w:szCs w:val="20"/>
      <w:lang w:val="en-US"/>
    </w:rPr>
  </w:style>
  <w:style w:type="character" w:customStyle="1" w:styleId="Titolo6Carattere">
    <w:name w:val="Titolo 6 Carattere"/>
    <w:aliases w:val="Titre6 Carattere"/>
    <w:basedOn w:val="Carpredefinitoparagrafo"/>
    <w:link w:val="Titolo6"/>
    <w:uiPriority w:val="9"/>
    <w:rsid w:val="00C83007"/>
    <w:rPr>
      <w:rFonts w:ascii="Cambria" w:eastAsia="Times New Roman" w:hAnsi="Cambria" w:cs="Times New Roman"/>
      <w:b/>
      <w:i/>
      <w:color w:val="365F91"/>
      <w:sz w:val="21"/>
      <w:szCs w:val="20"/>
      <w:lang w:val="en-US"/>
    </w:rPr>
  </w:style>
  <w:style w:type="character" w:customStyle="1" w:styleId="Titolo7Carattere">
    <w:name w:val="Titolo 7 Carattere"/>
    <w:aliases w:val="Titre7 Carattere"/>
    <w:basedOn w:val="Carpredefinitoparagrafo"/>
    <w:link w:val="Titolo7"/>
    <w:uiPriority w:val="9"/>
    <w:rsid w:val="00C83007"/>
    <w:rPr>
      <w:rFonts w:ascii="Cambria" w:eastAsia="Times New Roman" w:hAnsi="Cambria" w:cs="Times New Roman"/>
      <w:i/>
      <w:iCs/>
      <w:caps/>
      <w:color w:val="943634"/>
      <w:spacing w:val="10"/>
      <w:sz w:val="21"/>
      <w:szCs w:val="20"/>
      <w:lang w:val="en-US"/>
    </w:rPr>
  </w:style>
  <w:style w:type="character" w:customStyle="1" w:styleId="Titolo8Carattere">
    <w:name w:val="Titolo 8 Carattere"/>
    <w:aliases w:val="Titre8 Carattere"/>
    <w:basedOn w:val="Carpredefinitoparagrafo"/>
    <w:link w:val="Titolo8"/>
    <w:uiPriority w:val="9"/>
    <w:rsid w:val="00C83007"/>
    <w:rPr>
      <w:rFonts w:ascii="Cambria" w:eastAsia="Times New Roman" w:hAnsi="Cambria" w:cs="Times New Roman"/>
      <w:caps/>
      <w:spacing w:val="10"/>
      <w:sz w:val="20"/>
      <w:szCs w:val="20"/>
      <w:lang w:val="en-US"/>
    </w:rPr>
  </w:style>
  <w:style w:type="character" w:customStyle="1" w:styleId="Titolo9Carattere">
    <w:name w:val="Titolo 9 Carattere"/>
    <w:aliases w:val="Titre9 Carattere"/>
    <w:basedOn w:val="Carpredefinitoparagrafo"/>
    <w:link w:val="Titolo9"/>
    <w:uiPriority w:val="9"/>
    <w:rsid w:val="00C83007"/>
    <w:rPr>
      <w:rFonts w:ascii="Cambria" w:eastAsia="Times New Roman" w:hAnsi="Cambria" w:cs="Times New Roman"/>
      <w:i/>
      <w:iCs/>
      <w:caps/>
      <w:spacing w:val="10"/>
      <w:sz w:val="20"/>
      <w:szCs w:val="20"/>
      <w:lang w:val="en-US"/>
    </w:rPr>
  </w:style>
  <w:style w:type="paragraph" w:customStyle="1" w:styleId="StyleCaptionBefore0ptAfter0pt">
    <w:name w:val="Style Caption + Before:  0 pt After:  0 pt"/>
    <w:basedOn w:val="Didascalia"/>
    <w:autoRedefine/>
    <w:rsid w:val="00C83007"/>
    <w:pPr>
      <w:keepNext/>
      <w:keepLines/>
      <w:framePr w:wrap="around" w:vAnchor="margin" w:hAnchor="text"/>
      <w:suppressAutoHyphens/>
      <w:spacing w:before="180"/>
    </w:pPr>
    <w:rPr>
      <w:rFonts w:ascii="Garamond" w:hAnsi="Garamond"/>
      <w:lang w:val="es-ES"/>
    </w:rPr>
  </w:style>
  <w:style w:type="paragraph" w:customStyle="1" w:styleId="CharCharCharChar">
    <w:name w:val="Char Char Char Char"/>
    <w:basedOn w:val="Normale"/>
    <w:next w:val="Normale"/>
    <w:autoRedefine/>
    <w:rsid w:val="00C83007"/>
    <w:rPr>
      <w:rFonts w:ascii="Tahoma" w:hAnsi="Tahoma"/>
    </w:rPr>
  </w:style>
  <w:style w:type="paragraph" w:customStyle="1" w:styleId="Char">
    <w:name w:val="Char"/>
    <w:basedOn w:val="Normale"/>
    <w:next w:val="Normale"/>
    <w:autoRedefine/>
    <w:rsid w:val="00C83007"/>
    <w:pPr>
      <w:numPr>
        <w:numId w:val="10"/>
      </w:numPr>
      <w:tabs>
        <w:tab w:val="clear" w:pos="720"/>
        <w:tab w:val="num" w:pos="360"/>
      </w:tabs>
      <w:spacing w:after="160" w:line="240" w:lineRule="exact"/>
      <w:ind w:left="0" w:firstLine="0"/>
    </w:pPr>
    <w:rPr>
      <w:rFonts w:ascii="Tahoma" w:hAnsi="Tahoma"/>
    </w:rPr>
  </w:style>
  <w:style w:type="paragraph" w:customStyle="1" w:styleId="Style2">
    <w:name w:val="Style2"/>
    <w:basedOn w:val="Normale"/>
    <w:autoRedefine/>
    <w:rsid w:val="00C83007"/>
    <w:pPr>
      <w:framePr w:hSpace="180" w:wrap="around" w:vAnchor="text" w:hAnchor="margin" w:xAlign="right" w:y="933"/>
      <w:autoSpaceDE w:val="0"/>
      <w:autoSpaceDN w:val="0"/>
      <w:adjustRightInd w:val="0"/>
      <w:suppressOverlap/>
      <w:jc w:val="center"/>
    </w:pPr>
    <w:rPr>
      <w:sz w:val="20"/>
    </w:rPr>
  </w:style>
  <w:style w:type="paragraph" w:customStyle="1" w:styleId="StyleNicalisteGaramondLeft0Firstline037Before">
    <w:name w:val="Style Nica liste + Garamond Left:  0&quot; First line:  037&quot; Before:..."/>
    <w:basedOn w:val="Normale"/>
    <w:autoRedefine/>
    <w:rsid w:val="00C83007"/>
    <w:pPr>
      <w:keepLines/>
      <w:spacing w:line="300" w:lineRule="atLeast"/>
    </w:pPr>
    <w:rPr>
      <w:rFonts w:ascii="Garamond" w:hAnsi="Garamond"/>
      <w:lang w:eastAsia="fr-FR"/>
    </w:rPr>
  </w:style>
  <w:style w:type="paragraph" w:customStyle="1" w:styleId="StyleNicatitreBefore250pt">
    <w:name w:val="Style Nica titre + Before:  250 pt"/>
    <w:basedOn w:val="Normale"/>
    <w:autoRedefine/>
    <w:rsid w:val="00C83007"/>
    <w:pPr>
      <w:widowControl w:val="0"/>
      <w:spacing w:before="5000" w:after="60" w:line="360" w:lineRule="auto"/>
      <w:jc w:val="center"/>
    </w:pPr>
    <w:rPr>
      <w:rFonts w:ascii="Palatino Linotype" w:hAnsi="Palatino Linotype"/>
      <w:b/>
      <w:bCs/>
      <w:smallCaps/>
      <w:sz w:val="40"/>
      <w:lang w:val="es-NI" w:eastAsia="fr-FR"/>
    </w:rPr>
  </w:style>
  <w:style w:type="paragraph" w:customStyle="1" w:styleId="ZchnZchnCharZchnZchnChar">
    <w:name w:val="Zchn Zchn Char Zchn Zchn Char"/>
    <w:basedOn w:val="Normale"/>
    <w:next w:val="Normale"/>
    <w:autoRedefine/>
    <w:rsid w:val="00C83007"/>
    <w:pPr>
      <w:numPr>
        <w:numId w:val="11"/>
      </w:numPr>
      <w:spacing w:after="160" w:line="240" w:lineRule="exact"/>
    </w:pPr>
    <w:rPr>
      <w:rFonts w:ascii="Tahoma" w:hAnsi="Tahoma"/>
    </w:rPr>
  </w:style>
  <w:style w:type="paragraph" w:customStyle="1" w:styleId="Style9">
    <w:name w:val="Style9"/>
    <w:basedOn w:val="Titolo1"/>
    <w:autoRedefine/>
    <w:rsid w:val="00C83007"/>
    <w:rPr>
      <w:bCs/>
    </w:rPr>
  </w:style>
  <w:style w:type="paragraph" w:customStyle="1" w:styleId="Style11">
    <w:name w:val="Style11"/>
    <w:basedOn w:val="Titolo1"/>
    <w:autoRedefine/>
    <w:rsid w:val="00C83007"/>
    <w:rPr>
      <w:bCs/>
      <w:szCs w:val="24"/>
    </w:rPr>
  </w:style>
  <w:style w:type="paragraph" w:customStyle="1" w:styleId="Style12">
    <w:name w:val="Style12"/>
    <w:basedOn w:val="Titolo3"/>
    <w:autoRedefine/>
    <w:rsid w:val="00C83007"/>
    <w:rPr>
      <w:iCs/>
    </w:rPr>
  </w:style>
  <w:style w:type="paragraph" w:customStyle="1" w:styleId="Style13">
    <w:name w:val="Style13"/>
    <w:basedOn w:val="Normale"/>
    <w:autoRedefine/>
    <w:rsid w:val="00C83007"/>
    <w:rPr>
      <w:rFonts w:ascii="Garamond" w:hAnsi="Garamond" w:cs="Arial"/>
      <w:lang w:val="es-ES" w:eastAsia="es-ES"/>
    </w:rPr>
  </w:style>
  <w:style w:type="paragraph" w:customStyle="1" w:styleId="Style4">
    <w:name w:val="Style4"/>
    <w:basedOn w:val="Normale"/>
    <w:next w:val="Normale"/>
    <w:autoRedefine/>
    <w:rsid w:val="00C83007"/>
  </w:style>
  <w:style w:type="paragraph" w:customStyle="1" w:styleId="Style5">
    <w:name w:val="Style5"/>
    <w:basedOn w:val="Titolo2"/>
    <w:autoRedefine/>
    <w:rsid w:val="00C83007"/>
  </w:style>
  <w:style w:type="paragraph" w:customStyle="1" w:styleId="StyleHeading3">
    <w:name w:val="Style Heading 3"/>
    <w:aliases w:val="Titre3 + 12 pt Not Bold"/>
    <w:basedOn w:val="Titolo3"/>
    <w:autoRedefine/>
    <w:rsid w:val="00C83007"/>
    <w:rPr>
      <w:iCs/>
    </w:rPr>
  </w:style>
  <w:style w:type="paragraph" w:customStyle="1" w:styleId="Style6">
    <w:name w:val="Style6"/>
    <w:basedOn w:val="StyleHeading3"/>
    <w:autoRedefine/>
    <w:rsid w:val="00C83007"/>
  </w:style>
  <w:style w:type="paragraph" w:customStyle="1" w:styleId="Style7">
    <w:name w:val="Style7"/>
    <w:basedOn w:val="Titolo1"/>
    <w:autoRedefine/>
    <w:rsid w:val="00C83007"/>
    <w:rPr>
      <w:iCs/>
      <w:szCs w:val="24"/>
    </w:rPr>
  </w:style>
  <w:style w:type="paragraph" w:styleId="Titolo">
    <w:name w:val="Title"/>
    <w:basedOn w:val="Normale"/>
    <w:next w:val="Normale"/>
    <w:link w:val="TitoloCarattere"/>
    <w:autoRedefine/>
    <w:uiPriority w:val="10"/>
    <w:qFormat/>
    <w:rsid w:val="00C83007"/>
    <w:pPr>
      <w:shd w:val="clear" w:color="auto" w:fill="95B3D7"/>
      <w:spacing w:before="360" w:after="360"/>
      <w:ind w:left="1985" w:hanging="284"/>
      <w:jc w:val="right"/>
    </w:pPr>
    <w:rPr>
      <w:rFonts w:ascii="Agency FB" w:hAnsi="Agency FB"/>
      <w:b/>
      <w:smallCaps/>
      <w:color w:val="FFFFFF"/>
      <w:sz w:val="52"/>
      <w:szCs w:val="52"/>
      <w:lang w:val="en-GB"/>
    </w:rPr>
  </w:style>
  <w:style w:type="character" w:customStyle="1" w:styleId="TitoloCarattere">
    <w:name w:val="Titolo Carattere"/>
    <w:basedOn w:val="Carpredefinitoparagrafo"/>
    <w:link w:val="Titolo"/>
    <w:uiPriority w:val="10"/>
    <w:rsid w:val="00C83007"/>
    <w:rPr>
      <w:rFonts w:ascii="Agency FB" w:eastAsia="Times New Roman" w:hAnsi="Agency FB" w:cs="Times New Roman"/>
      <w:b/>
      <w:smallCaps/>
      <w:color w:val="FFFFFF"/>
      <w:sz w:val="52"/>
      <w:szCs w:val="52"/>
      <w:shd w:val="clear" w:color="auto" w:fill="95B3D7"/>
      <w:lang w:val="en-GB"/>
    </w:rPr>
  </w:style>
  <w:style w:type="paragraph" w:customStyle="1" w:styleId="Carattere">
    <w:name w:val="Carattere"/>
    <w:basedOn w:val="Normale"/>
    <w:next w:val="Normale"/>
    <w:autoRedefine/>
    <w:rsid w:val="00C83007"/>
  </w:style>
  <w:style w:type="paragraph" w:customStyle="1" w:styleId="Style3">
    <w:name w:val="Style3"/>
    <w:basedOn w:val="Normale"/>
    <w:autoRedefine/>
    <w:rsid w:val="00C83007"/>
  </w:style>
  <w:style w:type="paragraph" w:customStyle="1" w:styleId="Style1">
    <w:name w:val="Style1"/>
    <w:basedOn w:val="Titolo4"/>
    <w:autoRedefine/>
    <w:rsid w:val="00C83007"/>
    <w:pPr>
      <w:spacing w:before="160" w:after="80"/>
      <w:jc w:val="right"/>
    </w:pPr>
    <w:rPr>
      <w:rFonts w:ascii="Garamond" w:hAnsi="Garamond"/>
    </w:rPr>
  </w:style>
  <w:style w:type="paragraph" w:customStyle="1" w:styleId="Style8">
    <w:name w:val="Style8"/>
    <w:basedOn w:val="Titolo"/>
    <w:autoRedefine/>
    <w:rsid w:val="00C83007"/>
    <w:rPr>
      <w:rFonts w:ascii="Garamond" w:hAnsi="Garamond"/>
      <w:color w:val="3366FF"/>
      <w:u w:val="single" w:color="3366FF"/>
    </w:rPr>
  </w:style>
  <w:style w:type="paragraph" w:customStyle="1" w:styleId="Style10">
    <w:name w:val="Style10"/>
    <w:basedOn w:val="Style8"/>
    <w:autoRedefine/>
    <w:rsid w:val="00C83007"/>
    <w:rPr>
      <w:color w:val="auto"/>
      <w:sz w:val="24"/>
    </w:rPr>
  </w:style>
  <w:style w:type="paragraph" w:customStyle="1" w:styleId="StyleAfter0pt">
    <w:name w:val="Style After:  0 pt"/>
    <w:basedOn w:val="Normale"/>
    <w:autoRedefine/>
    <w:rsid w:val="00C83007"/>
    <w:rPr>
      <w:lang w:val="fr-BE" w:eastAsia="it-IT"/>
    </w:rPr>
  </w:style>
  <w:style w:type="paragraph" w:customStyle="1" w:styleId="StyleCaptionCentered">
    <w:name w:val="Style Caption + Centered"/>
    <w:basedOn w:val="Didascalia"/>
    <w:autoRedefine/>
    <w:rsid w:val="00C83007"/>
    <w:pPr>
      <w:framePr w:wrap="around" w:vAnchor="margin" w:hAnchor="text"/>
    </w:pPr>
    <w:rPr>
      <w:rFonts w:ascii="Georgia" w:hAnsi="Georgia"/>
      <w:sz w:val="22"/>
      <w:lang w:val="fr-BE" w:eastAsia="it-IT"/>
    </w:rPr>
  </w:style>
  <w:style w:type="paragraph" w:customStyle="1" w:styleId="StyleJustifiedBefore0ptAfter0pt">
    <w:name w:val="Style Justified Before:  0 pt After:  0 pt"/>
    <w:basedOn w:val="Normale"/>
    <w:autoRedefine/>
    <w:rsid w:val="00C83007"/>
    <w:pPr>
      <w:spacing w:after="0"/>
    </w:pPr>
  </w:style>
  <w:style w:type="paragraph" w:customStyle="1" w:styleId="Style14">
    <w:name w:val="Style14"/>
    <w:basedOn w:val="Normale"/>
    <w:autoRedefine/>
    <w:rsid w:val="00C83007"/>
    <w:pPr>
      <w:tabs>
        <w:tab w:val="left" w:pos="360"/>
      </w:tabs>
      <w:autoSpaceDE w:val="0"/>
      <w:autoSpaceDN w:val="0"/>
      <w:adjustRightInd w:val="0"/>
      <w:outlineLvl w:val="0"/>
    </w:pPr>
  </w:style>
  <w:style w:type="paragraph" w:customStyle="1" w:styleId="Annexetitle">
    <w:name w:val="Annexe_title"/>
    <w:basedOn w:val="Titolo1"/>
    <w:next w:val="Normale"/>
    <w:autoRedefine/>
    <w:rsid w:val="00C83007"/>
    <w:pPr>
      <w:pageBreakBefore/>
      <w:pBdr>
        <w:bottom w:val="single" w:sz="36" w:space="1" w:color="008080"/>
      </w:pBdr>
      <w:tabs>
        <w:tab w:val="left" w:pos="1701"/>
        <w:tab w:val="left" w:pos="2552"/>
      </w:tabs>
    </w:pPr>
    <w:rPr>
      <w:rFonts w:cs="Tahoma"/>
      <w:color w:val="0D0D0D"/>
      <w:sz w:val="24"/>
      <w:szCs w:val="20"/>
      <w:lang w:eastAsia="it-IT"/>
    </w:rPr>
  </w:style>
  <w:style w:type="paragraph" w:styleId="Sottotitolo">
    <w:name w:val="Subtitle"/>
    <w:basedOn w:val="Normale"/>
    <w:next w:val="Normale"/>
    <w:link w:val="SottotitoloCarattere"/>
    <w:uiPriority w:val="11"/>
    <w:qFormat/>
    <w:rsid w:val="00C83007"/>
    <w:pPr>
      <w:spacing w:after="560"/>
      <w:jc w:val="center"/>
    </w:pPr>
    <w:rPr>
      <w:caps/>
      <w:spacing w:val="20"/>
      <w:sz w:val="18"/>
      <w:szCs w:val="18"/>
    </w:rPr>
  </w:style>
  <w:style w:type="character" w:customStyle="1" w:styleId="SottotitoloCarattere">
    <w:name w:val="Sottotitolo Carattere"/>
    <w:basedOn w:val="Carpredefinitoparagrafo"/>
    <w:link w:val="Sottotitolo"/>
    <w:uiPriority w:val="11"/>
    <w:rsid w:val="00C83007"/>
    <w:rPr>
      <w:rFonts w:ascii="Cambria" w:eastAsia="Times New Roman" w:hAnsi="Cambria" w:cs="Times New Roman"/>
      <w:caps/>
      <w:spacing w:val="20"/>
      <w:sz w:val="18"/>
      <w:szCs w:val="18"/>
      <w:lang w:val="en-US"/>
    </w:rPr>
  </w:style>
  <w:style w:type="character" w:styleId="Enfasigrassetto">
    <w:name w:val="Strong"/>
    <w:uiPriority w:val="22"/>
    <w:qFormat/>
    <w:rsid w:val="00C83007"/>
    <w:rPr>
      <w:b/>
      <w:bCs/>
      <w:color w:val="943634"/>
      <w:spacing w:val="5"/>
    </w:rPr>
  </w:style>
  <w:style w:type="character" w:styleId="Enfasicorsivo">
    <w:name w:val="Emphasis"/>
    <w:uiPriority w:val="20"/>
    <w:qFormat/>
    <w:rsid w:val="00C83007"/>
    <w:rPr>
      <w:caps/>
      <w:spacing w:val="5"/>
      <w:sz w:val="20"/>
      <w:szCs w:val="20"/>
    </w:rPr>
  </w:style>
  <w:style w:type="paragraph" w:styleId="Nessunaspaziatura">
    <w:name w:val="No Spacing"/>
    <w:basedOn w:val="Normale"/>
    <w:link w:val="NessunaspaziaturaCarattere"/>
    <w:uiPriority w:val="1"/>
    <w:qFormat/>
    <w:rsid w:val="00C83007"/>
    <w:pPr>
      <w:spacing w:after="0"/>
    </w:pPr>
  </w:style>
  <w:style w:type="character" w:customStyle="1" w:styleId="NessunaspaziaturaCarattere">
    <w:name w:val="Nessuna spaziatura Carattere"/>
    <w:basedOn w:val="Carpredefinitoparagrafo"/>
    <w:link w:val="Nessunaspaziatura"/>
    <w:uiPriority w:val="1"/>
    <w:rsid w:val="00C83007"/>
    <w:rPr>
      <w:rFonts w:ascii="Cambria" w:eastAsia="Times New Roman" w:hAnsi="Cambria" w:cs="Times New Roman"/>
      <w:sz w:val="21"/>
      <w:szCs w:val="20"/>
      <w:lang w:val="en-US"/>
    </w:rPr>
  </w:style>
  <w:style w:type="paragraph" w:styleId="Citazione">
    <w:name w:val="Quote"/>
    <w:basedOn w:val="Normale"/>
    <w:next w:val="Normale"/>
    <w:link w:val="CitazioneCarattere"/>
    <w:uiPriority w:val="29"/>
    <w:qFormat/>
    <w:rsid w:val="00C83007"/>
    <w:rPr>
      <w:i/>
      <w:iCs/>
    </w:rPr>
  </w:style>
  <w:style w:type="character" w:customStyle="1" w:styleId="CitazioneCarattere">
    <w:name w:val="Citazione Carattere"/>
    <w:basedOn w:val="Carpredefinitoparagrafo"/>
    <w:link w:val="Citazione"/>
    <w:uiPriority w:val="29"/>
    <w:rsid w:val="00C83007"/>
    <w:rPr>
      <w:rFonts w:ascii="Cambria" w:eastAsia="Times New Roman" w:hAnsi="Cambria" w:cs="Times New Roman"/>
      <w:i/>
      <w:iCs/>
      <w:sz w:val="21"/>
      <w:szCs w:val="20"/>
      <w:lang w:val="en-US"/>
    </w:rPr>
  </w:style>
  <w:style w:type="paragraph" w:styleId="Citazioneintensa">
    <w:name w:val="Intense Quote"/>
    <w:basedOn w:val="Normale"/>
    <w:next w:val="Normale"/>
    <w:link w:val="CitazioneintensaCarattere"/>
    <w:autoRedefine/>
    <w:uiPriority w:val="30"/>
    <w:qFormat/>
    <w:rsid w:val="00C83007"/>
    <w:pPr>
      <w:pBdr>
        <w:bottom w:val="single" w:sz="4" w:space="4" w:color="4F81BD"/>
      </w:pBdr>
      <w:spacing w:before="60" w:after="60"/>
      <w:ind w:left="426" w:right="694"/>
      <w:jc w:val="left"/>
    </w:pPr>
    <w:rPr>
      <w:b/>
      <w:caps/>
      <w:color w:val="365F91"/>
      <w:spacing w:val="5"/>
      <w:sz w:val="16"/>
      <w:szCs w:val="16"/>
    </w:rPr>
  </w:style>
  <w:style w:type="character" w:customStyle="1" w:styleId="CitazioneintensaCarattere">
    <w:name w:val="Citazione intensa Carattere"/>
    <w:basedOn w:val="Carpredefinitoparagrafo"/>
    <w:link w:val="Citazioneintensa"/>
    <w:uiPriority w:val="30"/>
    <w:rsid w:val="00C83007"/>
    <w:rPr>
      <w:rFonts w:ascii="Cambria" w:eastAsia="Times New Roman" w:hAnsi="Cambria" w:cs="Times New Roman"/>
      <w:b/>
      <w:caps/>
      <w:color w:val="365F91"/>
      <w:spacing w:val="5"/>
      <w:sz w:val="16"/>
      <w:szCs w:val="16"/>
      <w:lang w:val="en-US"/>
    </w:rPr>
  </w:style>
  <w:style w:type="character" w:styleId="Enfasidelicata">
    <w:name w:val="Subtle Emphasis"/>
    <w:uiPriority w:val="19"/>
    <w:qFormat/>
    <w:rsid w:val="00C83007"/>
    <w:rPr>
      <w:i/>
      <w:iCs/>
    </w:rPr>
  </w:style>
  <w:style w:type="character" w:styleId="Enfasiintensa">
    <w:name w:val="Intense Emphasis"/>
    <w:uiPriority w:val="21"/>
    <w:qFormat/>
    <w:rsid w:val="00C83007"/>
    <w:rPr>
      <w:i/>
      <w:iCs/>
      <w:caps/>
      <w:spacing w:val="10"/>
      <w:sz w:val="20"/>
      <w:szCs w:val="20"/>
    </w:rPr>
  </w:style>
  <w:style w:type="character" w:styleId="Riferimentodelicato">
    <w:name w:val="Subtle Reference"/>
    <w:basedOn w:val="Carpredefinitoparagrafo"/>
    <w:uiPriority w:val="31"/>
    <w:qFormat/>
    <w:rsid w:val="00C83007"/>
    <w:rPr>
      <w:rFonts w:ascii="Calibri" w:hAnsi="Calibri" w:cs="Times New Roman"/>
      <w:b/>
      <w:i/>
      <w:iCs/>
      <w:smallCaps/>
      <w:color w:val="D99594"/>
      <w:lang w:val="en-GB"/>
    </w:rPr>
  </w:style>
  <w:style w:type="character" w:styleId="Riferimentointenso">
    <w:name w:val="Intense Reference"/>
    <w:uiPriority w:val="32"/>
    <w:qFormat/>
    <w:rsid w:val="00C83007"/>
    <w:rPr>
      <w:rFonts w:ascii="Calibri" w:eastAsia="Times New Roman" w:hAnsi="Calibri" w:cs="Times New Roman"/>
      <w:b/>
      <w:bCs/>
      <w:i/>
      <w:iCs/>
      <w:color w:val="622423"/>
    </w:rPr>
  </w:style>
  <w:style w:type="character" w:styleId="Titolodellibro">
    <w:name w:val="Book Title"/>
    <w:uiPriority w:val="33"/>
    <w:qFormat/>
    <w:rsid w:val="00C83007"/>
    <w:rPr>
      <w:caps/>
      <w:color w:val="622423"/>
      <w:spacing w:val="5"/>
      <w:u w:color="622423"/>
    </w:rPr>
  </w:style>
  <w:style w:type="paragraph" w:styleId="Titolosommario">
    <w:name w:val="TOC Heading"/>
    <w:basedOn w:val="Titolo1"/>
    <w:next w:val="Normale"/>
    <w:uiPriority w:val="39"/>
    <w:unhideWhenUsed/>
    <w:qFormat/>
    <w:rsid w:val="00C83007"/>
    <w:pPr>
      <w:outlineLvl w:val="9"/>
    </w:pPr>
  </w:style>
  <w:style w:type="paragraph" w:styleId="Sommario1">
    <w:name w:val="toc 1"/>
    <w:basedOn w:val="Normale"/>
    <w:next w:val="Normale"/>
    <w:autoRedefine/>
    <w:uiPriority w:val="39"/>
    <w:qFormat/>
    <w:rsid w:val="00C83007"/>
    <w:pPr>
      <w:shd w:val="clear" w:color="auto" w:fill="FFFFFF" w:themeFill="background1"/>
      <w:tabs>
        <w:tab w:val="left" w:pos="480"/>
        <w:tab w:val="right" w:leader="dot" w:pos="9639"/>
      </w:tabs>
      <w:spacing w:before="0" w:after="0"/>
      <w:jc w:val="left"/>
      <w:outlineLvl w:val="0"/>
    </w:pPr>
    <w:rPr>
      <w:rFonts w:ascii="Times New Roman" w:hAnsi="Times New Roman"/>
      <w:b/>
      <w:bCs/>
      <w:caps/>
      <w:noProof/>
      <w:color w:val="365F91"/>
      <w:sz w:val="32"/>
      <w:szCs w:val="32"/>
    </w:rPr>
  </w:style>
  <w:style w:type="paragraph" w:styleId="Sommario2">
    <w:name w:val="toc 2"/>
    <w:basedOn w:val="Normale"/>
    <w:next w:val="Normale"/>
    <w:autoRedefine/>
    <w:uiPriority w:val="39"/>
    <w:qFormat/>
    <w:rsid w:val="00C83007"/>
    <w:pPr>
      <w:tabs>
        <w:tab w:val="left" w:pos="709"/>
        <w:tab w:val="right" w:leader="dot" w:pos="9639"/>
      </w:tabs>
      <w:spacing w:before="0" w:after="0"/>
      <w:ind w:left="240"/>
      <w:jc w:val="left"/>
    </w:pPr>
    <w:rPr>
      <w:rFonts w:ascii="Times New Roman" w:hAnsi="Times New Roman"/>
      <w:smallCaps/>
      <w:sz w:val="20"/>
    </w:rPr>
  </w:style>
  <w:style w:type="paragraph" w:styleId="Sommario3">
    <w:name w:val="toc 3"/>
    <w:basedOn w:val="Normale"/>
    <w:next w:val="Normale"/>
    <w:autoRedefine/>
    <w:uiPriority w:val="39"/>
    <w:qFormat/>
    <w:rsid w:val="00C83007"/>
    <w:pPr>
      <w:ind w:left="480"/>
      <w:jc w:val="left"/>
    </w:pPr>
    <w:rPr>
      <w:rFonts w:ascii="Times New Roman" w:hAnsi="Times New Roman"/>
      <w:i/>
      <w:iCs/>
      <w:sz w:val="20"/>
    </w:rPr>
  </w:style>
  <w:style w:type="paragraph" w:styleId="Sommario4">
    <w:name w:val="toc 4"/>
    <w:basedOn w:val="Normale"/>
    <w:next w:val="Normale"/>
    <w:autoRedefine/>
    <w:uiPriority w:val="1"/>
    <w:qFormat/>
    <w:rsid w:val="00C83007"/>
    <w:pPr>
      <w:ind w:left="720"/>
      <w:jc w:val="left"/>
    </w:pPr>
    <w:rPr>
      <w:rFonts w:ascii="Times New Roman" w:hAnsi="Times New Roman"/>
      <w:sz w:val="18"/>
      <w:szCs w:val="18"/>
    </w:rPr>
  </w:style>
  <w:style w:type="paragraph" w:styleId="Sommario5">
    <w:name w:val="toc 5"/>
    <w:basedOn w:val="Normale"/>
    <w:next w:val="Normale"/>
    <w:autoRedefine/>
    <w:rsid w:val="00C83007"/>
    <w:pPr>
      <w:ind w:left="960"/>
      <w:jc w:val="left"/>
    </w:pPr>
    <w:rPr>
      <w:rFonts w:ascii="Times New Roman" w:hAnsi="Times New Roman"/>
      <w:sz w:val="18"/>
      <w:szCs w:val="18"/>
    </w:rPr>
  </w:style>
  <w:style w:type="paragraph" w:styleId="Sommario6">
    <w:name w:val="toc 6"/>
    <w:basedOn w:val="Normale"/>
    <w:next w:val="Normale"/>
    <w:autoRedefine/>
    <w:rsid w:val="00C83007"/>
    <w:pPr>
      <w:ind w:left="1200"/>
      <w:jc w:val="left"/>
    </w:pPr>
    <w:rPr>
      <w:rFonts w:ascii="Times New Roman" w:hAnsi="Times New Roman"/>
      <w:sz w:val="18"/>
      <w:szCs w:val="18"/>
    </w:rPr>
  </w:style>
  <w:style w:type="paragraph" w:styleId="Sommario7">
    <w:name w:val="toc 7"/>
    <w:basedOn w:val="Normale"/>
    <w:next w:val="Normale"/>
    <w:autoRedefine/>
    <w:rsid w:val="00C83007"/>
    <w:pPr>
      <w:ind w:left="1440"/>
      <w:jc w:val="left"/>
    </w:pPr>
    <w:rPr>
      <w:rFonts w:ascii="Times New Roman" w:hAnsi="Times New Roman"/>
      <w:sz w:val="18"/>
      <w:szCs w:val="18"/>
    </w:rPr>
  </w:style>
  <w:style w:type="paragraph" w:styleId="Sommario8">
    <w:name w:val="toc 8"/>
    <w:basedOn w:val="Normale"/>
    <w:next w:val="Normale"/>
    <w:autoRedefine/>
    <w:rsid w:val="00C83007"/>
    <w:pPr>
      <w:ind w:left="1680"/>
      <w:jc w:val="left"/>
    </w:pPr>
    <w:rPr>
      <w:rFonts w:ascii="Times New Roman" w:hAnsi="Times New Roman"/>
      <w:sz w:val="18"/>
      <w:szCs w:val="18"/>
    </w:rPr>
  </w:style>
  <w:style w:type="paragraph" w:styleId="Sommario9">
    <w:name w:val="toc 9"/>
    <w:basedOn w:val="Normale"/>
    <w:next w:val="Normale"/>
    <w:autoRedefine/>
    <w:rsid w:val="00C83007"/>
    <w:pPr>
      <w:ind w:left="1920"/>
      <w:jc w:val="left"/>
    </w:pPr>
    <w:rPr>
      <w:rFonts w:ascii="Times New Roman" w:hAnsi="Times New Roman"/>
      <w:sz w:val="18"/>
      <w:szCs w:val="18"/>
    </w:rPr>
  </w:style>
  <w:style w:type="character" w:styleId="Collegamentoipertestuale">
    <w:name w:val="Hyperlink"/>
    <w:basedOn w:val="Carpredefinitoparagrafo"/>
    <w:uiPriority w:val="99"/>
    <w:rsid w:val="00C83007"/>
    <w:rPr>
      <w:rFonts w:ascii="Garamond" w:hAnsi="Garamond"/>
      <w:smallCaps/>
      <w:color w:val="0000FF"/>
      <w:sz w:val="22"/>
      <w:szCs w:val="24"/>
      <w:u w:val="single"/>
      <w:lang w:val="pl-PL" w:eastAsia="pl-PL" w:bidi="ar-SA"/>
    </w:rPr>
  </w:style>
  <w:style w:type="paragraph" w:styleId="Intestazione">
    <w:name w:val="header"/>
    <w:basedOn w:val="Normale"/>
    <w:link w:val="IntestazioneCarattere"/>
    <w:rsid w:val="00C83007"/>
    <w:pPr>
      <w:tabs>
        <w:tab w:val="center" w:pos="4320"/>
        <w:tab w:val="right" w:pos="8640"/>
      </w:tabs>
    </w:pPr>
  </w:style>
  <w:style w:type="character" w:customStyle="1" w:styleId="IntestazioneCarattere">
    <w:name w:val="Intestazione Carattere"/>
    <w:basedOn w:val="Carpredefinitoparagrafo"/>
    <w:link w:val="Intestazione"/>
    <w:rsid w:val="00C83007"/>
    <w:rPr>
      <w:rFonts w:ascii="Cambria" w:eastAsia="Times New Roman" w:hAnsi="Cambria" w:cs="Times New Roman"/>
      <w:sz w:val="21"/>
      <w:szCs w:val="20"/>
      <w:lang w:val="en-US"/>
    </w:rPr>
  </w:style>
  <w:style w:type="paragraph" w:styleId="Pidipagina">
    <w:name w:val="footer"/>
    <w:basedOn w:val="Normale"/>
    <w:link w:val="PidipaginaCarattere"/>
    <w:uiPriority w:val="99"/>
    <w:rsid w:val="00C83007"/>
    <w:pPr>
      <w:tabs>
        <w:tab w:val="center" w:pos="4320"/>
        <w:tab w:val="right" w:pos="8640"/>
      </w:tabs>
    </w:pPr>
  </w:style>
  <w:style w:type="character" w:customStyle="1" w:styleId="PidipaginaCarattere">
    <w:name w:val="Piè di pagina Carattere"/>
    <w:basedOn w:val="Carpredefinitoparagrafo"/>
    <w:link w:val="Pidipagina"/>
    <w:uiPriority w:val="99"/>
    <w:rsid w:val="00C83007"/>
    <w:rPr>
      <w:rFonts w:ascii="Cambria" w:eastAsia="Times New Roman" w:hAnsi="Cambria" w:cs="Times New Roman"/>
      <w:sz w:val="21"/>
      <w:szCs w:val="20"/>
      <w:lang w:val="en-US"/>
    </w:rPr>
  </w:style>
  <w:style w:type="character" w:customStyle="1" w:styleId="FooterChar">
    <w:name w:val="Footer Char"/>
    <w:basedOn w:val="Carpredefinitoparagrafo"/>
    <w:uiPriority w:val="99"/>
    <w:rsid w:val="00C83007"/>
    <w:rPr>
      <w:rFonts w:ascii="Bell MT" w:eastAsia="Times New Roman" w:hAnsi="Bell MT" w:cs="Times New Roman"/>
      <w:sz w:val="23"/>
      <w:szCs w:val="20"/>
      <w:lang w:bidi="ar-SA"/>
    </w:rPr>
  </w:style>
  <w:style w:type="character" w:styleId="Numeropagina">
    <w:name w:val="page number"/>
    <w:basedOn w:val="Carpredefinitoparagrafo"/>
    <w:uiPriority w:val="99"/>
    <w:rsid w:val="00C83007"/>
    <w:rPr>
      <w:rFonts w:ascii="Garamond" w:hAnsi="Garamond"/>
      <w:smallCaps/>
      <w:sz w:val="22"/>
      <w:szCs w:val="24"/>
      <w:lang w:val="pl-PL" w:eastAsia="pl-PL" w:bidi="ar-SA"/>
    </w:rPr>
  </w:style>
  <w:style w:type="paragraph" w:styleId="Corpodeltesto">
    <w:name w:val="Body Text"/>
    <w:aliases w:val="Body Text Char,Body Text Char1 Char,Body Text Char Char Char"/>
    <w:basedOn w:val="Normale"/>
    <w:link w:val="CorpodeltestoCarattere"/>
    <w:uiPriority w:val="1"/>
    <w:qFormat/>
    <w:rsid w:val="00C83007"/>
    <w:pPr>
      <w:jc w:val="left"/>
    </w:pPr>
    <w:rPr>
      <w:i/>
      <w:iCs/>
    </w:rPr>
  </w:style>
  <w:style w:type="character" w:customStyle="1" w:styleId="CorpodeltestoCarattere">
    <w:name w:val="Corpo del testo Carattere"/>
    <w:aliases w:val="Body Text Char Carattere,Body Text Char1 Char Carattere,Body Text Char Char Char Carattere"/>
    <w:basedOn w:val="Carpredefinitoparagrafo"/>
    <w:link w:val="Corpodeltesto"/>
    <w:uiPriority w:val="1"/>
    <w:rsid w:val="00C83007"/>
    <w:rPr>
      <w:rFonts w:ascii="Cambria" w:eastAsia="Times New Roman" w:hAnsi="Cambria" w:cs="Times New Roman"/>
      <w:i/>
      <w:iCs/>
      <w:sz w:val="21"/>
      <w:szCs w:val="20"/>
      <w:lang w:val="en-US"/>
    </w:rPr>
  </w:style>
  <w:style w:type="paragraph" w:styleId="Corpodeltesto2">
    <w:name w:val="Body Text 2"/>
    <w:basedOn w:val="Normale"/>
    <w:link w:val="Corpodeltesto2Carattere"/>
    <w:rsid w:val="00C83007"/>
    <w:pPr>
      <w:jc w:val="left"/>
    </w:pPr>
  </w:style>
  <w:style w:type="character" w:customStyle="1" w:styleId="Corpodeltesto2Carattere">
    <w:name w:val="Corpo del testo 2 Carattere"/>
    <w:basedOn w:val="Carpredefinitoparagrafo"/>
    <w:link w:val="Corpodeltesto2"/>
    <w:rsid w:val="00C83007"/>
    <w:rPr>
      <w:rFonts w:ascii="Cambria" w:eastAsia="Times New Roman" w:hAnsi="Cambria" w:cs="Times New Roman"/>
      <w:sz w:val="21"/>
      <w:szCs w:val="20"/>
      <w:lang w:val="en-US"/>
    </w:rPr>
  </w:style>
  <w:style w:type="character" w:styleId="Collegamentovisitato">
    <w:name w:val="FollowedHyperlink"/>
    <w:basedOn w:val="Carpredefinitoparagrafo"/>
    <w:uiPriority w:val="99"/>
    <w:rsid w:val="00C83007"/>
    <w:rPr>
      <w:rFonts w:ascii="Garamond" w:hAnsi="Garamond"/>
      <w:smallCaps/>
      <w:color w:val="800080"/>
      <w:sz w:val="22"/>
      <w:szCs w:val="24"/>
      <w:u w:val="single"/>
      <w:lang w:val="pl-PL" w:eastAsia="pl-PL" w:bidi="ar-SA"/>
    </w:rPr>
  </w:style>
  <w:style w:type="paragraph" w:styleId="Corpodeltesto3">
    <w:name w:val="Body Text 3"/>
    <w:basedOn w:val="Normale"/>
    <w:link w:val="Corpodeltesto3Carattere"/>
    <w:rsid w:val="00C83007"/>
    <w:pPr>
      <w:jc w:val="left"/>
    </w:pPr>
    <w:rPr>
      <w:i/>
      <w:iCs/>
    </w:rPr>
  </w:style>
  <w:style w:type="character" w:customStyle="1" w:styleId="Corpodeltesto3Carattere">
    <w:name w:val="Corpo del testo 3 Carattere"/>
    <w:basedOn w:val="Carpredefinitoparagrafo"/>
    <w:link w:val="Corpodeltesto3"/>
    <w:rsid w:val="00C83007"/>
    <w:rPr>
      <w:rFonts w:ascii="Cambria" w:eastAsia="Times New Roman" w:hAnsi="Cambria" w:cs="Times New Roman"/>
      <w:i/>
      <w:iCs/>
      <w:sz w:val="21"/>
      <w:szCs w:val="20"/>
      <w:lang w:val="en-US"/>
    </w:rPr>
  </w:style>
  <w:style w:type="paragraph" w:styleId="Mappadocumento">
    <w:name w:val="Document Map"/>
    <w:basedOn w:val="Normale"/>
    <w:link w:val="MappadocumentoCarattere"/>
    <w:rsid w:val="00C83007"/>
    <w:pPr>
      <w:shd w:val="clear" w:color="auto" w:fill="000080"/>
    </w:pPr>
    <w:rPr>
      <w:rFonts w:ascii="Tahoma" w:hAnsi="Tahoma" w:cs="Tahoma"/>
    </w:rPr>
  </w:style>
  <w:style w:type="character" w:customStyle="1" w:styleId="MappadocumentoCarattere">
    <w:name w:val="Mappa documento Carattere"/>
    <w:basedOn w:val="Carpredefinitoparagrafo"/>
    <w:link w:val="Mappadocumento"/>
    <w:rsid w:val="00C83007"/>
    <w:rPr>
      <w:rFonts w:ascii="Tahoma" w:eastAsia="Times New Roman" w:hAnsi="Tahoma" w:cs="Tahoma"/>
      <w:sz w:val="21"/>
      <w:szCs w:val="20"/>
      <w:shd w:val="clear" w:color="auto" w:fill="000080"/>
      <w:lang w:val="en-US"/>
    </w:rPr>
  </w:style>
  <w:style w:type="paragraph" w:styleId="Indicedellefigure">
    <w:name w:val="table of figures"/>
    <w:aliases w:val="Annexes"/>
    <w:basedOn w:val="Normale"/>
    <w:next w:val="Normale"/>
    <w:uiPriority w:val="99"/>
    <w:rsid w:val="00C83007"/>
    <w:pPr>
      <w:spacing w:before="0" w:after="0"/>
      <w:jc w:val="left"/>
    </w:pPr>
    <w:rPr>
      <w:rFonts w:ascii="Calibri" w:hAnsi="Calibri"/>
      <w:i/>
      <w:iCs/>
      <w:sz w:val="20"/>
    </w:rPr>
  </w:style>
  <w:style w:type="paragraph" w:customStyle="1" w:styleId="Listetraits">
    <w:name w:val="Liste à traits"/>
    <w:basedOn w:val="Puntoelenco"/>
    <w:rsid w:val="00C83007"/>
    <w:pPr>
      <w:tabs>
        <w:tab w:val="num" w:pos="360"/>
      </w:tabs>
      <w:ind w:left="360" w:hanging="360"/>
    </w:pPr>
    <w:rPr>
      <w:sz w:val="20"/>
      <w:lang w:val="fr-CA"/>
    </w:rPr>
  </w:style>
  <w:style w:type="paragraph" w:styleId="Puntoelenco">
    <w:name w:val="List Bullet"/>
    <w:basedOn w:val="Normale"/>
    <w:link w:val="PuntoelencoCarattere"/>
    <w:autoRedefine/>
    <w:rsid w:val="00C83007"/>
    <w:rPr>
      <w:color w:val="FF0000"/>
    </w:rPr>
  </w:style>
  <w:style w:type="paragraph" w:styleId="Rientrocorpodeltesto">
    <w:name w:val="Body Text Indent"/>
    <w:basedOn w:val="Normale"/>
    <w:link w:val="RientrocorpodeltestoCarattere"/>
    <w:rsid w:val="00C83007"/>
    <w:pPr>
      <w:ind w:left="600" w:hanging="600"/>
    </w:pPr>
    <w:rPr>
      <w:sz w:val="16"/>
    </w:rPr>
  </w:style>
  <w:style w:type="character" w:customStyle="1" w:styleId="RientrocorpodeltestoCarattere">
    <w:name w:val="Rientro corpo del testo Carattere"/>
    <w:basedOn w:val="Carpredefinitoparagrafo"/>
    <w:link w:val="Rientrocorpodeltesto"/>
    <w:rsid w:val="00C83007"/>
    <w:rPr>
      <w:rFonts w:ascii="Cambria" w:eastAsia="Times New Roman" w:hAnsi="Cambria" w:cs="Times New Roman"/>
      <w:sz w:val="16"/>
      <w:szCs w:val="20"/>
      <w:lang w:val="en-US"/>
    </w:rPr>
  </w:style>
  <w:style w:type="paragraph" w:customStyle="1" w:styleId="Resume">
    <w:name w:val="Resume"/>
    <w:basedOn w:val="Corpodeltesto2"/>
    <w:next w:val="Resumello"/>
    <w:rsid w:val="00C83007"/>
    <w:pPr>
      <w:spacing w:after="240"/>
      <w:jc w:val="both"/>
    </w:pPr>
    <w:rPr>
      <w:rFonts w:ascii="Georgia" w:hAnsi="Georgia"/>
    </w:rPr>
  </w:style>
  <w:style w:type="paragraph" w:customStyle="1" w:styleId="Resumello">
    <w:name w:val="Resumello"/>
    <w:basedOn w:val="Normale"/>
    <w:next w:val="Resume"/>
    <w:rsid w:val="00C83007"/>
    <w:pPr>
      <w:keepNext/>
      <w:keepLines/>
      <w:tabs>
        <w:tab w:val="num" w:pos="360"/>
      </w:tabs>
      <w:spacing w:after="40"/>
      <w:jc w:val="right"/>
    </w:pPr>
    <w:rPr>
      <w:b/>
      <w:i/>
    </w:rPr>
  </w:style>
  <w:style w:type="paragraph" w:customStyle="1" w:styleId="TIT1COV">
    <w:name w:val="TIT1COV"/>
    <w:basedOn w:val="Normale"/>
    <w:rsid w:val="00C83007"/>
    <w:rPr>
      <w:rFonts w:ascii="Verdana" w:hAnsi="Verdana"/>
      <w:smallCaps/>
      <w:color w:val="000080"/>
      <w:spacing w:val="30"/>
      <w:sz w:val="42"/>
    </w:rPr>
  </w:style>
  <w:style w:type="paragraph" w:customStyle="1" w:styleId="TIT-LISTE1">
    <w:name w:val="TIT-LISTE1"/>
    <w:basedOn w:val="Normale"/>
    <w:next w:val="Normale"/>
    <w:rsid w:val="00C83007"/>
    <w:pPr>
      <w:keepNext/>
      <w:spacing w:after="240"/>
      <w:jc w:val="center"/>
    </w:pPr>
    <w:rPr>
      <w:b/>
      <w:caps/>
      <w:sz w:val="28"/>
      <w:u w:val="double"/>
    </w:rPr>
  </w:style>
  <w:style w:type="paragraph" w:customStyle="1" w:styleId="TIT-SECTION">
    <w:name w:val="TIT-SECTION"/>
    <w:basedOn w:val="TIT-LISTE1"/>
    <w:next w:val="Normale"/>
    <w:rsid w:val="00C83007"/>
    <w:pPr>
      <w:keepLines/>
      <w:framePr w:w="8505" w:hSpace="181" w:vSpace="181" w:wrap="notBeside" w:vAnchor="text" w:hAnchor="margin" w:xAlign="center" w:y="1"/>
      <w:pBdr>
        <w:top w:val="single" w:sz="4" w:space="1" w:color="auto" w:shadow="1"/>
        <w:left w:val="single" w:sz="4" w:space="4" w:color="auto" w:shadow="1"/>
        <w:bottom w:val="single" w:sz="4" w:space="1" w:color="auto" w:shadow="1"/>
        <w:right w:val="single" w:sz="4" w:space="4" w:color="auto" w:shadow="1"/>
      </w:pBdr>
      <w:spacing w:after="360"/>
    </w:pPr>
    <w:rPr>
      <w:b w:val="0"/>
      <w:i/>
      <w:color w:val="000080"/>
      <w:sz w:val="36"/>
      <w:u w:val="none"/>
    </w:rPr>
  </w:style>
  <w:style w:type="paragraph" w:customStyle="1" w:styleId="Heading1titolouno">
    <w:name w:val="Heading 1 titolo uno"/>
    <w:basedOn w:val="Titolo1"/>
    <w:rsid w:val="00C83007"/>
    <w:pPr>
      <w:widowControl w:val="0"/>
    </w:pPr>
    <w:rPr>
      <w:rFonts w:ascii="Verdana" w:hAnsi="Verdana"/>
      <w:b w:val="0"/>
      <w:bCs/>
      <w:spacing w:val="0"/>
      <w:kern w:val="32"/>
      <w:sz w:val="24"/>
      <w:szCs w:val="24"/>
      <w:lang w:eastAsia="it-IT"/>
    </w:rPr>
  </w:style>
  <w:style w:type="paragraph" w:customStyle="1" w:styleId="ListBullet21">
    <w:name w:val="List Bullet 21"/>
    <w:aliases w:val="box"/>
    <w:basedOn w:val="Puntoelenco"/>
    <w:rsid w:val="00C83007"/>
    <w:pPr>
      <w:tabs>
        <w:tab w:val="left" w:pos="284"/>
      </w:tabs>
      <w:ind w:left="284" w:hanging="284"/>
      <w:jc w:val="left"/>
    </w:pPr>
    <w:rPr>
      <w:rFonts w:ascii="Verdana" w:hAnsi="Verdana"/>
      <w:sz w:val="14"/>
      <w:szCs w:val="22"/>
      <w:lang w:val="en-GB" w:eastAsia="fr-FR"/>
    </w:rPr>
  </w:style>
  <w:style w:type="character" w:customStyle="1" w:styleId="TestonotaapidipaginaCarattereChar">
    <w:name w:val="Testo nota a piè di pagina Carattere Char"/>
    <w:basedOn w:val="Carpredefinitoparagrafo"/>
    <w:rsid w:val="00C83007"/>
    <w:rPr>
      <w:rFonts w:ascii="Cambria" w:hAnsi="Cambria"/>
      <w:sz w:val="20"/>
      <w:szCs w:val="24"/>
      <w:lang w:val="en-GB" w:eastAsia="fr-FR" w:bidi="ar-SA"/>
    </w:rPr>
  </w:style>
  <w:style w:type="paragraph" w:customStyle="1" w:styleId="StyleNumbered">
    <w:name w:val="Style Numbered"/>
    <w:basedOn w:val="Normale"/>
    <w:rsid w:val="00C83007"/>
    <w:pPr>
      <w:tabs>
        <w:tab w:val="num" w:pos="0"/>
      </w:tabs>
    </w:pPr>
  </w:style>
  <w:style w:type="paragraph" w:customStyle="1" w:styleId="StyleHeading2Left">
    <w:name w:val="Style Heading 2 + Left"/>
    <w:basedOn w:val="Titolo2"/>
    <w:rsid w:val="00C83007"/>
    <w:rPr>
      <w:b w:val="0"/>
      <w:lang w:val="fr-FR"/>
    </w:rPr>
  </w:style>
  <w:style w:type="paragraph" w:customStyle="1" w:styleId="StyleHeading3Left0cmFirstline0cm">
    <w:name w:val="Style Heading 3 + Left:  0 cm First line:  0 cm"/>
    <w:basedOn w:val="Titolo3"/>
    <w:rsid w:val="00C83007"/>
    <w:pPr>
      <w:spacing w:after="80"/>
    </w:pPr>
    <w:rPr>
      <w:caps/>
      <w:u w:val="single"/>
      <w:lang w:val="fr-FR"/>
    </w:rPr>
  </w:style>
  <w:style w:type="paragraph" w:styleId="NormaleWeb">
    <w:name w:val="Normal (Web)"/>
    <w:basedOn w:val="Normale"/>
    <w:uiPriority w:val="99"/>
    <w:rsid w:val="00C83007"/>
    <w:pPr>
      <w:spacing w:before="100" w:beforeAutospacing="1" w:after="100" w:afterAutospacing="1"/>
      <w:jc w:val="left"/>
    </w:pPr>
    <w:rPr>
      <w:rFonts w:ascii="Times New Roman" w:hAnsi="Times New Roman"/>
      <w:color w:val="000000"/>
      <w:szCs w:val="24"/>
      <w:lang w:val="it-IT" w:eastAsia="it-IT"/>
    </w:rPr>
  </w:style>
  <w:style w:type="paragraph" w:styleId="Testocommento">
    <w:name w:val="annotation text"/>
    <w:basedOn w:val="Normale"/>
    <w:link w:val="TestocommentoCarattere"/>
    <w:uiPriority w:val="99"/>
    <w:rsid w:val="00C83007"/>
    <w:pPr>
      <w:jc w:val="left"/>
    </w:pPr>
    <w:rPr>
      <w:rFonts w:ascii="Times New Roman" w:hAnsi="Times New Roman"/>
      <w:sz w:val="20"/>
      <w:lang w:val="fr-FR" w:eastAsia="fr-FR"/>
    </w:rPr>
  </w:style>
  <w:style w:type="character" w:customStyle="1" w:styleId="TestocommentoCarattere">
    <w:name w:val="Testo commento Carattere"/>
    <w:basedOn w:val="Carpredefinitoparagrafo"/>
    <w:link w:val="Testocommento"/>
    <w:uiPriority w:val="99"/>
    <w:rsid w:val="00C83007"/>
    <w:rPr>
      <w:rFonts w:ascii="Times New Roman" w:eastAsia="Times New Roman" w:hAnsi="Times New Roman" w:cs="Times New Roman"/>
      <w:sz w:val="20"/>
      <w:szCs w:val="20"/>
      <w:lang w:val="fr-FR" w:eastAsia="fr-FR"/>
    </w:rPr>
  </w:style>
  <w:style w:type="paragraph" w:styleId="Testodelblocco">
    <w:name w:val="Block Text"/>
    <w:basedOn w:val="Normale"/>
    <w:rsid w:val="00C83007"/>
    <w:pPr>
      <w:tabs>
        <w:tab w:val="left" w:pos="-6276"/>
        <w:tab w:val="left" w:pos="-5016"/>
        <w:tab w:val="left" w:pos="564"/>
      </w:tabs>
      <w:spacing w:line="260" w:lineRule="atLeast"/>
      <w:ind w:left="564" w:right="900" w:hanging="204"/>
    </w:pPr>
    <w:rPr>
      <w:rFonts w:ascii="Times New Roman" w:hAnsi="Times New Roman"/>
      <w:szCs w:val="24"/>
      <w:lang w:val="fr-FR" w:eastAsia="fr-FR"/>
    </w:rPr>
  </w:style>
  <w:style w:type="paragraph" w:customStyle="1" w:styleId="titulo">
    <w:name w:val="titulo"/>
    <w:basedOn w:val="Normale"/>
    <w:rsid w:val="00C83007"/>
    <w:pPr>
      <w:spacing w:before="100" w:beforeAutospacing="1" w:after="100" w:afterAutospacing="1"/>
      <w:jc w:val="left"/>
    </w:pPr>
    <w:rPr>
      <w:rFonts w:ascii="Arial" w:eastAsia="Arial Unicode MS" w:hAnsi="Arial" w:cs="Arial"/>
      <w:color w:val="000000"/>
      <w:sz w:val="32"/>
      <w:szCs w:val="32"/>
      <w:lang w:val="it-IT" w:eastAsia="it-IT"/>
    </w:rPr>
  </w:style>
  <w:style w:type="character" w:styleId="Rimandocommento">
    <w:name w:val="annotation reference"/>
    <w:basedOn w:val="Carpredefinitoparagrafo"/>
    <w:uiPriority w:val="99"/>
    <w:rsid w:val="00C83007"/>
    <w:rPr>
      <w:rFonts w:ascii="Garamond" w:hAnsi="Garamond"/>
      <w:smallCaps/>
      <w:sz w:val="16"/>
      <w:szCs w:val="16"/>
      <w:lang w:val="pl-PL" w:eastAsia="pl-PL" w:bidi="ar-SA"/>
    </w:rPr>
  </w:style>
  <w:style w:type="paragraph" w:styleId="Soggettocommento">
    <w:name w:val="annotation subject"/>
    <w:basedOn w:val="Testocommento"/>
    <w:next w:val="Testocommento"/>
    <w:link w:val="SoggettocommentoCarattere"/>
    <w:uiPriority w:val="99"/>
    <w:rsid w:val="00C83007"/>
    <w:pPr>
      <w:jc w:val="both"/>
    </w:pPr>
    <w:rPr>
      <w:rFonts w:ascii="Garamond" w:hAnsi="Garamond"/>
      <w:b/>
      <w:bCs/>
      <w:lang w:val="en-GB" w:eastAsia="en-US"/>
    </w:rPr>
  </w:style>
  <w:style w:type="character" w:customStyle="1" w:styleId="SoggettocommentoCarattere">
    <w:name w:val="Soggetto commento Carattere"/>
    <w:basedOn w:val="TestocommentoCarattere"/>
    <w:link w:val="Soggettocommento"/>
    <w:uiPriority w:val="99"/>
    <w:rsid w:val="00C83007"/>
    <w:rPr>
      <w:rFonts w:ascii="Garamond" w:hAnsi="Garamond"/>
      <w:b/>
      <w:bCs/>
      <w:lang w:val="en-GB"/>
    </w:rPr>
  </w:style>
  <w:style w:type="paragraph" w:customStyle="1" w:styleId="grostitre">
    <w:name w:val="grostitre"/>
    <w:basedOn w:val="Normale"/>
    <w:rsid w:val="00C83007"/>
    <w:pPr>
      <w:spacing w:before="100" w:beforeAutospacing="1" w:after="100" w:afterAutospacing="1"/>
      <w:jc w:val="left"/>
    </w:pPr>
    <w:rPr>
      <w:rFonts w:ascii="Times New Roman" w:hAnsi="Times New Roman"/>
      <w:szCs w:val="24"/>
      <w:lang w:val="it-IT" w:eastAsia="it-IT"/>
    </w:rPr>
  </w:style>
  <w:style w:type="paragraph" w:customStyle="1" w:styleId="spip">
    <w:name w:val="spip"/>
    <w:basedOn w:val="Normale"/>
    <w:rsid w:val="00C83007"/>
    <w:pPr>
      <w:spacing w:before="100" w:beforeAutospacing="1" w:after="100" w:afterAutospacing="1"/>
      <w:jc w:val="left"/>
    </w:pPr>
    <w:rPr>
      <w:rFonts w:ascii="Times New Roman" w:hAnsi="Times New Roman"/>
      <w:szCs w:val="24"/>
      <w:lang w:val="it-IT" w:eastAsia="it-IT"/>
    </w:rPr>
  </w:style>
  <w:style w:type="character" w:customStyle="1" w:styleId="header31">
    <w:name w:val="header_31"/>
    <w:basedOn w:val="Carpredefinitoparagrafo"/>
    <w:rsid w:val="00C83007"/>
    <w:rPr>
      <w:rFonts w:ascii="Verdana" w:hAnsi="Verdana" w:hint="default"/>
      <w:b/>
      <w:bCs/>
      <w:smallCaps/>
      <w:color w:val="3B435B"/>
      <w:sz w:val="20"/>
      <w:szCs w:val="20"/>
      <w:lang w:val="pl-PL" w:eastAsia="pl-PL" w:bidi="ar-SA"/>
    </w:rPr>
  </w:style>
  <w:style w:type="paragraph" w:customStyle="1" w:styleId="Text2">
    <w:name w:val="Text 2"/>
    <w:basedOn w:val="Normale"/>
    <w:rsid w:val="00C83007"/>
    <w:pPr>
      <w:tabs>
        <w:tab w:val="left" w:pos="2161"/>
      </w:tabs>
      <w:spacing w:after="240"/>
      <w:ind w:left="1202"/>
    </w:pPr>
    <w:rPr>
      <w:rFonts w:ascii="Arial" w:hAnsi="Arial"/>
      <w:sz w:val="20"/>
      <w:lang w:val="fr-FR" w:eastAsia="en-GB"/>
    </w:rPr>
  </w:style>
  <w:style w:type="paragraph" w:customStyle="1" w:styleId="CharCharCarattereCarattereCharChar1">
    <w:name w:val="Char Char Carattere Carattere Char Char1"/>
    <w:basedOn w:val="Normale"/>
    <w:next w:val="Normale"/>
    <w:uiPriority w:val="99"/>
    <w:rsid w:val="00C83007"/>
    <w:pPr>
      <w:numPr>
        <w:numId w:val="12"/>
      </w:numPr>
      <w:tabs>
        <w:tab w:val="left" w:pos="709"/>
      </w:tabs>
      <w:spacing w:after="60"/>
      <w:jc w:val="left"/>
    </w:pPr>
    <w:rPr>
      <w:smallCaps/>
      <w:szCs w:val="24"/>
      <w:lang w:val="pl-PL" w:eastAsia="pl-PL"/>
    </w:rPr>
  </w:style>
  <w:style w:type="character" w:customStyle="1" w:styleId="FontStyle75">
    <w:name w:val="Font Style75"/>
    <w:rsid w:val="00C83007"/>
    <w:rPr>
      <w:rFonts w:ascii="Arial" w:hAnsi="Arial"/>
      <w:b/>
      <w:color w:val="000000"/>
      <w:spacing w:val="0"/>
      <w:sz w:val="30"/>
    </w:rPr>
  </w:style>
  <w:style w:type="paragraph" w:customStyle="1" w:styleId="Tabeltekst">
    <w:name w:val="Tabeltekst"/>
    <w:basedOn w:val="Normale"/>
    <w:rsid w:val="00C83007"/>
    <w:pPr>
      <w:jc w:val="left"/>
    </w:pPr>
    <w:rPr>
      <w:rFonts w:ascii="Times New Roman" w:hAnsi="Times New Roman"/>
      <w:sz w:val="18"/>
      <w:lang w:val="nl-NL" w:eastAsia="fr-FR"/>
    </w:rPr>
  </w:style>
  <w:style w:type="character" w:customStyle="1" w:styleId="style110">
    <w:name w:val="style11"/>
    <w:basedOn w:val="Carpredefinitoparagrafo"/>
    <w:rsid w:val="00C83007"/>
    <w:rPr>
      <w:rFonts w:ascii="Verdana" w:hAnsi="Verdana" w:hint="default"/>
      <w:b/>
      <w:bCs/>
      <w:smallCaps/>
      <w:color w:val="4D4D4D"/>
      <w:sz w:val="14"/>
      <w:szCs w:val="14"/>
      <w:lang w:val="pl-PL" w:eastAsia="pl-PL" w:bidi="ar-SA"/>
    </w:rPr>
  </w:style>
  <w:style w:type="character" w:customStyle="1" w:styleId="A3">
    <w:name w:val="A3"/>
    <w:rsid w:val="00C83007"/>
    <w:rPr>
      <w:color w:val="000000"/>
      <w:sz w:val="18"/>
      <w:szCs w:val="18"/>
    </w:rPr>
  </w:style>
  <w:style w:type="paragraph" w:customStyle="1" w:styleId="StylenormaleGeorgiaFirstline0cm">
    <w:name w:val="Style normale + Georgia First line:  0 cm"/>
    <w:basedOn w:val="Normale"/>
    <w:rsid w:val="00C83007"/>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uppressAutoHyphens/>
      <w:spacing w:before="60" w:after="240"/>
    </w:pPr>
    <w:rPr>
      <w:rFonts w:ascii="Georgia" w:hAnsi="Georgia"/>
      <w:spacing w:val="-3"/>
      <w:lang w:val="fr-FR" w:eastAsia="it-IT"/>
    </w:rPr>
  </w:style>
  <w:style w:type="paragraph" w:customStyle="1" w:styleId="titulodeanexo">
    <w:name w:val="titulo de anexo"/>
    <w:basedOn w:val="Normale"/>
    <w:rsid w:val="00C83007"/>
    <w:pPr>
      <w:numPr>
        <w:numId w:val="13"/>
      </w:numPr>
      <w:jc w:val="left"/>
    </w:pPr>
    <w:rPr>
      <w:rFonts w:ascii="Times New Roman" w:hAnsi="Times New Roman"/>
      <w:szCs w:val="24"/>
    </w:rPr>
  </w:style>
  <w:style w:type="paragraph" w:customStyle="1" w:styleId="Heading0">
    <w:name w:val="Heading 0"/>
    <w:basedOn w:val="Heading1titolouno"/>
    <w:next w:val="Normale"/>
    <w:rsid w:val="00C83007"/>
    <w:pPr>
      <w:numPr>
        <w:numId w:val="14"/>
      </w:numPr>
      <w:spacing w:before="240" w:after="720"/>
      <w:ind w:left="2438" w:hanging="2268"/>
    </w:pPr>
    <w:rPr>
      <w:sz w:val="28"/>
    </w:rPr>
  </w:style>
  <w:style w:type="paragraph" w:styleId="Indice1">
    <w:name w:val="index 1"/>
    <w:basedOn w:val="Normale"/>
    <w:next w:val="Normale"/>
    <w:autoRedefine/>
    <w:rsid w:val="00C83007"/>
    <w:pPr>
      <w:ind w:left="240" w:hanging="240"/>
    </w:pPr>
  </w:style>
  <w:style w:type="paragraph" w:styleId="Titoloindice">
    <w:name w:val="index heading"/>
    <w:basedOn w:val="Normale"/>
    <w:next w:val="Indice1"/>
    <w:rsid w:val="00C83007"/>
    <w:rPr>
      <w:rFonts w:ascii="Book Antiqua" w:hAnsi="Book Antiqua"/>
      <w:szCs w:val="24"/>
    </w:rPr>
  </w:style>
  <w:style w:type="paragraph" w:customStyle="1" w:styleId="Standard">
    <w:name w:val="_Standard"/>
    <w:rsid w:val="00C83007"/>
    <w:pPr>
      <w:widowControl w:val="0"/>
      <w:spacing w:before="120" w:after="120"/>
    </w:pPr>
    <w:rPr>
      <w:rFonts w:ascii="Arial" w:eastAsia="Times New Roman" w:hAnsi="Arial" w:cs="Times New Roman"/>
      <w:color w:val="000000"/>
      <w:kern w:val="2"/>
      <w:sz w:val="20"/>
      <w:szCs w:val="20"/>
      <w:lang w:val="fr-FR" w:eastAsia="en-GB"/>
    </w:rPr>
  </w:style>
  <w:style w:type="paragraph" w:customStyle="1" w:styleId="normaltableau">
    <w:name w:val="normal_tableau"/>
    <w:basedOn w:val="Normale"/>
    <w:rsid w:val="00C83007"/>
    <w:pPr>
      <w:jc w:val="left"/>
    </w:pPr>
    <w:rPr>
      <w:rFonts w:ascii="Times New Roman" w:hAnsi="Times New Roman"/>
    </w:rPr>
  </w:style>
  <w:style w:type="paragraph" w:customStyle="1" w:styleId="Corpodeltestogl">
    <w:name w:val="Corpo del testo.gl"/>
    <w:basedOn w:val="Normale"/>
    <w:rsid w:val="00C83007"/>
    <w:pPr>
      <w:jc w:val="left"/>
    </w:pPr>
    <w:rPr>
      <w:rFonts w:ascii="Times New Roman" w:hAnsi="Times New Roman"/>
      <w:i/>
      <w:lang w:eastAsia="it-IT"/>
    </w:rPr>
  </w:style>
  <w:style w:type="paragraph" w:customStyle="1" w:styleId="CharChar1CarattereCharCharCarattereCharCharCarattereZchnZchnCarattereCharCharCarattereCharCharCarattereCarattereCharCharCarattereCarattereCharChar">
    <w:name w:val="Char Char1 Carattere Char Char Carattere Char Char Carattere Zchn Zchn Carattere Char Char Carattere Char Char Carattere Carattere Char Char Carattere Carattere Char Char"/>
    <w:basedOn w:val="Normale"/>
    <w:next w:val="Normale"/>
    <w:rsid w:val="00C83007"/>
    <w:pPr>
      <w:tabs>
        <w:tab w:val="num" w:pos="432"/>
        <w:tab w:val="left" w:pos="709"/>
      </w:tabs>
      <w:spacing w:after="60"/>
      <w:ind w:left="432" w:hanging="432"/>
      <w:jc w:val="left"/>
    </w:pPr>
    <w:rPr>
      <w:smallCaps/>
      <w:szCs w:val="24"/>
      <w:lang w:val="pl-PL" w:eastAsia="pl-PL"/>
    </w:rPr>
  </w:style>
  <w:style w:type="paragraph" w:customStyle="1" w:styleId="ADE">
    <w:name w:val="ADE"/>
    <w:rsid w:val="00C83007"/>
    <w:pPr>
      <w:tabs>
        <w:tab w:val="right" w:pos="8505"/>
      </w:tabs>
      <w:spacing w:before="120" w:after="80"/>
    </w:pPr>
    <w:rPr>
      <w:rFonts w:ascii="Garamond" w:eastAsia="SimSun" w:hAnsi="Garamond" w:cs="Times New Roman"/>
      <w:noProof/>
      <w:szCs w:val="20"/>
      <w:lang w:val="fr-FR" w:eastAsia="fr-FR"/>
    </w:rPr>
  </w:style>
  <w:style w:type="paragraph" w:customStyle="1" w:styleId="CharCharCarattereCarattereCharChar">
    <w:name w:val="Char Char Carattere Carattere Char Char"/>
    <w:basedOn w:val="Normale"/>
    <w:next w:val="Normale"/>
    <w:rsid w:val="00C83007"/>
    <w:pPr>
      <w:tabs>
        <w:tab w:val="num" w:pos="432"/>
        <w:tab w:val="left" w:pos="709"/>
      </w:tabs>
      <w:spacing w:after="60"/>
      <w:ind w:left="432" w:hanging="432"/>
      <w:jc w:val="left"/>
    </w:pPr>
    <w:rPr>
      <w:smallCaps/>
      <w:szCs w:val="24"/>
      <w:lang w:val="pl-PL" w:eastAsia="pl-PL"/>
    </w:rPr>
  </w:style>
  <w:style w:type="paragraph" w:customStyle="1" w:styleId="Style49">
    <w:name w:val="Style49"/>
    <w:basedOn w:val="Normale"/>
    <w:rsid w:val="00C83007"/>
    <w:pPr>
      <w:overflowPunct w:val="0"/>
      <w:autoSpaceDE w:val="0"/>
      <w:autoSpaceDN w:val="0"/>
      <w:adjustRightInd w:val="0"/>
      <w:textAlignment w:val="baseline"/>
    </w:pPr>
    <w:rPr>
      <w:rFonts w:ascii="Arial" w:hAnsi="Arial"/>
      <w:color w:val="000000"/>
      <w:sz w:val="20"/>
      <w:lang w:val="fr-FR"/>
    </w:rPr>
  </w:style>
  <w:style w:type="paragraph" w:customStyle="1" w:styleId="Initial">
    <w:name w:val="Initial"/>
    <w:rsid w:val="00C83007"/>
    <w:pPr>
      <w:tabs>
        <w:tab w:val="left" w:pos="-720"/>
      </w:tabs>
      <w:suppressAutoHyphens/>
      <w:spacing w:before="120" w:after="120"/>
    </w:pPr>
    <w:rPr>
      <w:rFonts w:ascii="Times New Roman" w:eastAsia="Times New Roman" w:hAnsi="Times New Roman" w:cs="Times New Roman"/>
      <w:spacing w:val="-3"/>
      <w:sz w:val="24"/>
      <w:szCs w:val="24"/>
      <w:lang w:val="en-US" w:eastAsia="fr-FR"/>
    </w:rPr>
  </w:style>
  <w:style w:type="paragraph" w:customStyle="1" w:styleId="Stile1">
    <w:name w:val="Stile1"/>
    <w:basedOn w:val="Normale"/>
    <w:rsid w:val="00C83007"/>
    <w:rPr>
      <w:lang w:val="fr-FR"/>
    </w:rPr>
  </w:style>
  <w:style w:type="paragraph" w:customStyle="1" w:styleId="CharChar">
    <w:name w:val="Char Char"/>
    <w:basedOn w:val="Normale"/>
    <w:next w:val="Normale"/>
    <w:rsid w:val="00C83007"/>
    <w:pPr>
      <w:tabs>
        <w:tab w:val="num" w:pos="432"/>
        <w:tab w:val="left" w:pos="709"/>
      </w:tabs>
      <w:spacing w:after="60"/>
      <w:ind w:left="432" w:hanging="432"/>
      <w:jc w:val="left"/>
    </w:pPr>
    <w:rPr>
      <w:smallCaps/>
      <w:szCs w:val="24"/>
      <w:lang w:val="pl-PL" w:eastAsia="pl-PL"/>
    </w:rPr>
  </w:style>
  <w:style w:type="paragraph" w:customStyle="1" w:styleId="Style16">
    <w:name w:val="Style 1"/>
    <w:basedOn w:val="Normale"/>
    <w:rsid w:val="00C83007"/>
    <w:pPr>
      <w:tabs>
        <w:tab w:val="left" w:pos="360"/>
        <w:tab w:val="left" w:pos="540"/>
        <w:tab w:val="left" w:pos="744"/>
        <w:tab w:val="left" w:pos="1266"/>
        <w:tab w:val="left" w:pos="2160"/>
        <w:tab w:val="left" w:pos="3600"/>
        <w:tab w:val="left" w:pos="3888"/>
        <w:tab w:val="left" w:pos="4392"/>
        <w:tab w:val="left" w:pos="5112"/>
        <w:tab w:val="left" w:pos="5472"/>
        <w:tab w:val="left" w:pos="5832"/>
      </w:tabs>
      <w:ind w:left="3780" w:right="-1" w:hanging="3780"/>
      <w:jc w:val="left"/>
    </w:pPr>
    <w:rPr>
      <w:rFonts w:ascii="Times" w:hAnsi="Times"/>
      <w:b/>
      <w:sz w:val="20"/>
      <w:lang w:val="en-GB"/>
    </w:rPr>
  </w:style>
  <w:style w:type="paragraph" w:customStyle="1" w:styleId="StyleHeading3Titre3Auto">
    <w:name w:val="Style Heading 3Titre3 + Auto"/>
    <w:basedOn w:val="Titolo3"/>
    <w:rsid w:val="00C83007"/>
    <w:pPr>
      <w:tabs>
        <w:tab w:val="num" w:pos="0"/>
      </w:tabs>
    </w:pPr>
    <w:rPr>
      <w:caps/>
      <w:lang w:val="it-IT"/>
    </w:rPr>
  </w:style>
  <w:style w:type="paragraph" w:customStyle="1" w:styleId="Quotation">
    <w:name w:val="Quotation"/>
    <w:basedOn w:val="Normale"/>
    <w:rsid w:val="00C83007"/>
    <w:pPr>
      <w:pBdr>
        <w:top w:val="single" w:sz="12" w:space="12" w:color="FFFFFF"/>
        <w:left w:val="single" w:sz="6" w:space="12" w:color="FFFFFF"/>
        <w:bottom w:val="single" w:sz="6" w:space="12" w:color="FFFFFF"/>
        <w:right w:val="single" w:sz="6" w:space="12" w:color="FFFFFF"/>
      </w:pBdr>
      <w:shd w:val="clear" w:color="auto" w:fill="CCECFF"/>
      <w:spacing w:after="240" w:line="220" w:lineRule="atLeast"/>
      <w:ind w:left="1366" w:right="238"/>
    </w:pPr>
    <w:rPr>
      <w:spacing w:val="-5"/>
      <w:sz w:val="24"/>
      <w:lang w:val="en-GB"/>
    </w:rPr>
  </w:style>
  <w:style w:type="paragraph" w:customStyle="1" w:styleId="Listeapoints1">
    <w:name w:val="Liste a points 1"/>
    <w:basedOn w:val="Normale"/>
    <w:rsid w:val="00C83007"/>
    <w:pPr>
      <w:numPr>
        <w:numId w:val="15"/>
      </w:numPr>
    </w:pPr>
    <w:rPr>
      <w:rFonts w:ascii="Times New Roman" w:hAnsi="Times New Roman"/>
      <w:lang w:val="en-GB"/>
    </w:rPr>
  </w:style>
  <w:style w:type="paragraph" w:customStyle="1" w:styleId="Titolo2-">
    <w:name w:val="Titolo 2 -"/>
    <w:basedOn w:val="Titolo2"/>
    <w:rsid w:val="00C83007"/>
    <w:rPr>
      <w:b w:val="0"/>
      <w:color w:val="000000"/>
    </w:rPr>
  </w:style>
  <w:style w:type="paragraph" w:customStyle="1" w:styleId="Titolo1-">
    <w:name w:val="Titolo 1 -"/>
    <w:basedOn w:val="Titolo1"/>
    <w:rsid w:val="00C83007"/>
    <w:pPr>
      <w:spacing w:after="180"/>
      <w:ind w:left="851" w:hanging="851"/>
    </w:pPr>
    <w:rPr>
      <w:b w:val="0"/>
      <w:bCs/>
      <w:spacing w:val="0"/>
      <w:lang w:eastAsia="fr-FR"/>
    </w:rPr>
  </w:style>
  <w:style w:type="paragraph" w:styleId="Rientrocorpodeltesto2">
    <w:name w:val="Body Text Indent 2"/>
    <w:basedOn w:val="Normale"/>
    <w:link w:val="Rientrocorpodeltesto2Carattere"/>
    <w:rsid w:val="00C83007"/>
    <w:pPr>
      <w:spacing w:line="480" w:lineRule="auto"/>
      <w:ind w:left="283"/>
    </w:pPr>
  </w:style>
  <w:style w:type="character" w:customStyle="1" w:styleId="Rientrocorpodeltesto2Carattere">
    <w:name w:val="Rientro corpo del testo 2 Carattere"/>
    <w:basedOn w:val="Carpredefinitoparagrafo"/>
    <w:link w:val="Rientrocorpodeltesto2"/>
    <w:rsid w:val="00C83007"/>
    <w:rPr>
      <w:rFonts w:ascii="Cambria" w:eastAsia="Times New Roman" w:hAnsi="Cambria" w:cs="Times New Roman"/>
      <w:sz w:val="21"/>
      <w:szCs w:val="20"/>
      <w:lang w:val="en-US"/>
    </w:rPr>
  </w:style>
  <w:style w:type="paragraph" w:customStyle="1" w:styleId="font6">
    <w:name w:val="font6"/>
    <w:basedOn w:val="Normale"/>
    <w:rsid w:val="00C83007"/>
    <w:pPr>
      <w:spacing w:before="100" w:beforeAutospacing="1" w:after="100" w:afterAutospacing="1"/>
      <w:jc w:val="left"/>
    </w:pPr>
    <w:rPr>
      <w:rFonts w:ascii="Arial" w:hAnsi="Arial" w:cs="Arial"/>
      <w:sz w:val="17"/>
      <w:szCs w:val="17"/>
      <w:u w:val="single"/>
      <w:lang w:eastAsia="fr-FR"/>
    </w:rPr>
  </w:style>
  <w:style w:type="paragraph" w:customStyle="1" w:styleId="OrdinaryText6ptbeforeChar">
    <w:name w:val="Ordinary Text (6 pt. before) Char"/>
    <w:basedOn w:val="Default"/>
    <w:next w:val="Default"/>
    <w:rsid w:val="00C83007"/>
    <w:rPr>
      <w:rFonts w:cs="Times New Roman"/>
      <w:color w:val="auto"/>
    </w:rPr>
  </w:style>
  <w:style w:type="character" w:customStyle="1" w:styleId="cald-definition1">
    <w:name w:val="cald-definition1"/>
    <w:basedOn w:val="Carpredefinitoparagrafo"/>
    <w:rsid w:val="00C83007"/>
    <w:rPr>
      <w:rFonts w:ascii="Verdana" w:hAnsi="Verdana" w:hint="default"/>
      <w:i w:val="0"/>
      <w:iCs w:val="0"/>
      <w:smallCaps/>
      <w:color w:val="000000"/>
      <w:sz w:val="24"/>
      <w:szCs w:val="24"/>
      <w:lang w:val="pl-PL" w:eastAsia="pl-PL" w:bidi="ar-SA"/>
    </w:rPr>
  </w:style>
  <w:style w:type="paragraph" w:customStyle="1" w:styleId="CarattereCarattereCharCarattereCarattere">
    <w:name w:val="Carattere Carattere Char Carattere Carattere"/>
    <w:basedOn w:val="Normale"/>
    <w:rsid w:val="00C83007"/>
    <w:pPr>
      <w:spacing w:after="160" w:line="240" w:lineRule="exact"/>
      <w:jc w:val="left"/>
    </w:pPr>
    <w:rPr>
      <w:smallCaps/>
      <w:szCs w:val="24"/>
      <w:lang w:val="pl-PL" w:eastAsia="pl-PL"/>
    </w:rPr>
  </w:style>
  <w:style w:type="paragraph" w:customStyle="1" w:styleId="CarCar1">
    <w:name w:val="Car Car1"/>
    <w:basedOn w:val="Normale"/>
    <w:rsid w:val="00C83007"/>
    <w:pPr>
      <w:spacing w:after="160" w:line="240" w:lineRule="exact"/>
      <w:jc w:val="left"/>
    </w:pPr>
    <w:rPr>
      <w:rFonts w:ascii="Tahoma" w:hAnsi="Tahoma"/>
      <w:sz w:val="20"/>
    </w:rPr>
  </w:style>
  <w:style w:type="paragraph" w:customStyle="1" w:styleId="ListDash">
    <w:name w:val="List Dash"/>
    <w:basedOn w:val="Normale"/>
    <w:rsid w:val="00C83007"/>
    <w:pPr>
      <w:tabs>
        <w:tab w:val="num" w:pos="720"/>
      </w:tabs>
      <w:spacing w:after="240"/>
      <w:ind w:left="720" w:hanging="720"/>
    </w:pPr>
    <w:rPr>
      <w:rFonts w:ascii="Times New Roman" w:hAnsi="Times New Roman"/>
      <w:sz w:val="24"/>
    </w:rPr>
  </w:style>
  <w:style w:type="paragraph" w:styleId="Puntoelenco2">
    <w:name w:val="List Bullet 2"/>
    <w:basedOn w:val="Normale"/>
    <w:autoRedefine/>
    <w:rsid w:val="00C83007"/>
    <w:pPr>
      <w:numPr>
        <w:numId w:val="16"/>
      </w:numPr>
    </w:pPr>
    <w:rPr>
      <w:rFonts w:ascii="Times New Roman" w:hAnsi="Times New Roman"/>
      <w:sz w:val="24"/>
      <w:lang w:eastAsia="it-IT"/>
    </w:rPr>
  </w:style>
  <w:style w:type="paragraph" w:customStyle="1" w:styleId="normale0">
    <w:name w:val="normale"/>
    <w:basedOn w:val="Normale"/>
    <w:rsid w:val="00C83007"/>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uppressAutoHyphens/>
      <w:spacing w:before="60"/>
      <w:ind w:firstLine="510"/>
    </w:pPr>
    <w:rPr>
      <w:rFonts w:ascii="Arial" w:hAnsi="Arial"/>
      <w:spacing w:val="-3"/>
      <w:lang w:eastAsia="it-IT"/>
    </w:rPr>
  </w:style>
  <w:style w:type="paragraph" w:customStyle="1" w:styleId="Bulletlevel2">
    <w:name w:val="Bullet level 2"/>
    <w:basedOn w:val="Normale"/>
    <w:rsid w:val="00C83007"/>
    <w:pPr>
      <w:numPr>
        <w:ilvl w:val="1"/>
        <w:numId w:val="17"/>
      </w:numPr>
      <w:tabs>
        <w:tab w:val="left" w:pos="851"/>
      </w:tabs>
      <w:spacing w:before="60" w:after="60"/>
    </w:pPr>
    <w:rPr>
      <w:rFonts w:ascii="Arial" w:hAnsi="Arial"/>
      <w:lang w:val="en-GB"/>
    </w:rPr>
  </w:style>
  <w:style w:type="character" w:customStyle="1" w:styleId="large">
    <w:name w:val="large"/>
    <w:basedOn w:val="Carpredefinitoparagrafo"/>
    <w:rsid w:val="00C83007"/>
    <w:rPr>
      <w:rFonts w:ascii="Garamond" w:hAnsi="Garamond"/>
      <w:smallCaps/>
      <w:sz w:val="22"/>
      <w:szCs w:val="24"/>
      <w:lang w:val="pl-PL" w:eastAsia="pl-PL" w:bidi="ar-SA"/>
    </w:rPr>
  </w:style>
  <w:style w:type="paragraph" w:customStyle="1" w:styleId="BodyTextIndent21">
    <w:name w:val="Body Text Indent 21"/>
    <w:basedOn w:val="Normale"/>
    <w:rsid w:val="00C83007"/>
    <w:pPr>
      <w:overflowPunct w:val="0"/>
      <w:autoSpaceDE w:val="0"/>
      <w:autoSpaceDN w:val="0"/>
      <w:adjustRightInd w:val="0"/>
      <w:ind w:firstLine="284"/>
      <w:textAlignment w:val="baseline"/>
    </w:pPr>
    <w:rPr>
      <w:rFonts w:ascii="Times New Roman" w:hAnsi="Times New Roman"/>
      <w:sz w:val="20"/>
      <w:lang w:val="en-GB" w:eastAsia="fr-FR"/>
    </w:rPr>
  </w:style>
  <w:style w:type="paragraph" w:customStyle="1" w:styleId="Bulletlevel1">
    <w:name w:val="Bullet level 1"/>
    <w:basedOn w:val="Normale"/>
    <w:link w:val="Bulletlevel1Char"/>
    <w:rsid w:val="00C83007"/>
    <w:pPr>
      <w:tabs>
        <w:tab w:val="num" w:pos="717"/>
        <w:tab w:val="left" w:pos="912"/>
      </w:tabs>
      <w:spacing w:before="60" w:after="60"/>
      <w:ind w:left="717" w:hanging="360"/>
    </w:pPr>
    <w:rPr>
      <w:rFonts w:ascii="Arial" w:hAnsi="Arial"/>
    </w:rPr>
  </w:style>
  <w:style w:type="paragraph" w:customStyle="1" w:styleId="Normal1">
    <w:name w:val="Normal1"/>
    <w:next w:val="Normale"/>
    <w:autoRedefine/>
    <w:rsid w:val="00C83007"/>
    <w:pPr>
      <w:spacing w:before="120" w:after="120"/>
    </w:pPr>
    <w:rPr>
      <w:rFonts w:ascii="Bell MT" w:eastAsia="Times New Roman" w:hAnsi="Bell MT" w:cs="Times New Roman"/>
      <w:sz w:val="23"/>
      <w:szCs w:val="20"/>
      <w:lang w:val="en-US"/>
    </w:rPr>
  </w:style>
  <w:style w:type="paragraph" w:styleId="Puntoelenco4">
    <w:name w:val="List Bullet 4"/>
    <w:basedOn w:val="Normale"/>
    <w:autoRedefine/>
    <w:rsid w:val="00C83007"/>
    <w:pPr>
      <w:tabs>
        <w:tab w:val="num" w:pos="1209"/>
      </w:tabs>
      <w:ind w:left="1209" w:hanging="360"/>
    </w:pPr>
    <w:rPr>
      <w:rFonts w:ascii="Georgia" w:hAnsi="Georgia"/>
      <w:lang w:val="en-GB" w:eastAsia="it-IT"/>
    </w:rPr>
  </w:style>
  <w:style w:type="character" w:customStyle="1" w:styleId="StileGaramond12pt">
    <w:name w:val="Stile Garamond 12 pt"/>
    <w:basedOn w:val="Carpredefinitoparagrafo"/>
    <w:rsid w:val="00C83007"/>
    <w:rPr>
      <w:rFonts w:ascii="Garamond" w:hAnsi="Garamond"/>
      <w:smallCaps/>
      <w:sz w:val="24"/>
      <w:szCs w:val="24"/>
      <w:lang w:val="fr-FR" w:eastAsia="en-US" w:bidi="ar-SA"/>
    </w:rPr>
  </w:style>
  <w:style w:type="paragraph" w:customStyle="1" w:styleId="CharCharCarattereCarattereCharChar1CarattereCarattereCharCharCarCarCharCharCarattereCarattere">
    <w:name w:val="Char Char Carattere Carattere Char Char1 Carattere Carattere Char Char Car Car Char Char Carattere Carattere"/>
    <w:basedOn w:val="Normale"/>
    <w:next w:val="Normale"/>
    <w:rsid w:val="00C83007"/>
    <w:pPr>
      <w:spacing w:after="160" w:line="240" w:lineRule="exact"/>
      <w:jc w:val="left"/>
    </w:pPr>
    <w:rPr>
      <w:smallCaps/>
      <w:szCs w:val="24"/>
      <w:lang w:val="pl-PL" w:eastAsia="pl-PL"/>
    </w:rPr>
  </w:style>
  <w:style w:type="paragraph" w:customStyle="1" w:styleId="cvbody">
    <w:name w:val="cvbody"/>
    <w:rsid w:val="00C83007"/>
    <w:pPr>
      <w:spacing w:before="120" w:after="120"/>
    </w:pPr>
    <w:rPr>
      <w:rFonts w:ascii="Century Schoolbook" w:eastAsia="Times New Roman" w:hAnsi="Century Schoolbook" w:cs="Times New Roman"/>
      <w:szCs w:val="20"/>
      <w:lang w:val="en-GB"/>
    </w:rPr>
  </w:style>
  <w:style w:type="paragraph" w:customStyle="1" w:styleId="Tabletext">
    <w:name w:val="Table text"/>
    <w:basedOn w:val="Normale"/>
    <w:rsid w:val="00C83007"/>
    <w:pPr>
      <w:spacing w:before="80"/>
      <w:ind w:left="14"/>
      <w:jc w:val="left"/>
    </w:pPr>
    <w:rPr>
      <w:rFonts w:ascii="Univers" w:hAnsi="Univers"/>
      <w:sz w:val="20"/>
      <w:lang w:val="en-GB"/>
    </w:rPr>
  </w:style>
  <w:style w:type="paragraph" w:customStyle="1" w:styleId="CVindent">
    <w:name w:val="CVindent"/>
    <w:basedOn w:val="Normale"/>
    <w:rsid w:val="00C83007"/>
    <w:pPr>
      <w:tabs>
        <w:tab w:val="left" w:pos="2880"/>
      </w:tabs>
      <w:spacing w:before="40"/>
      <w:ind w:left="2880" w:hanging="2880"/>
      <w:jc w:val="left"/>
    </w:pPr>
    <w:rPr>
      <w:rFonts w:ascii="Century Schoolbook" w:hAnsi="Century Schoolbook"/>
      <w:lang w:val="en-GB"/>
    </w:rPr>
  </w:style>
  <w:style w:type="paragraph" w:customStyle="1" w:styleId="cvindent0">
    <w:name w:val="cvindent"/>
    <w:rsid w:val="00C83007"/>
    <w:pPr>
      <w:tabs>
        <w:tab w:val="left" w:pos="2880"/>
      </w:tabs>
      <w:spacing w:before="120" w:after="120"/>
      <w:ind w:left="2880" w:hanging="2880"/>
    </w:pPr>
    <w:rPr>
      <w:rFonts w:ascii="Century Schoolbook" w:eastAsia="Times New Roman" w:hAnsi="Century Schoolbook" w:cs="Times New Roman"/>
      <w:color w:val="000000"/>
      <w:szCs w:val="20"/>
      <w:lang w:val="en-GB"/>
    </w:rPr>
  </w:style>
  <w:style w:type="paragraph" w:customStyle="1" w:styleId="cvname">
    <w:name w:val="cvname"/>
    <w:next w:val="Normale"/>
    <w:rsid w:val="00C83007"/>
    <w:pPr>
      <w:spacing w:before="120" w:after="120"/>
      <w:jc w:val="center"/>
    </w:pPr>
    <w:rPr>
      <w:rFonts w:ascii="Univers" w:eastAsia="Times New Roman" w:hAnsi="Univers" w:cs="Times New Roman"/>
      <w:b/>
      <w:i/>
      <w:color w:val="000000"/>
      <w:sz w:val="40"/>
      <w:szCs w:val="20"/>
      <w:lang w:val="en-GB"/>
    </w:rPr>
  </w:style>
  <w:style w:type="paragraph" w:customStyle="1" w:styleId="CVNormal">
    <w:name w:val="CV Normal"/>
    <w:basedOn w:val="Normale"/>
    <w:rsid w:val="00C83007"/>
    <w:pPr>
      <w:suppressAutoHyphens/>
      <w:ind w:left="113" w:right="113"/>
      <w:jc w:val="left"/>
    </w:pPr>
    <w:rPr>
      <w:rFonts w:ascii="Arial Narrow" w:hAnsi="Arial Narrow" w:cs="Arial Narrow"/>
      <w:sz w:val="20"/>
      <w:lang w:eastAsia="ar-SA"/>
    </w:rPr>
  </w:style>
  <w:style w:type="paragraph" w:customStyle="1" w:styleId="CVHeading3">
    <w:name w:val="CV Heading 3"/>
    <w:basedOn w:val="Normale"/>
    <w:next w:val="Normale"/>
    <w:rsid w:val="00C83007"/>
    <w:pPr>
      <w:suppressAutoHyphens/>
      <w:ind w:left="113" w:right="113"/>
      <w:jc w:val="right"/>
      <w:textAlignment w:val="center"/>
    </w:pPr>
    <w:rPr>
      <w:rFonts w:ascii="Arial Narrow" w:hAnsi="Arial Narrow" w:cs="Arial Narrow"/>
      <w:sz w:val="20"/>
      <w:lang w:eastAsia="ar-SA"/>
    </w:rPr>
  </w:style>
  <w:style w:type="paragraph" w:customStyle="1" w:styleId="CVHeading3-FirstLine">
    <w:name w:val="CV Heading 3 - First Line"/>
    <w:basedOn w:val="CVHeading3"/>
    <w:next w:val="CVHeading3"/>
    <w:rsid w:val="00C83007"/>
    <w:pPr>
      <w:spacing w:before="74"/>
    </w:pPr>
  </w:style>
  <w:style w:type="paragraph" w:customStyle="1" w:styleId="CharCharCarattereCarattereCharChar1CarattereCarattereCharCharCarCar">
    <w:name w:val="Char Char Carattere Carattere Char Char1 Carattere Carattere Char Char Car Car"/>
    <w:basedOn w:val="Normale"/>
    <w:next w:val="Normale"/>
    <w:rsid w:val="00C83007"/>
    <w:pPr>
      <w:spacing w:after="160" w:line="240" w:lineRule="exact"/>
      <w:jc w:val="left"/>
    </w:pPr>
    <w:rPr>
      <w:smallCaps/>
      <w:szCs w:val="24"/>
      <w:lang w:val="pl-PL" w:eastAsia="pl-PL"/>
    </w:rPr>
  </w:style>
  <w:style w:type="paragraph" w:customStyle="1" w:styleId="Address">
    <w:name w:val="Address"/>
    <w:basedOn w:val="Normale"/>
    <w:rsid w:val="00C83007"/>
    <w:pPr>
      <w:jc w:val="left"/>
    </w:pPr>
    <w:rPr>
      <w:sz w:val="24"/>
      <w:lang w:val="en-GB" w:eastAsia="fr-FR"/>
    </w:rPr>
  </w:style>
  <w:style w:type="paragraph" w:customStyle="1" w:styleId="CharChar1CarattereCarattere">
    <w:name w:val="Char Char1 Carattere Carattere"/>
    <w:basedOn w:val="Normale"/>
    <w:next w:val="Normale"/>
    <w:rsid w:val="00C83007"/>
    <w:pPr>
      <w:tabs>
        <w:tab w:val="left" w:pos="709"/>
      </w:tabs>
      <w:spacing w:before="180" w:after="60"/>
      <w:jc w:val="left"/>
    </w:pPr>
    <w:rPr>
      <w:rFonts w:ascii="Arial Narrow" w:hAnsi="Arial Narrow"/>
      <w:smallCaps/>
      <w:szCs w:val="24"/>
      <w:lang w:val="pl-PL" w:eastAsia="pl-PL"/>
    </w:rPr>
  </w:style>
  <w:style w:type="paragraph" w:customStyle="1" w:styleId="Heading1">
    <w:name w:val="Heading1"/>
    <w:basedOn w:val="Titolo1"/>
    <w:autoRedefine/>
    <w:rsid w:val="00C83007"/>
    <w:rPr>
      <w:rFonts w:ascii="Garamond" w:hAnsi="Garamond"/>
      <w:b w:val="0"/>
      <w:spacing w:val="0"/>
      <w:szCs w:val="24"/>
      <w:lang w:val="es-ES_tradnl" w:eastAsia="pt-PT"/>
    </w:rPr>
  </w:style>
  <w:style w:type="paragraph" w:customStyle="1" w:styleId="Table">
    <w:name w:val="Table"/>
    <w:basedOn w:val="Normale"/>
    <w:rsid w:val="00C83007"/>
    <w:pPr>
      <w:tabs>
        <w:tab w:val="num" w:pos="1080"/>
      </w:tabs>
      <w:spacing w:before="0" w:after="0"/>
      <w:ind w:left="360" w:hanging="360"/>
    </w:pPr>
    <w:rPr>
      <w:rFonts w:ascii="Helvetica" w:hAnsi="Helvetica"/>
      <w:b/>
    </w:rPr>
  </w:style>
  <w:style w:type="paragraph" w:customStyle="1" w:styleId="CharCharCarattereCarattereCarattereCarattereCarattereTegnTegnCarattereCarattereCarattereCarattereCarattere">
    <w:name w:val="Char Char Carattere Carattere Carattere Carattere Carattere Tegn Tegn Carattere Carattere Carattere Carattere Carattere"/>
    <w:basedOn w:val="Normale"/>
    <w:next w:val="Normale"/>
    <w:rsid w:val="00C83007"/>
    <w:pPr>
      <w:spacing w:before="0" w:after="160" w:line="240" w:lineRule="exact"/>
      <w:jc w:val="left"/>
    </w:pPr>
    <w:rPr>
      <w:rFonts w:ascii="Tahoma" w:hAnsi="Tahoma"/>
      <w:sz w:val="24"/>
    </w:rPr>
  </w:style>
  <w:style w:type="paragraph" w:customStyle="1" w:styleId="Carattere2">
    <w:name w:val="Carattere2"/>
    <w:basedOn w:val="Normale"/>
    <w:next w:val="Normale"/>
    <w:rsid w:val="00C83007"/>
    <w:pPr>
      <w:spacing w:before="0" w:after="160" w:line="240" w:lineRule="exact"/>
      <w:jc w:val="left"/>
    </w:pPr>
    <w:rPr>
      <w:rFonts w:ascii="Tahoma" w:hAnsi="Tahoma"/>
      <w:sz w:val="24"/>
    </w:rPr>
  </w:style>
  <w:style w:type="paragraph" w:customStyle="1" w:styleId="CharCharCarattereCarattereCarattereCarattereCarattere">
    <w:name w:val="Char Char Carattere Carattere Carattere Carattere Carattere"/>
    <w:basedOn w:val="Normale"/>
    <w:next w:val="Normale"/>
    <w:rsid w:val="00C83007"/>
    <w:pPr>
      <w:spacing w:before="0" w:after="160" w:line="240" w:lineRule="exact"/>
      <w:jc w:val="left"/>
    </w:pPr>
    <w:rPr>
      <w:rFonts w:ascii="Tahoma" w:hAnsi="Tahoma"/>
      <w:sz w:val="24"/>
    </w:rPr>
  </w:style>
  <w:style w:type="paragraph" w:customStyle="1" w:styleId="StyleArialBoldLeft025">
    <w:name w:val="Style Arial Bold Left:  0.25&quot;"/>
    <w:basedOn w:val="Normale"/>
    <w:autoRedefine/>
    <w:rsid w:val="00C83007"/>
    <w:pPr>
      <w:tabs>
        <w:tab w:val="num" w:pos="720"/>
      </w:tabs>
      <w:spacing w:before="240"/>
      <w:ind w:left="720" w:hanging="720"/>
    </w:pPr>
    <w:rPr>
      <w:rFonts w:ascii="Garamond" w:hAnsi="Garamond"/>
      <w:b/>
      <w:bCs/>
      <w:sz w:val="25"/>
      <w:lang w:val="en-GB"/>
    </w:rPr>
  </w:style>
  <w:style w:type="paragraph" w:customStyle="1" w:styleId="StyleHeading3Titre3Before24ptAfter24pt">
    <w:name w:val="Style Heading 3Titre3 + Before:  2.4 pt After:  2.4 pt"/>
    <w:basedOn w:val="Titolo3"/>
    <w:autoRedefine/>
    <w:rsid w:val="00C83007"/>
    <w:pPr>
      <w:tabs>
        <w:tab w:val="num" w:pos="700"/>
      </w:tabs>
      <w:spacing w:before="160"/>
      <w:ind w:left="706"/>
    </w:pPr>
    <w:rPr>
      <w:rFonts w:ascii="Garamond" w:hAnsi="Garamond"/>
      <w:bCs/>
      <w:caps/>
    </w:rPr>
  </w:style>
  <w:style w:type="paragraph" w:styleId="Numeroelenco2">
    <w:name w:val="List Number 2"/>
    <w:rsid w:val="00C83007"/>
    <w:pPr>
      <w:tabs>
        <w:tab w:val="num" w:pos="900"/>
      </w:tabs>
      <w:spacing w:before="20" w:after="20"/>
      <w:ind w:left="900" w:hanging="360"/>
    </w:pPr>
    <w:rPr>
      <w:rFonts w:ascii="Times New Roman" w:eastAsia="Times New Roman" w:hAnsi="Times New Roman" w:cs="Times New Roman"/>
      <w:lang w:val="en-US"/>
    </w:rPr>
  </w:style>
  <w:style w:type="paragraph" w:styleId="IndirizzoHTML">
    <w:name w:val="HTML Address"/>
    <w:basedOn w:val="Normale"/>
    <w:link w:val="IndirizzoHTMLCarattere"/>
    <w:uiPriority w:val="99"/>
    <w:unhideWhenUsed/>
    <w:rsid w:val="00C83007"/>
    <w:pPr>
      <w:spacing w:before="0" w:after="0"/>
      <w:jc w:val="left"/>
    </w:pPr>
    <w:rPr>
      <w:rFonts w:ascii="Times New Roman" w:hAnsi="Times New Roman"/>
      <w:i/>
      <w:iCs/>
      <w:sz w:val="24"/>
      <w:szCs w:val="24"/>
    </w:rPr>
  </w:style>
  <w:style w:type="character" w:customStyle="1" w:styleId="IndirizzoHTMLCarattere">
    <w:name w:val="Indirizzo HTML Carattere"/>
    <w:basedOn w:val="Carpredefinitoparagrafo"/>
    <w:link w:val="IndirizzoHTML"/>
    <w:uiPriority w:val="99"/>
    <w:rsid w:val="00C83007"/>
    <w:rPr>
      <w:rFonts w:ascii="Times New Roman" w:eastAsia="Times New Roman" w:hAnsi="Times New Roman" w:cs="Times New Roman"/>
      <w:i/>
      <w:iCs/>
      <w:sz w:val="24"/>
      <w:szCs w:val="24"/>
      <w:lang w:val="en-US"/>
    </w:rPr>
  </w:style>
  <w:style w:type="character" w:customStyle="1" w:styleId="titlebig1">
    <w:name w:val="titlebig1"/>
    <w:basedOn w:val="Carpredefinitoparagrafo"/>
    <w:rsid w:val="00C83007"/>
    <w:rPr>
      <w:rFonts w:ascii="Arial" w:hAnsi="Arial" w:cs="Arial" w:hint="default"/>
      <w:b/>
      <w:bCs/>
      <w:smallCaps/>
      <w:color w:val="F56624"/>
      <w:sz w:val="31"/>
      <w:szCs w:val="31"/>
      <w:lang w:val="pl-PL" w:eastAsia="pl-PL" w:bidi="ar-SA"/>
    </w:rPr>
  </w:style>
  <w:style w:type="character" w:customStyle="1" w:styleId="titlemed1">
    <w:name w:val="titlemed1"/>
    <w:basedOn w:val="Carpredefinitoparagrafo"/>
    <w:rsid w:val="00C83007"/>
    <w:rPr>
      <w:rFonts w:ascii="Arial" w:hAnsi="Arial" w:cs="Arial" w:hint="default"/>
      <w:b/>
      <w:bCs/>
      <w:smallCaps/>
      <w:color w:val="F56624"/>
      <w:sz w:val="25"/>
      <w:szCs w:val="25"/>
      <w:lang w:val="pl-PL" w:eastAsia="pl-PL" w:bidi="ar-SA"/>
    </w:rPr>
  </w:style>
  <w:style w:type="paragraph" w:customStyle="1" w:styleId="just">
    <w:name w:val="just"/>
    <w:basedOn w:val="Normale"/>
    <w:rsid w:val="00C83007"/>
    <w:pPr>
      <w:spacing w:before="100" w:beforeAutospacing="1" w:after="100" w:afterAutospacing="1"/>
      <w:jc w:val="left"/>
    </w:pPr>
    <w:rPr>
      <w:rFonts w:ascii="Arial" w:hAnsi="Arial" w:cs="Arial"/>
      <w:color w:val="000000"/>
      <w:sz w:val="20"/>
    </w:rPr>
  </w:style>
  <w:style w:type="character" w:customStyle="1" w:styleId="highlight">
    <w:name w:val="highlight"/>
    <w:basedOn w:val="Carpredefinitoparagrafo"/>
    <w:rsid w:val="00C83007"/>
    <w:rPr>
      <w:rFonts w:ascii="Garamond" w:hAnsi="Garamond"/>
      <w:smallCaps/>
      <w:sz w:val="22"/>
      <w:szCs w:val="24"/>
      <w:lang w:val="pl-PL" w:eastAsia="pl-PL" w:bidi="ar-SA"/>
    </w:rPr>
  </w:style>
  <w:style w:type="character" w:customStyle="1" w:styleId="excelimageindic">
    <w:name w:val="excelimage_indic"/>
    <w:basedOn w:val="Carpredefinitoparagrafo"/>
    <w:rsid w:val="00C83007"/>
    <w:rPr>
      <w:rFonts w:ascii="Garamond" w:hAnsi="Garamond"/>
      <w:smallCaps/>
      <w:sz w:val="22"/>
      <w:szCs w:val="24"/>
      <w:lang w:val="pl-PL" w:eastAsia="pl-PL" w:bidi="ar-SA"/>
    </w:rPr>
  </w:style>
  <w:style w:type="character" w:customStyle="1" w:styleId="text21">
    <w:name w:val="text21"/>
    <w:basedOn w:val="Carpredefinitoparagrafo"/>
    <w:rsid w:val="00C83007"/>
    <w:rPr>
      <w:rFonts w:ascii="Verdana" w:hAnsi="Verdana" w:hint="default"/>
      <w:smallCaps/>
      <w:sz w:val="15"/>
      <w:szCs w:val="15"/>
      <w:lang w:val="pl-PL" w:eastAsia="pl-PL" w:bidi="ar-SA"/>
    </w:rPr>
  </w:style>
  <w:style w:type="character" w:styleId="Rimandonotadichiusura">
    <w:name w:val="endnote reference"/>
    <w:basedOn w:val="Carpredefinitoparagrafo"/>
    <w:rsid w:val="00C83007"/>
    <w:rPr>
      <w:rFonts w:ascii="Garamond" w:hAnsi="Garamond"/>
      <w:smallCaps/>
      <w:sz w:val="22"/>
      <w:szCs w:val="24"/>
      <w:vertAlign w:val="superscript"/>
      <w:lang w:val="pl-PL" w:eastAsia="pl-PL" w:bidi="ar-SA"/>
    </w:rPr>
  </w:style>
  <w:style w:type="character" w:customStyle="1" w:styleId="CitadestacadaCar">
    <w:name w:val="Cita destacada Car"/>
    <w:basedOn w:val="Carpredefinitoparagrafo"/>
    <w:rsid w:val="00C83007"/>
    <w:rPr>
      <w:rFonts w:ascii="Bell MT" w:hAnsi="Bell MT"/>
      <w:b/>
      <w:bCs/>
      <w:i/>
      <w:iCs/>
      <w:smallCaps/>
      <w:noProof w:val="0"/>
      <w:color w:val="4F81BD"/>
      <w:sz w:val="23"/>
      <w:szCs w:val="24"/>
      <w:lang w:val="fr-FR" w:eastAsia="pl-PL" w:bidi="ar-SA"/>
    </w:rPr>
  </w:style>
  <w:style w:type="paragraph" w:customStyle="1" w:styleId="Emission">
    <w:name w:val="Emission"/>
    <w:basedOn w:val="Normale"/>
    <w:next w:val="Rfrenceinstitutionelle"/>
    <w:rsid w:val="00C83007"/>
    <w:pPr>
      <w:spacing w:before="0" w:after="0"/>
      <w:ind w:left="5103"/>
      <w:jc w:val="left"/>
    </w:pPr>
    <w:rPr>
      <w:rFonts w:ascii="Times New Roman" w:hAnsi="Times New Roman"/>
      <w:sz w:val="24"/>
      <w:lang w:val="en-GB"/>
    </w:rPr>
  </w:style>
  <w:style w:type="paragraph" w:customStyle="1" w:styleId="Rfrenceinstitutionelle">
    <w:name w:val="Référence institutionelle"/>
    <w:basedOn w:val="Normale"/>
    <w:next w:val="Normale"/>
    <w:rsid w:val="00C83007"/>
    <w:pPr>
      <w:spacing w:before="0" w:after="240"/>
      <w:ind w:left="5103"/>
      <w:jc w:val="left"/>
    </w:pPr>
    <w:rPr>
      <w:rFonts w:ascii="Times New Roman" w:hAnsi="Times New Roman"/>
      <w:sz w:val="24"/>
      <w:lang w:val="en-GB"/>
    </w:rPr>
  </w:style>
  <w:style w:type="character" w:customStyle="1" w:styleId="style61">
    <w:name w:val="style61"/>
    <w:basedOn w:val="Carpredefinitoparagrafo"/>
    <w:rsid w:val="00C83007"/>
    <w:rPr>
      <w:rFonts w:ascii="Arial" w:hAnsi="Arial" w:cs="Arial" w:hint="default"/>
      <w:b/>
      <w:bCs/>
      <w:smallCaps/>
      <w:color w:val="999999"/>
      <w:sz w:val="24"/>
      <w:szCs w:val="24"/>
      <w:lang w:val="pl-PL" w:eastAsia="pl-PL" w:bidi="ar-SA"/>
    </w:rPr>
  </w:style>
  <w:style w:type="paragraph" w:customStyle="1" w:styleId="StileTitolo5Titre5Giustificato">
    <w:name w:val="Stile Titolo 5Titre5 + Giustificato"/>
    <w:basedOn w:val="Titolo5"/>
    <w:rsid w:val="00C83007"/>
    <w:pPr>
      <w:keepNext/>
      <w:tabs>
        <w:tab w:val="left" w:pos="840"/>
        <w:tab w:val="left" w:pos="9780"/>
      </w:tabs>
      <w:spacing w:before="0" w:after="0"/>
      <w:jc w:val="both"/>
    </w:pPr>
    <w:rPr>
      <w:rFonts w:ascii="Times New Roman" w:hAnsi="Times New Roman"/>
      <w:b/>
      <w:bCs/>
      <w:caps w:val="0"/>
      <w:color w:val="auto"/>
      <w:spacing w:val="0"/>
      <w:lang w:val="en-GB"/>
    </w:rPr>
  </w:style>
  <w:style w:type="paragraph" w:customStyle="1" w:styleId="Citadestacada1">
    <w:name w:val="Cita destacada1"/>
    <w:basedOn w:val="Normale"/>
    <w:next w:val="Normale"/>
    <w:qFormat/>
    <w:rsid w:val="00C83007"/>
    <w:pPr>
      <w:pBdr>
        <w:bottom w:val="single" w:sz="4" w:space="4" w:color="4F81BD"/>
      </w:pBdr>
      <w:spacing w:before="200" w:after="280"/>
      <w:ind w:left="936" w:right="936"/>
    </w:pPr>
    <w:rPr>
      <w:b/>
      <w:i/>
      <w:color w:val="4F81BD"/>
      <w:szCs w:val="22"/>
      <w:lang w:val="en-GB"/>
    </w:rPr>
  </w:style>
  <w:style w:type="character" w:customStyle="1" w:styleId="texto">
    <w:name w:val="texto"/>
    <w:basedOn w:val="Carpredefinitoparagrafo"/>
    <w:rsid w:val="00C83007"/>
    <w:rPr>
      <w:rFonts w:ascii="Garamond" w:hAnsi="Garamond"/>
      <w:smallCaps/>
      <w:sz w:val="22"/>
      <w:szCs w:val="24"/>
      <w:lang w:val="pl-PL" w:eastAsia="pl-PL" w:bidi="ar-SA"/>
    </w:rPr>
  </w:style>
  <w:style w:type="paragraph" w:customStyle="1" w:styleId="CharCharChar">
    <w:name w:val="Char Char Char"/>
    <w:basedOn w:val="Normale"/>
    <w:next w:val="Normale"/>
    <w:rsid w:val="00C83007"/>
    <w:pPr>
      <w:spacing w:before="0" w:after="160" w:line="240" w:lineRule="exact"/>
      <w:jc w:val="center"/>
    </w:pPr>
    <w:rPr>
      <w:rFonts w:ascii="Tahoma" w:hAnsi="Tahoma"/>
      <w:b/>
      <w:sz w:val="24"/>
    </w:rPr>
  </w:style>
  <w:style w:type="character" w:customStyle="1" w:styleId="text">
    <w:name w:val="text"/>
    <w:basedOn w:val="Carpredefinitoparagrafo"/>
    <w:rsid w:val="00C83007"/>
    <w:rPr>
      <w:rFonts w:ascii="Garamond" w:hAnsi="Garamond"/>
      <w:smallCaps/>
      <w:sz w:val="22"/>
      <w:szCs w:val="24"/>
      <w:lang w:val="pl-PL" w:eastAsia="pl-PL" w:bidi="ar-SA"/>
    </w:rPr>
  </w:style>
  <w:style w:type="numbering" w:customStyle="1" w:styleId="Style15">
    <w:name w:val="Style15"/>
    <w:uiPriority w:val="99"/>
    <w:rsid w:val="00C83007"/>
    <w:pPr>
      <w:numPr>
        <w:numId w:val="18"/>
      </w:numPr>
    </w:pPr>
  </w:style>
  <w:style w:type="paragraph" w:customStyle="1" w:styleId="Char2CharCharCharCharCharCharCarCarChar">
    <w:name w:val="Char2 Char Char Char Char Char Char Car Car Char"/>
    <w:basedOn w:val="Normale"/>
    <w:next w:val="Normale"/>
    <w:autoRedefine/>
    <w:rsid w:val="00C83007"/>
    <w:pPr>
      <w:tabs>
        <w:tab w:val="num" w:pos="432"/>
      </w:tabs>
      <w:spacing w:after="160" w:line="240" w:lineRule="exact"/>
      <w:ind w:left="432" w:hanging="432"/>
      <w:jc w:val="left"/>
    </w:pPr>
    <w:rPr>
      <w:rFonts w:ascii="Garamond" w:hAnsi="Garamond" w:cs="Arial"/>
      <w:b/>
      <w:sz w:val="24"/>
      <w:lang w:val="es-ES" w:eastAsia="es-ES"/>
    </w:rPr>
  </w:style>
  <w:style w:type="paragraph" w:customStyle="1" w:styleId="StileTitolo1prima6ptDopo6ptInferioreNessunbordo">
    <w:name w:val="Stile Titolo 1 + prima 6 pt Dopo:  6 pt Inferiore: (Nessun bordo)"/>
    <w:basedOn w:val="Titolo1"/>
    <w:uiPriority w:val="99"/>
    <w:rsid w:val="00C83007"/>
    <w:pPr>
      <w:keepNext w:val="0"/>
      <w:keepLines w:val="0"/>
      <w:overflowPunct/>
      <w:autoSpaceDE/>
      <w:autoSpaceDN/>
      <w:adjustRightInd/>
      <w:textAlignment w:val="auto"/>
    </w:pPr>
    <w:rPr>
      <w:rFonts w:ascii="Garamond" w:hAnsi="Garamond"/>
      <w:bCs/>
      <w:color w:val="auto"/>
      <w:spacing w:val="0"/>
      <w:kern w:val="0"/>
      <w:szCs w:val="20"/>
      <w:lang w:val="fr-FR" w:eastAsia="fr-FR"/>
    </w:rPr>
  </w:style>
  <w:style w:type="paragraph" w:customStyle="1" w:styleId="Pa23">
    <w:name w:val="Pa23"/>
    <w:basedOn w:val="Normale"/>
    <w:next w:val="Normale"/>
    <w:rsid w:val="00C83007"/>
    <w:pPr>
      <w:widowControl w:val="0"/>
      <w:autoSpaceDE w:val="0"/>
      <w:autoSpaceDN w:val="0"/>
      <w:adjustRightInd w:val="0"/>
      <w:spacing w:before="0" w:after="80" w:line="220" w:lineRule="atLeast"/>
      <w:jc w:val="left"/>
    </w:pPr>
    <w:rPr>
      <w:rFonts w:ascii="Times New Roman PS MT" w:hAnsi="Times New Roman PS MT"/>
      <w:sz w:val="24"/>
      <w:lang w:val="es-ES_tradnl"/>
    </w:rPr>
  </w:style>
  <w:style w:type="paragraph" w:customStyle="1" w:styleId="Pa14">
    <w:name w:val="Pa14"/>
    <w:basedOn w:val="Normale"/>
    <w:next w:val="Normale"/>
    <w:rsid w:val="00C83007"/>
    <w:pPr>
      <w:widowControl w:val="0"/>
      <w:autoSpaceDE w:val="0"/>
      <w:autoSpaceDN w:val="0"/>
      <w:adjustRightInd w:val="0"/>
      <w:spacing w:before="0" w:after="100" w:line="220" w:lineRule="atLeast"/>
      <w:jc w:val="left"/>
    </w:pPr>
    <w:rPr>
      <w:rFonts w:ascii="Times New Roman PS MT" w:hAnsi="Times New Roman PS MT"/>
      <w:sz w:val="24"/>
      <w:lang w:val="es-ES_tradnl"/>
    </w:rPr>
  </w:style>
  <w:style w:type="paragraph" w:customStyle="1" w:styleId="Pa7">
    <w:name w:val="Pa7"/>
    <w:basedOn w:val="Default"/>
    <w:next w:val="Default"/>
    <w:rsid w:val="00C83007"/>
    <w:pPr>
      <w:widowControl w:val="0"/>
      <w:spacing w:before="0" w:after="100" w:line="220" w:lineRule="atLeast"/>
      <w:jc w:val="left"/>
    </w:pPr>
    <w:rPr>
      <w:rFonts w:ascii="Times New Roman PS MT" w:hAnsi="Times New Roman PS MT" w:cs="Times New Roman"/>
      <w:color w:val="auto"/>
      <w:szCs w:val="20"/>
      <w:lang w:val="es-ES_tradnl"/>
    </w:rPr>
  </w:style>
  <w:style w:type="character" w:customStyle="1" w:styleId="systranseg">
    <w:name w:val="systran_seg"/>
    <w:basedOn w:val="Carpredefinitoparagrafo"/>
    <w:rsid w:val="00C83007"/>
  </w:style>
  <w:style w:type="character" w:customStyle="1" w:styleId="systrantokenword">
    <w:name w:val="systran_token_word"/>
    <w:basedOn w:val="Carpredefinitoparagrafo"/>
    <w:rsid w:val="00C83007"/>
  </w:style>
  <w:style w:type="character" w:customStyle="1" w:styleId="systrantokennumeric">
    <w:name w:val="systran_token_numeric"/>
    <w:basedOn w:val="Carpredefinitoparagrafo"/>
    <w:rsid w:val="00C83007"/>
  </w:style>
  <w:style w:type="character" w:customStyle="1" w:styleId="systrantokenpunctuation">
    <w:name w:val="systran_token_punctuation"/>
    <w:basedOn w:val="Carpredefinitoparagrafo"/>
    <w:rsid w:val="00C83007"/>
  </w:style>
  <w:style w:type="character" w:customStyle="1" w:styleId="systranaltmeaning">
    <w:name w:val="systran_altmeaning"/>
    <w:basedOn w:val="Carpredefinitoparagrafo"/>
    <w:rsid w:val="00C83007"/>
  </w:style>
  <w:style w:type="paragraph" w:customStyle="1" w:styleId="Paragrafoelenco1">
    <w:name w:val="Paragrafo elenco1"/>
    <w:basedOn w:val="Normale"/>
    <w:rsid w:val="00C83007"/>
    <w:pPr>
      <w:ind w:left="720"/>
      <w:contextualSpacing/>
    </w:pPr>
    <w:rPr>
      <w:rFonts w:eastAsia="Calibri"/>
    </w:rPr>
  </w:style>
  <w:style w:type="character" w:customStyle="1" w:styleId="field-content">
    <w:name w:val="field-content"/>
    <w:basedOn w:val="Carpredefinitoparagrafo"/>
    <w:rsid w:val="00C83007"/>
  </w:style>
  <w:style w:type="table" w:customStyle="1" w:styleId="Sfondochiaro-Colore11">
    <w:name w:val="Sfondo chiaro - Colore 11"/>
    <w:basedOn w:val="Tabellanormale"/>
    <w:uiPriority w:val="60"/>
    <w:rsid w:val="00C83007"/>
    <w:pPr>
      <w:jc w:val="left"/>
    </w:pPr>
    <w:rPr>
      <w:rFonts w:ascii="Cambria" w:eastAsia="Calibri" w:hAnsi="Cambria" w:cs="Times New Roman"/>
      <w:color w:val="365F91"/>
      <w:sz w:val="20"/>
      <w:szCs w:val="20"/>
      <w:lang w:eastAsia="it-IT"/>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character" w:customStyle="1" w:styleId="googqs-tidbit1">
    <w:name w:val="goog_qs-tidbit1"/>
    <w:basedOn w:val="Carpredefinitoparagrafo"/>
    <w:rsid w:val="00C83007"/>
    <w:rPr>
      <w:vanish w:val="0"/>
      <w:webHidden w:val="0"/>
      <w:specVanish w:val="0"/>
    </w:rPr>
  </w:style>
  <w:style w:type="paragraph" w:customStyle="1" w:styleId="EQs">
    <w:name w:val="EQs"/>
    <w:basedOn w:val="Normale"/>
    <w:next w:val="Corpodeltesto"/>
    <w:qFormat/>
    <w:rsid w:val="00C83007"/>
    <w:pPr>
      <w:spacing w:before="60" w:after="60"/>
      <w:contextualSpacing/>
    </w:pPr>
    <w:rPr>
      <w:rFonts w:ascii="Arial" w:hAnsi="Arial" w:cs="Arial"/>
      <w:i/>
      <w:color w:val="000000"/>
      <w:lang w:val="en-GB" w:eastAsia="en-GB"/>
    </w:rPr>
  </w:style>
  <w:style w:type="paragraph" w:styleId="Revisione">
    <w:name w:val="Revision"/>
    <w:hidden/>
    <w:uiPriority w:val="99"/>
    <w:semiHidden/>
    <w:rsid w:val="00C83007"/>
    <w:pPr>
      <w:jc w:val="left"/>
    </w:pPr>
    <w:rPr>
      <w:rFonts w:ascii="Bell MT" w:eastAsia="Times New Roman" w:hAnsi="Bell MT" w:cs="Times New Roman"/>
      <w:szCs w:val="20"/>
      <w:lang w:val="en-US"/>
    </w:rPr>
  </w:style>
  <w:style w:type="character" w:customStyle="1" w:styleId="textonoticia1">
    <w:name w:val="texto_noticia1"/>
    <w:basedOn w:val="Carpredefinitoparagrafo"/>
    <w:rsid w:val="00C83007"/>
    <w:rPr>
      <w:rFonts w:ascii="Verdana" w:hAnsi="Verdana" w:hint="default"/>
      <w:color w:val="000000"/>
      <w:sz w:val="17"/>
      <w:szCs w:val="17"/>
    </w:rPr>
  </w:style>
  <w:style w:type="paragraph" w:customStyle="1" w:styleId="Heading11">
    <w:name w:val="Heading 11"/>
    <w:aliases w:val="Titre11"/>
    <w:basedOn w:val="Normale"/>
    <w:next w:val="Normale"/>
    <w:autoRedefine/>
    <w:rsid w:val="00C83007"/>
    <w:pPr>
      <w:keepNext/>
      <w:keepLines/>
      <w:numPr>
        <w:numId w:val="19"/>
      </w:numPr>
      <w:tabs>
        <w:tab w:val="left" w:pos="4700"/>
      </w:tabs>
      <w:overflowPunct w:val="0"/>
      <w:autoSpaceDE w:val="0"/>
      <w:autoSpaceDN w:val="0"/>
      <w:adjustRightInd w:val="0"/>
      <w:spacing w:before="240" w:after="240" w:line="276" w:lineRule="auto"/>
      <w:jc w:val="left"/>
      <w:textAlignment w:val="baseline"/>
      <w:outlineLvl w:val="0"/>
    </w:pPr>
    <w:rPr>
      <w:rFonts w:eastAsia="Calibri"/>
      <w:b/>
      <w:caps/>
      <w:color w:val="365F91"/>
      <w:kern w:val="28"/>
      <w:sz w:val="24"/>
      <w:szCs w:val="22"/>
      <w:u w:val="single"/>
      <w:lang w:val="fr-FR" w:eastAsia="pl-PL"/>
    </w:rPr>
  </w:style>
  <w:style w:type="paragraph" w:customStyle="1" w:styleId="Farvetliste-fremhvningsfarve11">
    <w:name w:val="Farvet liste - fremhævningsfarve 11"/>
    <w:basedOn w:val="Normale"/>
    <w:uiPriority w:val="34"/>
    <w:rsid w:val="00C83007"/>
    <w:pPr>
      <w:spacing w:before="0" w:after="200" w:line="276" w:lineRule="auto"/>
      <w:ind w:left="720"/>
      <w:jc w:val="left"/>
    </w:pPr>
    <w:rPr>
      <w:rFonts w:ascii="Calibri" w:eastAsia="Calibri" w:hAnsi="Calibri"/>
      <w:szCs w:val="22"/>
    </w:rPr>
  </w:style>
  <w:style w:type="paragraph" w:customStyle="1" w:styleId="Listeafsnit1">
    <w:name w:val="Listeafsnit1"/>
    <w:basedOn w:val="Normale"/>
    <w:uiPriority w:val="34"/>
    <w:rsid w:val="00C83007"/>
    <w:pPr>
      <w:spacing w:before="0" w:after="200" w:line="276" w:lineRule="auto"/>
      <w:ind w:left="720"/>
      <w:contextualSpacing/>
      <w:jc w:val="left"/>
    </w:pPr>
    <w:rPr>
      <w:rFonts w:ascii="Calibri" w:eastAsia="Calibri" w:hAnsi="Calibri"/>
      <w:szCs w:val="22"/>
    </w:rPr>
  </w:style>
  <w:style w:type="character" w:customStyle="1" w:styleId="defaultstyles">
    <w:name w:val="defaultstyles"/>
    <w:basedOn w:val="Carpredefinitoparagrafo"/>
    <w:rsid w:val="00C83007"/>
  </w:style>
  <w:style w:type="paragraph" w:customStyle="1" w:styleId="Logro">
    <w:name w:val="Logro"/>
    <w:basedOn w:val="Corpodeltesto"/>
    <w:rsid w:val="00C83007"/>
    <w:pPr>
      <w:numPr>
        <w:numId w:val="20"/>
      </w:numPr>
      <w:tabs>
        <w:tab w:val="clear" w:pos="360"/>
      </w:tabs>
      <w:spacing w:before="0" w:line="276" w:lineRule="auto"/>
      <w:ind w:left="0" w:right="0" w:firstLine="0"/>
    </w:pPr>
    <w:rPr>
      <w:rFonts w:ascii="Calibri" w:eastAsia="Calibri" w:hAnsi="Calibri"/>
      <w:i w:val="0"/>
      <w:iCs w:val="0"/>
      <w:szCs w:val="22"/>
      <w:lang w:val="fr-FR"/>
    </w:rPr>
  </w:style>
  <w:style w:type="character" w:customStyle="1" w:styleId="PuntoelencoCarattere">
    <w:name w:val="Punto elenco Carattere"/>
    <w:basedOn w:val="Carpredefinitoparagrafo"/>
    <w:link w:val="Puntoelenco"/>
    <w:locked/>
    <w:rsid w:val="00C83007"/>
    <w:rPr>
      <w:rFonts w:ascii="Cambria" w:eastAsia="Times New Roman" w:hAnsi="Cambria" w:cs="Times New Roman"/>
      <w:color w:val="FF0000"/>
      <w:sz w:val="21"/>
      <w:szCs w:val="20"/>
      <w:lang w:val="en-US"/>
    </w:rPr>
  </w:style>
  <w:style w:type="paragraph" w:customStyle="1" w:styleId="StyleStyleRsum105ptNonGrasJustifiAvant0pt105p">
    <w:name w:val="Style Style Résumé + 105 pt Non Gras Justifié Avant : 0 pt + 105 p..."/>
    <w:basedOn w:val="Default"/>
    <w:next w:val="Default"/>
    <w:uiPriority w:val="99"/>
    <w:rsid w:val="00C83007"/>
    <w:pPr>
      <w:spacing w:before="0" w:after="0"/>
      <w:jc w:val="left"/>
    </w:pPr>
    <w:rPr>
      <w:rFonts w:eastAsia="Calibri" w:cs="Times New Roman"/>
      <w:color w:val="auto"/>
      <w:lang w:val="it-IT"/>
    </w:rPr>
  </w:style>
  <w:style w:type="table" w:customStyle="1" w:styleId="MediumShading1-Accent12">
    <w:name w:val="Medium Shading 1 - Accent 12"/>
    <w:basedOn w:val="Tabellanormale"/>
    <w:uiPriority w:val="63"/>
    <w:rsid w:val="00C83007"/>
    <w:pPr>
      <w:jc w:val="left"/>
    </w:pPr>
    <w:rPr>
      <w:rFonts w:ascii="Calibri" w:eastAsia="Calibri" w:hAnsi="Calibri" w:cs="Times New Roman"/>
      <w:sz w:val="20"/>
      <w:szCs w:val="20"/>
      <w:lang w:val="en-GB" w:eastAsia="it-IT"/>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xl63">
    <w:name w:val="xl63"/>
    <w:basedOn w:val="Normale"/>
    <w:rsid w:val="00C83007"/>
    <w:pPr>
      <w:spacing w:before="100" w:beforeAutospacing="1" w:after="100" w:afterAutospacing="1"/>
      <w:jc w:val="center"/>
      <w:textAlignment w:val="center"/>
    </w:pPr>
    <w:rPr>
      <w:rFonts w:ascii="Times New Roman" w:hAnsi="Times New Roman"/>
      <w:sz w:val="18"/>
      <w:szCs w:val="18"/>
    </w:rPr>
  </w:style>
  <w:style w:type="paragraph" w:customStyle="1" w:styleId="xl64">
    <w:name w:val="xl64"/>
    <w:basedOn w:val="Normale"/>
    <w:rsid w:val="00C83007"/>
    <w:pPr>
      <w:spacing w:before="100" w:beforeAutospacing="1" w:after="100" w:afterAutospacing="1"/>
      <w:jc w:val="center"/>
      <w:textAlignment w:val="center"/>
    </w:pPr>
    <w:rPr>
      <w:rFonts w:ascii="Times New Roman" w:hAnsi="Times New Roman"/>
      <w:color w:val="C0504D"/>
      <w:sz w:val="18"/>
      <w:szCs w:val="18"/>
    </w:rPr>
  </w:style>
  <w:style w:type="paragraph" w:customStyle="1" w:styleId="xl65">
    <w:name w:val="xl65"/>
    <w:basedOn w:val="Normale"/>
    <w:rsid w:val="00C83007"/>
    <w:pPr>
      <w:spacing w:before="100" w:beforeAutospacing="1" w:after="100" w:afterAutospacing="1"/>
      <w:jc w:val="center"/>
      <w:textAlignment w:val="center"/>
    </w:pPr>
    <w:rPr>
      <w:rFonts w:ascii="Times New Roman" w:hAnsi="Times New Roman"/>
      <w:color w:val="FF0000"/>
      <w:sz w:val="18"/>
      <w:szCs w:val="18"/>
    </w:rPr>
  </w:style>
  <w:style w:type="paragraph" w:customStyle="1" w:styleId="xl66">
    <w:name w:val="xl66"/>
    <w:basedOn w:val="Normale"/>
    <w:rsid w:val="00C83007"/>
    <w:pPr>
      <w:spacing w:before="100" w:beforeAutospacing="1" w:after="100" w:afterAutospacing="1"/>
      <w:jc w:val="left"/>
    </w:pPr>
    <w:rPr>
      <w:rFonts w:ascii="Times New Roman" w:hAnsi="Times New Roman"/>
      <w:sz w:val="18"/>
      <w:szCs w:val="18"/>
    </w:rPr>
  </w:style>
  <w:style w:type="paragraph" w:customStyle="1" w:styleId="xl67">
    <w:name w:val="xl67"/>
    <w:basedOn w:val="Normale"/>
    <w:rsid w:val="00C83007"/>
    <w:pPr>
      <w:spacing w:before="100" w:beforeAutospacing="1" w:after="100" w:afterAutospacing="1"/>
      <w:jc w:val="center"/>
      <w:textAlignment w:val="center"/>
    </w:pPr>
    <w:rPr>
      <w:rFonts w:ascii="Times New Roman" w:hAnsi="Times New Roman"/>
      <w:sz w:val="18"/>
      <w:szCs w:val="18"/>
    </w:rPr>
  </w:style>
  <w:style w:type="paragraph" w:customStyle="1" w:styleId="xl68">
    <w:name w:val="xl68"/>
    <w:basedOn w:val="Normale"/>
    <w:rsid w:val="00C83007"/>
    <w:pPr>
      <w:spacing w:before="100" w:beforeAutospacing="1" w:after="100" w:afterAutospacing="1"/>
      <w:jc w:val="left"/>
      <w:textAlignment w:val="center"/>
    </w:pPr>
    <w:rPr>
      <w:rFonts w:ascii="Times New Roman" w:hAnsi="Times New Roman"/>
      <w:sz w:val="18"/>
      <w:szCs w:val="18"/>
    </w:rPr>
  </w:style>
  <w:style w:type="paragraph" w:customStyle="1" w:styleId="xl69">
    <w:name w:val="xl69"/>
    <w:basedOn w:val="Normale"/>
    <w:rsid w:val="00C83007"/>
    <w:pPr>
      <w:spacing w:before="100" w:beforeAutospacing="1" w:after="100" w:afterAutospacing="1"/>
      <w:jc w:val="center"/>
      <w:textAlignment w:val="center"/>
    </w:pPr>
    <w:rPr>
      <w:rFonts w:ascii="Times New Roman" w:hAnsi="Times New Roman"/>
      <w:sz w:val="18"/>
      <w:szCs w:val="18"/>
    </w:rPr>
  </w:style>
  <w:style w:type="paragraph" w:customStyle="1" w:styleId="xl70">
    <w:name w:val="xl70"/>
    <w:basedOn w:val="Normale"/>
    <w:rsid w:val="00C83007"/>
    <w:pPr>
      <w:spacing w:before="100" w:beforeAutospacing="1" w:after="100" w:afterAutospacing="1"/>
      <w:jc w:val="center"/>
      <w:textAlignment w:val="center"/>
    </w:pPr>
    <w:rPr>
      <w:rFonts w:ascii="Times New Roman" w:hAnsi="Times New Roman"/>
      <w:b/>
      <w:bCs/>
      <w:sz w:val="18"/>
      <w:szCs w:val="18"/>
    </w:rPr>
  </w:style>
  <w:style w:type="paragraph" w:customStyle="1" w:styleId="xl71">
    <w:name w:val="xl71"/>
    <w:basedOn w:val="Normale"/>
    <w:rsid w:val="00C83007"/>
    <w:pPr>
      <w:pBdr>
        <w:left w:val="single" w:sz="4" w:space="0" w:color="auto"/>
        <w:bottom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72">
    <w:name w:val="xl72"/>
    <w:basedOn w:val="Normale"/>
    <w:rsid w:val="00C83007"/>
    <w:pPr>
      <w:pBdr>
        <w:top w:val="single" w:sz="12" w:space="0" w:color="376091"/>
        <w:left w:val="single" w:sz="12" w:space="0" w:color="376091"/>
        <w:bottom w:val="single" w:sz="8" w:space="0" w:color="376091"/>
      </w:pBdr>
      <w:shd w:val="clear" w:color="000000" w:fill="376091"/>
      <w:spacing w:before="100" w:beforeAutospacing="1" w:after="100" w:afterAutospacing="1"/>
      <w:jc w:val="center"/>
      <w:textAlignment w:val="center"/>
    </w:pPr>
    <w:rPr>
      <w:rFonts w:ascii="Times New Roman" w:hAnsi="Times New Roman"/>
      <w:b/>
      <w:bCs/>
      <w:color w:val="FFFFFF"/>
      <w:sz w:val="18"/>
      <w:szCs w:val="18"/>
    </w:rPr>
  </w:style>
  <w:style w:type="paragraph" w:customStyle="1" w:styleId="xl73">
    <w:name w:val="xl73"/>
    <w:basedOn w:val="Normale"/>
    <w:rsid w:val="00C83007"/>
    <w:pPr>
      <w:pBdr>
        <w:top w:val="single" w:sz="12" w:space="0" w:color="376091"/>
        <w:bottom w:val="single" w:sz="8" w:space="0" w:color="376091"/>
      </w:pBdr>
      <w:shd w:val="clear" w:color="000000" w:fill="376091"/>
      <w:spacing w:before="100" w:beforeAutospacing="1" w:after="100" w:afterAutospacing="1"/>
      <w:jc w:val="center"/>
      <w:textAlignment w:val="center"/>
    </w:pPr>
    <w:rPr>
      <w:rFonts w:ascii="Times New Roman" w:hAnsi="Times New Roman"/>
      <w:b/>
      <w:bCs/>
      <w:color w:val="FFFFFF"/>
      <w:sz w:val="18"/>
      <w:szCs w:val="18"/>
    </w:rPr>
  </w:style>
  <w:style w:type="paragraph" w:customStyle="1" w:styleId="xl74">
    <w:name w:val="xl74"/>
    <w:basedOn w:val="Normale"/>
    <w:rsid w:val="00C83007"/>
    <w:pPr>
      <w:pBdr>
        <w:top w:val="single" w:sz="12" w:space="0" w:color="376091"/>
        <w:bottom w:val="single" w:sz="8" w:space="0" w:color="376091"/>
      </w:pBdr>
      <w:shd w:val="clear" w:color="000000" w:fill="376091"/>
      <w:spacing w:before="100" w:beforeAutospacing="1" w:after="100" w:afterAutospacing="1"/>
      <w:jc w:val="center"/>
      <w:textAlignment w:val="center"/>
    </w:pPr>
    <w:rPr>
      <w:rFonts w:ascii="Times New Roman" w:hAnsi="Times New Roman"/>
      <w:b/>
      <w:bCs/>
      <w:color w:val="FFFFFF"/>
      <w:sz w:val="18"/>
      <w:szCs w:val="18"/>
    </w:rPr>
  </w:style>
  <w:style w:type="paragraph" w:customStyle="1" w:styleId="xl75">
    <w:name w:val="xl75"/>
    <w:basedOn w:val="Normale"/>
    <w:rsid w:val="00C83007"/>
    <w:pPr>
      <w:pBdr>
        <w:top w:val="single" w:sz="12" w:space="0" w:color="376091"/>
        <w:bottom w:val="single" w:sz="8" w:space="0" w:color="376091"/>
        <w:right w:val="single" w:sz="12" w:space="0" w:color="376091"/>
      </w:pBdr>
      <w:shd w:val="clear" w:color="000000" w:fill="376091"/>
      <w:spacing w:before="100" w:beforeAutospacing="1" w:after="100" w:afterAutospacing="1"/>
      <w:jc w:val="center"/>
      <w:textAlignment w:val="center"/>
    </w:pPr>
    <w:rPr>
      <w:rFonts w:ascii="Times New Roman" w:hAnsi="Times New Roman"/>
      <w:b/>
      <w:bCs/>
      <w:color w:val="FFFFFF"/>
      <w:sz w:val="18"/>
      <w:szCs w:val="18"/>
    </w:rPr>
  </w:style>
  <w:style w:type="paragraph" w:customStyle="1" w:styleId="xl76">
    <w:name w:val="xl76"/>
    <w:basedOn w:val="Normale"/>
    <w:rsid w:val="00C83007"/>
    <w:pPr>
      <w:pBdr>
        <w:top w:val="single" w:sz="8" w:space="0" w:color="376091"/>
        <w:bottom w:val="single" w:sz="8" w:space="0" w:color="376091"/>
      </w:pBdr>
      <w:shd w:val="clear" w:color="000000" w:fill="C5D9F1"/>
      <w:spacing w:before="100" w:beforeAutospacing="1" w:after="100" w:afterAutospacing="1"/>
      <w:jc w:val="center"/>
      <w:textAlignment w:val="center"/>
    </w:pPr>
    <w:rPr>
      <w:rFonts w:ascii="Times New Roman" w:hAnsi="Times New Roman"/>
      <w:sz w:val="18"/>
      <w:szCs w:val="18"/>
    </w:rPr>
  </w:style>
  <w:style w:type="paragraph" w:customStyle="1" w:styleId="xl77">
    <w:name w:val="xl77"/>
    <w:basedOn w:val="Normale"/>
    <w:rsid w:val="00C83007"/>
    <w:pPr>
      <w:pBdr>
        <w:top w:val="single" w:sz="8" w:space="0" w:color="376091"/>
        <w:bottom w:val="single" w:sz="8" w:space="0" w:color="376091"/>
      </w:pBdr>
      <w:shd w:val="clear" w:color="000000" w:fill="C5D9F1"/>
      <w:spacing w:before="100" w:beforeAutospacing="1" w:after="100" w:afterAutospacing="1"/>
      <w:jc w:val="left"/>
      <w:textAlignment w:val="center"/>
    </w:pPr>
    <w:rPr>
      <w:rFonts w:ascii="Times New Roman" w:hAnsi="Times New Roman"/>
      <w:sz w:val="18"/>
      <w:szCs w:val="18"/>
    </w:rPr>
  </w:style>
  <w:style w:type="paragraph" w:customStyle="1" w:styleId="xl78">
    <w:name w:val="xl78"/>
    <w:basedOn w:val="Normale"/>
    <w:rsid w:val="00C83007"/>
    <w:pPr>
      <w:pBdr>
        <w:top w:val="single" w:sz="8" w:space="0" w:color="376091"/>
        <w:bottom w:val="single" w:sz="8" w:space="0" w:color="376091"/>
      </w:pBdr>
      <w:shd w:val="clear" w:color="000000" w:fill="C5D9F1"/>
      <w:spacing w:before="100" w:beforeAutospacing="1" w:after="100" w:afterAutospacing="1"/>
      <w:jc w:val="center"/>
      <w:textAlignment w:val="center"/>
    </w:pPr>
    <w:rPr>
      <w:rFonts w:ascii="Times New Roman" w:hAnsi="Times New Roman"/>
      <w:sz w:val="18"/>
      <w:szCs w:val="18"/>
    </w:rPr>
  </w:style>
  <w:style w:type="paragraph" w:customStyle="1" w:styleId="xl79">
    <w:name w:val="xl79"/>
    <w:basedOn w:val="Normale"/>
    <w:rsid w:val="00C83007"/>
    <w:pPr>
      <w:pBdr>
        <w:top w:val="single" w:sz="8" w:space="0" w:color="376091"/>
        <w:bottom w:val="single" w:sz="8" w:space="0" w:color="376091"/>
        <w:right w:val="single" w:sz="12" w:space="0" w:color="376091"/>
      </w:pBdr>
      <w:shd w:val="clear" w:color="000000" w:fill="C5D9F1"/>
      <w:spacing w:before="100" w:beforeAutospacing="1" w:after="100" w:afterAutospacing="1"/>
      <w:jc w:val="center"/>
      <w:textAlignment w:val="center"/>
    </w:pPr>
    <w:rPr>
      <w:rFonts w:ascii="Times New Roman" w:hAnsi="Times New Roman"/>
      <w:sz w:val="18"/>
      <w:szCs w:val="18"/>
    </w:rPr>
  </w:style>
  <w:style w:type="paragraph" w:customStyle="1" w:styleId="xl80">
    <w:name w:val="xl80"/>
    <w:basedOn w:val="Normale"/>
    <w:rsid w:val="00C83007"/>
    <w:pPr>
      <w:pBdr>
        <w:top w:val="single" w:sz="8" w:space="0" w:color="376091"/>
        <w:bottom w:val="single" w:sz="8" w:space="0" w:color="376091"/>
      </w:pBdr>
      <w:spacing w:before="100" w:beforeAutospacing="1" w:after="100" w:afterAutospacing="1"/>
      <w:jc w:val="center"/>
      <w:textAlignment w:val="center"/>
    </w:pPr>
    <w:rPr>
      <w:rFonts w:ascii="Times New Roman" w:hAnsi="Times New Roman"/>
      <w:sz w:val="18"/>
      <w:szCs w:val="18"/>
    </w:rPr>
  </w:style>
  <w:style w:type="paragraph" w:customStyle="1" w:styleId="xl81">
    <w:name w:val="xl81"/>
    <w:basedOn w:val="Normale"/>
    <w:rsid w:val="00C83007"/>
    <w:pPr>
      <w:pBdr>
        <w:top w:val="single" w:sz="8" w:space="0" w:color="376091"/>
        <w:bottom w:val="single" w:sz="8" w:space="0" w:color="376091"/>
      </w:pBdr>
      <w:spacing w:before="100" w:beforeAutospacing="1" w:after="100" w:afterAutospacing="1"/>
      <w:jc w:val="left"/>
      <w:textAlignment w:val="center"/>
    </w:pPr>
    <w:rPr>
      <w:rFonts w:ascii="Times New Roman" w:hAnsi="Times New Roman"/>
      <w:sz w:val="18"/>
      <w:szCs w:val="18"/>
    </w:rPr>
  </w:style>
  <w:style w:type="paragraph" w:customStyle="1" w:styleId="xl82">
    <w:name w:val="xl82"/>
    <w:basedOn w:val="Normale"/>
    <w:rsid w:val="00C83007"/>
    <w:pPr>
      <w:pBdr>
        <w:top w:val="single" w:sz="8" w:space="0" w:color="376091"/>
        <w:bottom w:val="single" w:sz="8" w:space="0" w:color="376091"/>
      </w:pBdr>
      <w:spacing w:before="100" w:beforeAutospacing="1" w:after="100" w:afterAutospacing="1"/>
      <w:jc w:val="center"/>
      <w:textAlignment w:val="center"/>
    </w:pPr>
    <w:rPr>
      <w:rFonts w:ascii="Times New Roman" w:hAnsi="Times New Roman"/>
      <w:sz w:val="18"/>
      <w:szCs w:val="18"/>
    </w:rPr>
  </w:style>
  <w:style w:type="paragraph" w:customStyle="1" w:styleId="xl83">
    <w:name w:val="xl83"/>
    <w:basedOn w:val="Normale"/>
    <w:rsid w:val="00C83007"/>
    <w:pPr>
      <w:pBdr>
        <w:top w:val="single" w:sz="8" w:space="0" w:color="376091"/>
        <w:bottom w:val="single" w:sz="8" w:space="0" w:color="376091"/>
        <w:right w:val="single" w:sz="12" w:space="0" w:color="376091"/>
      </w:pBdr>
      <w:spacing w:before="100" w:beforeAutospacing="1" w:after="100" w:afterAutospacing="1"/>
      <w:jc w:val="center"/>
      <w:textAlignment w:val="center"/>
    </w:pPr>
    <w:rPr>
      <w:rFonts w:ascii="Times New Roman" w:hAnsi="Times New Roman"/>
      <w:sz w:val="18"/>
      <w:szCs w:val="18"/>
    </w:rPr>
  </w:style>
  <w:style w:type="paragraph" w:customStyle="1" w:styleId="xl84">
    <w:name w:val="xl84"/>
    <w:basedOn w:val="Normale"/>
    <w:rsid w:val="00C83007"/>
    <w:pPr>
      <w:pBdr>
        <w:top w:val="single" w:sz="8" w:space="0" w:color="376091"/>
        <w:bottom w:val="single" w:sz="12" w:space="0" w:color="376091"/>
      </w:pBdr>
      <w:shd w:val="clear" w:color="000000" w:fill="C5D9F1"/>
      <w:spacing w:before="100" w:beforeAutospacing="1" w:after="100" w:afterAutospacing="1"/>
      <w:jc w:val="center"/>
      <w:textAlignment w:val="center"/>
    </w:pPr>
    <w:rPr>
      <w:rFonts w:ascii="Times New Roman" w:hAnsi="Times New Roman"/>
      <w:sz w:val="18"/>
      <w:szCs w:val="18"/>
    </w:rPr>
  </w:style>
  <w:style w:type="paragraph" w:customStyle="1" w:styleId="xl85">
    <w:name w:val="xl85"/>
    <w:basedOn w:val="Normale"/>
    <w:rsid w:val="00C83007"/>
    <w:pPr>
      <w:pBdr>
        <w:top w:val="single" w:sz="8" w:space="0" w:color="376091"/>
        <w:bottom w:val="single" w:sz="12" w:space="0" w:color="376091"/>
      </w:pBdr>
      <w:shd w:val="clear" w:color="000000" w:fill="C5D9F1"/>
      <w:spacing w:before="100" w:beforeAutospacing="1" w:after="100" w:afterAutospacing="1"/>
      <w:jc w:val="left"/>
      <w:textAlignment w:val="center"/>
    </w:pPr>
    <w:rPr>
      <w:rFonts w:ascii="Times New Roman" w:hAnsi="Times New Roman"/>
      <w:sz w:val="18"/>
      <w:szCs w:val="18"/>
    </w:rPr>
  </w:style>
  <w:style w:type="paragraph" w:customStyle="1" w:styleId="xl86">
    <w:name w:val="xl86"/>
    <w:basedOn w:val="Normale"/>
    <w:rsid w:val="00C83007"/>
    <w:pPr>
      <w:pBdr>
        <w:top w:val="single" w:sz="8" w:space="0" w:color="376091"/>
        <w:bottom w:val="single" w:sz="12" w:space="0" w:color="376091"/>
      </w:pBdr>
      <w:shd w:val="clear" w:color="000000" w:fill="C5D9F1"/>
      <w:spacing w:before="100" w:beforeAutospacing="1" w:after="100" w:afterAutospacing="1"/>
      <w:jc w:val="center"/>
      <w:textAlignment w:val="center"/>
    </w:pPr>
    <w:rPr>
      <w:rFonts w:ascii="Times New Roman" w:hAnsi="Times New Roman"/>
      <w:sz w:val="18"/>
      <w:szCs w:val="18"/>
    </w:rPr>
  </w:style>
  <w:style w:type="paragraph" w:customStyle="1" w:styleId="xl87">
    <w:name w:val="xl87"/>
    <w:basedOn w:val="Normale"/>
    <w:rsid w:val="00C83007"/>
    <w:pPr>
      <w:pBdr>
        <w:top w:val="single" w:sz="8" w:space="0" w:color="376091"/>
        <w:bottom w:val="single" w:sz="12" w:space="0" w:color="376091"/>
        <w:right w:val="single" w:sz="12" w:space="0" w:color="376091"/>
      </w:pBdr>
      <w:shd w:val="clear" w:color="000000" w:fill="C5D9F1"/>
      <w:spacing w:before="100" w:beforeAutospacing="1" w:after="100" w:afterAutospacing="1"/>
      <w:jc w:val="center"/>
      <w:textAlignment w:val="center"/>
    </w:pPr>
    <w:rPr>
      <w:rFonts w:ascii="Times New Roman" w:hAnsi="Times New Roman"/>
      <w:sz w:val="18"/>
      <w:szCs w:val="18"/>
    </w:rPr>
  </w:style>
  <w:style w:type="paragraph" w:customStyle="1" w:styleId="xl88">
    <w:name w:val="xl88"/>
    <w:basedOn w:val="Normale"/>
    <w:rsid w:val="00C83007"/>
    <w:pPr>
      <w:pBdr>
        <w:top w:val="single" w:sz="8" w:space="0" w:color="376091"/>
        <w:left w:val="single" w:sz="12" w:space="0" w:color="376091"/>
        <w:bottom w:val="single" w:sz="8" w:space="0" w:color="376091"/>
      </w:pBdr>
      <w:shd w:val="clear" w:color="000000" w:fill="C5D9F1"/>
      <w:spacing w:before="100" w:beforeAutospacing="1" w:after="100" w:afterAutospacing="1"/>
      <w:jc w:val="center"/>
      <w:textAlignment w:val="center"/>
    </w:pPr>
    <w:rPr>
      <w:rFonts w:ascii="Times New Roman" w:hAnsi="Times New Roman"/>
      <w:sz w:val="18"/>
      <w:szCs w:val="18"/>
    </w:rPr>
  </w:style>
  <w:style w:type="paragraph" w:customStyle="1" w:styleId="xl89">
    <w:name w:val="xl89"/>
    <w:basedOn w:val="Normale"/>
    <w:rsid w:val="00C83007"/>
    <w:pPr>
      <w:pBdr>
        <w:top w:val="single" w:sz="8" w:space="0" w:color="376091"/>
        <w:left w:val="single" w:sz="12" w:space="0" w:color="376091"/>
        <w:bottom w:val="single" w:sz="8" w:space="0" w:color="376091"/>
      </w:pBdr>
      <w:spacing w:before="100" w:beforeAutospacing="1" w:after="100" w:afterAutospacing="1"/>
      <w:jc w:val="center"/>
      <w:textAlignment w:val="center"/>
    </w:pPr>
    <w:rPr>
      <w:rFonts w:ascii="Times New Roman" w:hAnsi="Times New Roman"/>
      <w:sz w:val="18"/>
      <w:szCs w:val="18"/>
    </w:rPr>
  </w:style>
  <w:style w:type="paragraph" w:customStyle="1" w:styleId="xl90">
    <w:name w:val="xl90"/>
    <w:basedOn w:val="Normale"/>
    <w:rsid w:val="00C83007"/>
    <w:pPr>
      <w:pBdr>
        <w:top w:val="single" w:sz="8" w:space="0" w:color="376091"/>
        <w:left w:val="single" w:sz="12" w:space="0" w:color="376091"/>
        <w:bottom w:val="single" w:sz="12" w:space="0" w:color="376091"/>
      </w:pBdr>
      <w:shd w:val="clear" w:color="000000" w:fill="C5D9F1"/>
      <w:spacing w:before="100" w:beforeAutospacing="1" w:after="100" w:afterAutospacing="1"/>
      <w:jc w:val="center"/>
      <w:textAlignment w:val="center"/>
    </w:pPr>
    <w:rPr>
      <w:rFonts w:ascii="Times New Roman" w:hAnsi="Times New Roman"/>
      <w:sz w:val="18"/>
      <w:szCs w:val="18"/>
    </w:rPr>
  </w:style>
  <w:style w:type="paragraph" w:customStyle="1" w:styleId="xl91">
    <w:name w:val="xl91"/>
    <w:basedOn w:val="Normale"/>
    <w:rsid w:val="00C83007"/>
    <w:pPr>
      <w:pBdr>
        <w:top w:val="single" w:sz="8" w:space="0" w:color="376091"/>
        <w:bottom w:val="single" w:sz="8" w:space="0" w:color="376091"/>
      </w:pBdr>
      <w:shd w:val="clear" w:color="000000" w:fill="DBE5F1"/>
      <w:spacing w:before="100" w:beforeAutospacing="1" w:after="100" w:afterAutospacing="1"/>
      <w:jc w:val="center"/>
      <w:textAlignment w:val="center"/>
    </w:pPr>
    <w:rPr>
      <w:rFonts w:ascii="Times New Roman" w:hAnsi="Times New Roman"/>
      <w:b/>
      <w:bCs/>
      <w:sz w:val="18"/>
      <w:szCs w:val="18"/>
    </w:rPr>
  </w:style>
  <w:style w:type="paragraph" w:customStyle="1" w:styleId="xl92">
    <w:name w:val="xl92"/>
    <w:basedOn w:val="Normale"/>
    <w:rsid w:val="00C83007"/>
    <w:pPr>
      <w:pBdr>
        <w:top w:val="single" w:sz="8" w:space="0" w:color="376091"/>
        <w:bottom w:val="single" w:sz="8" w:space="0" w:color="376091"/>
      </w:pBdr>
      <w:spacing w:before="100" w:beforeAutospacing="1" w:after="100" w:afterAutospacing="1"/>
      <w:jc w:val="center"/>
      <w:textAlignment w:val="center"/>
    </w:pPr>
    <w:rPr>
      <w:rFonts w:ascii="Times New Roman" w:hAnsi="Times New Roman"/>
      <w:sz w:val="18"/>
      <w:szCs w:val="18"/>
    </w:rPr>
  </w:style>
  <w:style w:type="paragraph" w:customStyle="1" w:styleId="xl93">
    <w:name w:val="xl93"/>
    <w:basedOn w:val="Normale"/>
    <w:rsid w:val="00C83007"/>
    <w:pPr>
      <w:pBdr>
        <w:top w:val="single" w:sz="8" w:space="0" w:color="376091"/>
        <w:bottom w:val="single" w:sz="8" w:space="0" w:color="376091"/>
        <w:right w:val="single" w:sz="12" w:space="0" w:color="376091"/>
      </w:pBdr>
      <w:spacing w:before="100" w:beforeAutospacing="1" w:after="100" w:afterAutospacing="1"/>
      <w:jc w:val="center"/>
      <w:textAlignment w:val="center"/>
    </w:pPr>
    <w:rPr>
      <w:rFonts w:ascii="Times New Roman" w:hAnsi="Times New Roman"/>
      <w:sz w:val="18"/>
      <w:szCs w:val="18"/>
    </w:rPr>
  </w:style>
  <w:style w:type="paragraph" w:customStyle="1" w:styleId="xl94">
    <w:name w:val="xl94"/>
    <w:basedOn w:val="Normale"/>
    <w:rsid w:val="00C83007"/>
    <w:pPr>
      <w:pBdr>
        <w:top w:val="single" w:sz="8" w:space="0" w:color="376091"/>
        <w:left w:val="single" w:sz="8" w:space="0" w:color="376091"/>
        <w:bottom w:val="single" w:sz="8" w:space="0" w:color="376091"/>
      </w:pBdr>
      <w:spacing w:before="100" w:beforeAutospacing="1" w:after="100" w:afterAutospacing="1"/>
      <w:jc w:val="center"/>
      <w:textAlignment w:val="center"/>
    </w:pPr>
    <w:rPr>
      <w:rFonts w:ascii="Times New Roman" w:hAnsi="Times New Roman"/>
      <w:sz w:val="18"/>
      <w:szCs w:val="18"/>
    </w:rPr>
  </w:style>
  <w:style w:type="paragraph" w:customStyle="1" w:styleId="xl95">
    <w:name w:val="xl95"/>
    <w:basedOn w:val="Normale"/>
    <w:rsid w:val="00C83007"/>
    <w:pPr>
      <w:pBdr>
        <w:top w:val="single" w:sz="8" w:space="0" w:color="376091"/>
        <w:bottom w:val="single" w:sz="8" w:space="0" w:color="376091"/>
      </w:pBdr>
      <w:spacing w:before="100" w:beforeAutospacing="1" w:after="100" w:afterAutospacing="1"/>
      <w:jc w:val="center"/>
      <w:textAlignment w:val="center"/>
    </w:pPr>
    <w:rPr>
      <w:rFonts w:ascii="Times New Roman" w:hAnsi="Times New Roman"/>
      <w:sz w:val="18"/>
      <w:szCs w:val="18"/>
    </w:rPr>
  </w:style>
  <w:style w:type="paragraph" w:customStyle="1" w:styleId="xl96">
    <w:name w:val="xl96"/>
    <w:basedOn w:val="Normale"/>
    <w:rsid w:val="00C83007"/>
    <w:pPr>
      <w:pBdr>
        <w:top w:val="single" w:sz="8" w:space="0" w:color="376091"/>
        <w:bottom w:val="single" w:sz="8" w:space="0" w:color="376091"/>
      </w:pBdr>
      <w:shd w:val="clear" w:color="000000" w:fill="DBE5F1"/>
      <w:spacing w:before="100" w:beforeAutospacing="1" w:after="100" w:afterAutospacing="1"/>
      <w:jc w:val="right"/>
      <w:textAlignment w:val="center"/>
    </w:pPr>
    <w:rPr>
      <w:rFonts w:ascii="Times New Roman" w:hAnsi="Times New Roman"/>
      <w:b/>
      <w:bCs/>
      <w:sz w:val="18"/>
      <w:szCs w:val="18"/>
    </w:rPr>
  </w:style>
  <w:style w:type="paragraph" w:customStyle="1" w:styleId="xl97">
    <w:name w:val="xl97"/>
    <w:basedOn w:val="Normale"/>
    <w:rsid w:val="00C83007"/>
    <w:pPr>
      <w:pBdr>
        <w:top w:val="single" w:sz="8" w:space="0" w:color="376091"/>
        <w:bottom w:val="single" w:sz="8" w:space="0" w:color="376091"/>
        <w:right w:val="single" w:sz="12" w:space="0" w:color="376091"/>
      </w:pBdr>
      <w:shd w:val="clear" w:color="000000" w:fill="DBE5F1"/>
      <w:spacing w:before="100" w:beforeAutospacing="1" w:after="100" w:afterAutospacing="1"/>
      <w:jc w:val="right"/>
      <w:textAlignment w:val="center"/>
    </w:pPr>
    <w:rPr>
      <w:rFonts w:ascii="Times New Roman" w:hAnsi="Times New Roman"/>
      <w:b/>
      <w:bCs/>
      <w:sz w:val="18"/>
      <w:szCs w:val="18"/>
    </w:rPr>
  </w:style>
  <w:style w:type="paragraph" w:customStyle="1" w:styleId="xl98">
    <w:name w:val="xl98"/>
    <w:basedOn w:val="Normale"/>
    <w:rsid w:val="00C83007"/>
    <w:pPr>
      <w:pBdr>
        <w:top w:val="single" w:sz="8" w:space="0" w:color="376091"/>
        <w:left w:val="single" w:sz="12" w:space="0" w:color="376091"/>
        <w:bottom w:val="single" w:sz="8" w:space="0" w:color="376091"/>
      </w:pBdr>
      <w:shd w:val="clear" w:color="000000" w:fill="DBE5F1"/>
      <w:spacing w:before="100" w:beforeAutospacing="1" w:after="100" w:afterAutospacing="1"/>
      <w:jc w:val="right"/>
      <w:textAlignment w:val="center"/>
    </w:pPr>
    <w:rPr>
      <w:rFonts w:ascii="Times New Roman" w:hAnsi="Times New Roman"/>
      <w:b/>
      <w:bCs/>
      <w:sz w:val="18"/>
      <w:szCs w:val="18"/>
    </w:rPr>
  </w:style>
  <w:style w:type="paragraph" w:customStyle="1" w:styleId="xl99">
    <w:name w:val="xl99"/>
    <w:basedOn w:val="Normale"/>
    <w:rsid w:val="00C83007"/>
    <w:pPr>
      <w:pBdr>
        <w:top w:val="single" w:sz="12" w:space="0" w:color="376091"/>
        <w:bottom w:val="single" w:sz="8" w:space="0" w:color="376091"/>
        <w:right w:val="single" w:sz="12" w:space="0" w:color="376091"/>
      </w:pBdr>
      <w:shd w:val="clear" w:color="000000" w:fill="DBE5F1"/>
      <w:spacing w:before="100" w:beforeAutospacing="1" w:after="100" w:afterAutospacing="1"/>
      <w:jc w:val="center"/>
      <w:textAlignment w:val="center"/>
    </w:pPr>
    <w:rPr>
      <w:rFonts w:ascii="Times New Roman" w:hAnsi="Times New Roman"/>
      <w:b/>
      <w:bCs/>
      <w:sz w:val="18"/>
      <w:szCs w:val="18"/>
    </w:rPr>
  </w:style>
  <w:style w:type="paragraph" w:customStyle="1" w:styleId="xl100">
    <w:name w:val="xl100"/>
    <w:basedOn w:val="Normale"/>
    <w:rsid w:val="00C83007"/>
    <w:pPr>
      <w:pBdr>
        <w:top w:val="single" w:sz="12" w:space="0" w:color="376091"/>
        <w:bottom w:val="single" w:sz="8" w:space="0" w:color="376091"/>
        <w:right w:val="single" w:sz="12" w:space="0" w:color="376091"/>
      </w:pBdr>
      <w:shd w:val="clear" w:color="000000" w:fill="DBE5F1"/>
      <w:spacing w:before="100" w:beforeAutospacing="1" w:after="100" w:afterAutospacing="1"/>
      <w:jc w:val="center"/>
      <w:textAlignment w:val="center"/>
    </w:pPr>
    <w:rPr>
      <w:rFonts w:ascii="Times New Roman" w:hAnsi="Times New Roman"/>
      <w:b/>
      <w:bCs/>
      <w:sz w:val="18"/>
      <w:szCs w:val="18"/>
    </w:rPr>
  </w:style>
  <w:style w:type="paragraph" w:customStyle="1" w:styleId="xl101">
    <w:name w:val="xl101"/>
    <w:basedOn w:val="Normale"/>
    <w:rsid w:val="00C83007"/>
    <w:pPr>
      <w:pBdr>
        <w:top w:val="single" w:sz="12" w:space="0" w:color="376091"/>
      </w:pBdr>
      <w:spacing w:before="100" w:beforeAutospacing="1" w:after="100" w:afterAutospacing="1"/>
      <w:jc w:val="left"/>
    </w:pPr>
    <w:rPr>
      <w:rFonts w:ascii="Times New Roman" w:hAnsi="Times New Roman"/>
      <w:sz w:val="18"/>
      <w:szCs w:val="18"/>
    </w:rPr>
  </w:style>
  <w:style w:type="paragraph" w:customStyle="1" w:styleId="xl102">
    <w:name w:val="xl102"/>
    <w:basedOn w:val="Normale"/>
    <w:rsid w:val="00C83007"/>
    <w:pPr>
      <w:pBdr>
        <w:top w:val="single" w:sz="12" w:space="0" w:color="376091"/>
        <w:right w:val="single" w:sz="12" w:space="0" w:color="376091"/>
      </w:pBdr>
      <w:spacing w:before="100" w:beforeAutospacing="1" w:after="100" w:afterAutospacing="1"/>
      <w:jc w:val="center"/>
      <w:textAlignment w:val="center"/>
    </w:pPr>
    <w:rPr>
      <w:rFonts w:ascii="Times New Roman" w:hAnsi="Times New Roman"/>
      <w:sz w:val="18"/>
      <w:szCs w:val="18"/>
    </w:rPr>
  </w:style>
  <w:style w:type="paragraph" w:customStyle="1" w:styleId="xl103">
    <w:name w:val="xl103"/>
    <w:basedOn w:val="Normale"/>
    <w:rsid w:val="00C83007"/>
    <w:pPr>
      <w:pBdr>
        <w:right w:val="single" w:sz="12" w:space="0" w:color="376091"/>
      </w:pBdr>
      <w:spacing w:before="100" w:beforeAutospacing="1" w:after="100" w:afterAutospacing="1"/>
      <w:jc w:val="center"/>
      <w:textAlignment w:val="center"/>
    </w:pPr>
    <w:rPr>
      <w:rFonts w:ascii="Times New Roman" w:hAnsi="Times New Roman"/>
      <w:sz w:val="18"/>
      <w:szCs w:val="18"/>
    </w:rPr>
  </w:style>
  <w:style w:type="paragraph" w:customStyle="1" w:styleId="xl104">
    <w:name w:val="xl104"/>
    <w:basedOn w:val="Normale"/>
    <w:rsid w:val="00C83007"/>
    <w:pPr>
      <w:pBdr>
        <w:top w:val="single" w:sz="12" w:space="0" w:color="376091"/>
      </w:pBdr>
      <w:spacing w:before="100" w:beforeAutospacing="1" w:after="100" w:afterAutospacing="1"/>
      <w:jc w:val="center"/>
      <w:textAlignment w:val="center"/>
    </w:pPr>
    <w:rPr>
      <w:rFonts w:ascii="Times New Roman" w:hAnsi="Times New Roman"/>
      <w:sz w:val="18"/>
      <w:szCs w:val="18"/>
    </w:rPr>
  </w:style>
  <w:style w:type="paragraph" w:customStyle="1" w:styleId="Heading31">
    <w:name w:val="Heading 31"/>
    <w:basedOn w:val="Titolo3"/>
    <w:autoRedefine/>
    <w:rsid w:val="00C83007"/>
    <w:pPr>
      <w:keepNext w:val="0"/>
      <w:tabs>
        <w:tab w:val="num" w:pos="360"/>
      </w:tabs>
      <w:spacing w:before="120"/>
      <w:ind w:left="360" w:hanging="360"/>
    </w:pPr>
    <w:rPr>
      <w:rFonts w:ascii="Garamond" w:hAnsi="Garamond" w:cs="Times New Roman"/>
      <w:noProof/>
      <w:color w:val="auto"/>
      <w:szCs w:val="20"/>
      <w:u w:val="single"/>
      <w:lang w:val="fr-FR" w:eastAsia="fr-FR"/>
    </w:rPr>
  </w:style>
  <w:style w:type="paragraph" w:customStyle="1" w:styleId="CarCar">
    <w:name w:val="Car Car"/>
    <w:basedOn w:val="Normale"/>
    <w:next w:val="Normale"/>
    <w:rsid w:val="00C83007"/>
    <w:pPr>
      <w:spacing w:before="0" w:after="160" w:line="240" w:lineRule="exact"/>
      <w:jc w:val="left"/>
    </w:pPr>
    <w:rPr>
      <w:rFonts w:ascii="Tahoma" w:hAnsi="Tahoma"/>
      <w:sz w:val="24"/>
      <w:lang w:eastAsia="fr-FR"/>
    </w:rPr>
  </w:style>
  <w:style w:type="paragraph" w:customStyle="1" w:styleId="source">
    <w:name w:val="source"/>
    <w:basedOn w:val="Normale"/>
    <w:rsid w:val="00C83007"/>
    <w:pPr>
      <w:spacing w:before="0"/>
      <w:ind w:left="709" w:hanging="709"/>
      <w:jc w:val="left"/>
    </w:pPr>
    <w:rPr>
      <w:rFonts w:ascii="Garamond" w:hAnsi="Garamond"/>
      <w:i/>
      <w:sz w:val="18"/>
      <w:lang w:val="fr-FR" w:eastAsia="fr-FR"/>
    </w:rPr>
  </w:style>
  <w:style w:type="paragraph" w:customStyle="1" w:styleId="titretab">
    <w:name w:val="titretab"/>
    <w:rsid w:val="00C83007"/>
    <w:pPr>
      <w:spacing w:before="240" w:after="120"/>
      <w:jc w:val="center"/>
    </w:pPr>
    <w:rPr>
      <w:rFonts w:ascii="Arial" w:eastAsia="Times New Roman" w:hAnsi="Arial" w:cs="Times New Roman"/>
      <w:b/>
      <w:noProof/>
      <w:szCs w:val="20"/>
      <w:lang w:val="fr-FR" w:eastAsia="fr-FR"/>
    </w:rPr>
  </w:style>
  <w:style w:type="paragraph" w:customStyle="1" w:styleId="zonedetexte">
    <w:name w:val="zone de texte"/>
    <w:basedOn w:val="Titolo3"/>
    <w:uiPriority w:val="99"/>
    <w:rsid w:val="00C83007"/>
    <w:pPr>
      <w:keepNext w:val="0"/>
      <w:tabs>
        <w:tab w:val="left" w:pos="567"/>
      </w:tabs>
    </w:pPr>
    <w:rPr>
      <w:rFonts w:ascii="Garamond" w:eastAsia="Times New Roman" w:hAnsi="Garamond" w:cs="Times New Roman"/>
      <w:noProof/>
      <w:color w:val="auto"/>
      <w:szCs w:val="20"/>
      <w:u w:val="single"/>
      <w:lang w:val="fr-FR" w:eastAsia="fr-FR"/>
    </w:rPr>
  </w:style>
  <w:style w:type="paragraph" w:customStyle="1" w:styleId="warning">
    <w:name w:val="warning"/>
    <w:rsid w:val="00C83007"/>
    <w:pPr>
      <w:spacing w:before="360" w:after="240"/>
      <w:ind w:left="2835" w:firstLine="567"/>
    </w:pPr>
    <w:rPr>
      <w:rFonts w:ascii="Arial" w:eastAsia="Times New Roman" w:hAnsi="Arial" w:cs="Times New Roman"/>
      <w:b/>
      <w:i/>
      <w:noProof/>
      <w:sz w:val="28"/>
      <w:szCs w:val="20"/>
      <w:lang w:val="fr-FR" w:eastAsia="fr-FR"/>
    </w:rPr>
  </w:style>
  <w:style w:type="paragraph" w:customStyle="1" w:styleId="Nomdudocument">
    <w:name w:val="Nom du document"/>
    <w:basedOn w:val="Normale"/>
    <w:rsid w:val="00C83007"/>
    <w:pPr>
      <w:spacing w:before="0"/>
    </w:pPr>
    <w:rPr>
      <w:rFonts w:ascii="Garamond" w:hAnsi="Garamond"/>
      <w:i/>
      <w:sz w:val="18"/>
      <w:lang w:val="fr-FR" w:eastAsia="fr-FR"/>
    </w:rPr>
  </w:style>
  <w:style w:type="paragraph" w:customStyle="1" w:styleId="Cover1">
    <w:name w:val="Cover 1"/>
    <w:next w:val="Normale"/>
    <w:rsid w:val="00C83007"/>
    <w:pPr>
      <w:spacing w:before="360" w:after="240"/>
      <w:jc w:val="right"/>
    </w:pPr>
    <w:rPr>
      <w:rFonts w:ascii="Garamond" w:eastAsia="Times New Roman" w:hAnsi="Garamond" w:cs="Times New Roman"/>
      <w:b/>
      <w:i/>
      <w:noProof/>
      <w:sz w:val="28"/>
      <w:szCs w:val="20"/>
      <w:lang w:val="fr-FR" w:eastAsia="fr-FR"/>
    </w:rPr>
  </w:style>
  <w:style w:type="paragraph" w:customStyle="1" w:styleId="Cover2">
    <w:name w:val="Cover 2"/>
    <w:next w:val="Normale"/>
    <w:rsid w:val="00C83007"/>
    <w:pPr>
      <w:tabs>
        <w:tab w:val="left" w:pos="567"/>
      </w:tabs>
      <w:jc w:val="center"/>
    </w:pPr>
    <w:rPr>
      <w:rFonts w:ascii="Garamond" w:eastAsia="Times New Roman" w:hAnsi="Garamond" w:cs="Times New Roman"/>
      <w:b/>
      <w:noProof/>
      <w:spacing w:val="20"/>
      <w:sz w:val="24"/>
      <w:szCs w:val="20"/>
      <w:lang w:val="fr-FR" w:eastAsia="fr-FR"/>
    </w:rPr>
  </w:style>
  <w:style w:type="paragraph" w:customStyle="1" w:styleId="Cover3">
    <w:name w:val="Cover 3"/>
    <w:rsid w:val="00C83007"/>
    <w:pPr>
      <w:tabs>
        <w:tab w:val="left" w:pos="567"/>
      </w:tabs>
      <w:spacing w:after="240"/>
      <w:jc w:val="center"/>
    </w:pPr>
    <w:rPr>
      <w:rFonts w:ascii="Garamond" w:eastAsia="Times New Roman" w:hAnsi="Garamond" w:cs="Times New Roman"/>
      <w:b/>
      <w:noProof/>
      <w:sz w:val="44"/>
      <w:szCs w:val="20"/>
      <w:lang w:val="fr-FR" w:eastAsia="fr-FR"/>
    </w:rPr>
  </w:style>
  <w:style w:type="paragraph" w:customStyle="1" w:styleId="titredurapport">
    <w:name w:val="titre du rapport"/>
    <w:basedOn w:val="Normale"/>
    <w:rsid w:val="00C83007"/>
    <w:pPr>
      <w:spacing w:before="0" w:after="0"/>
    </w:pPr>
    <w:rPr>
      <w:rFonts w:ascii="Garamond" w:hAnsi="Garamond"/>
      <w:i/>
      <w:sz w:val="24"/>
      <w:lang w:val="en-GB" w:eastAsia="fr-FR"/>
    </w:rPr>
  </w:style>
  <w:style w:type="paragraph" w:customStyle="1" w:styleId="StyleHeading4Left0cmHanging15cm">
    <w:name w:val="Style Heading 4 + Left:  0 cm Hanging:  15 cm"/>
    <w:basedOn w:val="Titolo4"/>
    <w:next w:val="Normale"/>
    <w:autoRedefine/>
    <w:rsid w:val="00C83007"/>
    <w:pPr>
      <w:tabs>
        <w:tab w:val="left" w:pos="851"/>
      </w:tabs>
      <w:overflowPunct/>
      <w:autoSpaceDE/>
      <w:autoSpaceDN/>
      <w:adjustRightInd/>
      <w:spacing w:before="360" w:after="240"/>
      <w:ind w:left="851" w:hanging="851"/>
      <w:jc w:val="left"/>
      <w:textAlignment w:val="auto"/>
    </w:pPr>
    <w:rPr>
      <w:rFonts w:ascii="Garamond" w:hAnsi="Garamond"/>
      <w:iCs/>
      <w:color w:val="auto"/>
      <w:sz w:val="24"/>
      <w:szCs w:val="24"/>
      <w:u w:val="none"/>
      <w:lang w:val="fr-FR" w:eastAsia="fr-FR"/>
    </w:rPr>
  </w:style>
  <w:style w:type="paragraph" w:customStyle="1" w:styleId="bulletbox1">
    <w:name w:val="bullet box 1"/>
    <w:basedOn w:val="Puntoelenco"/>
    <w:rsid w:val="00C83007"/>
    <w:pPr>
      <w:tabs>
        <w:tab w:val="num" w:pos="369"/>
      </w:tabs>
      <w:spacing w:before="0" w:after="0"/>
      <w:ind w:left="369" w:hanging="369"/>
    </w:pPr>
    <w:rPr>
      <w:rFonts w:ascii="Garamond" w:hAnsi="Garamond"/>
      <w:color w:val="auto"/>
      <w:sz w:val="20"/>
      <w:lang w:val="fr-BE" w:eastAsia="fr-FR"/>
    </w:rPr>
  </w:style>
  <w:style w:type="paragraph" w:styleId="Elencocontinua">
    <w:name w:val="List Continue"/>
    <w:basedOn w:val="Normale"/>
    <w:rsid w:val="00C83007"/>
    <w:pPr>
      <w:spacing w:before="0"/>
      <w:ind w:left="283"/>
    </w:pPr>
    <w:rPr>
      <w:rFonts w:ascii="Garamond" w:hAnsi="Garamond"/>
      <w:sz w:val="24"/>
      <w:lang w:val="en-GB" w:eastAsia="fr-FR"/>
    </w:rPr>
  </w:style>
  <w:style w:type="paragraph" w:customStyle="1" w:styleId="bulletbox2">
    <w:name w:val="bullet box 2"/>
    <w:basedOn w:val="Puntoelenco2"/>
    <w:rsid w:val="00C83007"/>
    <w:pPr>
      <w:tabs>
        <w:tab w:val="clear" w:pos="720"/>
        <w:tab w:val="left" w:pos="737"/>
        <w:tab w:val="num" w:pos="851"/>
      </w:tabs>
      <w:spacing w:before="0" w:after="0"/>
      <w:ind w:left="851" w:hanging="426"/>
    </w:pPr>
    <w:rPr>
      <w:rFonts w:ascii="Garamond" w:hAnsi="Garamond"/>
      <w:sz w:val="20"/>
      <w:lang w:val="en-GB" w:eastAsia="fr-FR"/>
    </w:rPr>
  </w:style>
  <w:style w:type="paragraph" w:customStyle="1" w:styleId="Annexe">
    <w:name w:val="Annexe"/>
    <w:basedOn w:val="Normale"/>
    <w:rsid w:val="00C83007"/>
    <w:pPr>
      <w:pBdr>
        <w:bottom w:val="single" w:sz="4" w:space="1" w:color="auto"/>
      </w:pBdr>
      <w:spacing w:before="0" w:after="0"/>
      <w:jc w:val="right"/>
    </w:pPr>
    <w:rPr>
      <w:rFonts w:ascii="Garamond" w:hAnsi="Garamond"/>
      <w:b/>
      <w:sz w:val="72"/>
      <w:lang w:val="en-GB" w:eastAsia="fr-FR"/>
    </w:rPr>
  </w:style>
  <w:style w:type="paragraph" w:styleId="Rientronormale">
    <w:name w:val="Normal Indent"/>
    <w:basedOn w:val="Normale"/>
    <w:rsid w:val="00C83007"/>
    <w:pPr>
      <w:spacing w:before="0" w:after="0"/>
      <w:ind w:left="567"/>
    </w:pPr>
    <w:rPr>
      <w:rFonts w:ascii="Garamond" w:hAnsi="Garamond"/>
      <w:sz w:val="24"/>
      <w:lang w:val="en-GB" w:eastAsia="fr-FR"/>
    </w:rPr>
  </w:style>
  <w:style w:type="paragraph" w:customStyle="1" w:styleId="Bullet1">
    <w:name w:val="Bullet 1"/>
    <w:basedOn w:val="Normale"/>
    <w:rsid w:val="00C83007"/>
    <w:pPr>
      <w:spacing w:before="0" w:after="0"/>
    </w:pPr>
    <w:rPr>
      <w:rFonts w:ascii="Garamond" w:hAnsi="Garamond"/>
      <w:bCs/>
      <w:sz w:val="24"/>
      <w:lang w:val="en-GB" w:eastAsia="fr-FR"/>
    </w:rPr>
  </w:style>
  <w:style w:type="paragraph" w:customStyle="1" w:styleId="Bullet2">
    <w:name w:val="Bullet 2"/>
    <w:basedOn w:val="Bullet1"/>
    <w:rsid w:val="00C83007"/>
    <w:pPr>
      <w:ind w:left="1134"/>
    </w:pPr>
  </w:style>
  <w:style w:type="paragraph" w:customStyle="1" w:styleId="Bullet3">
    <w:name w:val="Bullet 3"/>
    <w:basedOn w:val="Bullet2"/>
    <w:rsid w:val="00C83007"/>
    <w:pPr>
      <w:ind w:left="1701"/>
    </w:pPr>
  </w:style>
  <w:style w:type="paragraph" w:customStyle="1" w:styleId="GTitre">
    <w:name w:val="GTitre"/>
    <w:basedOn w:val="Titolo1"/>
    <w:rsid w:val="00C83007"/>
    <w:pPr>
      <w:keepNext w:val="0"/>
      <w:keepLines w:val="0"/>
      <w:overflowPunct/>
      <w:autoSpaceDE/>
      <w:autoSpaceDN/>
      <w:adjustRightInd/>
      <w:spacing w:after="360"/>
      <w:ind w:left="0" w:firstLine="0"/>
      <w:textAlignment w:val="auto"/>
      <w:outlineLvl w:val="9"/>
    </w:pPr>
    <w:rPr>
      <w:rFonts w:ascii="Garamond" w:hAnsi="Garamond"/>
      <w:caps w:val="0"/>
      <w:color w:val="auto"/>
      <w:spacing w:val="0"/>
      <w:kern w:val="0"/>
      <w:szCs w:val="20"/>
      <w:lang w:eastAsia="fr-FR"/>
    </w:rPr>
  </w:style>
  <w:style w:type="paragraph" w:customStyle="1" w:styleId="CharCharCharCarCarCharCharCarCar">
    <w:name w:val="Char Char Char Car Car Char Char Car Car"/>
    <w:basedOn w:val="Normale"/>
    <w:next w:val="Normale"/>
    <w:rsid w:val="00C83007"/>
    <w:pPr>
      <w:spacing w:before="0" w:after="160" w:line="240" w:lineRule="exact"/>
      <w:jc w:val="left"/>
    </w:pPr>
    <w:rPr>
      <w:rFonts w:ascii="Tahoma" w:hAnsi="Tahoma"/>
      <w:sz w:val="24"/>
      <w:lang w:eastAsia="fr-FR"/>
    </w:rPr>
  </w:style>
  <w:style w:type="paragraph" w:customStyle="1" w:styleId="CharCharCharCarCarCharCharCarCar1CharCharCarCarCharCharCarCarCharCharCarCarCharCharCarCar">
    <w:name w:val="Char Char Char Car Car Char Char Car Car1 Char Char Car Car Char Char Car Car Char Char Car Car Char Char Car Car"/>
    <w:basedOn w:val="Normale"/>
    <w:next w:val="Normale"/>
    <w:rsid w:val="00C83007"/>
    <w:pPr>
      <w:spacing w:before="0" w:after="160" w:line="240" w:lineRule="exact"/>
      <w:jc w:val="left"/>
    </w:pPr>
    <w:rPr>
      <w:rFonts w:ascii="Tahoma" w:hAnsi="Tahoma"/>
      <w:sz w:val="24"/>
    </w:rPr>
  </w:style>
  <w:style w:type="paragraph" w:customStyle="1" w:styleId="CarCarCar">
    <w:name w:val="Car Car Car"/>
    <w:basedOn w:val="Normale"/>
    <w:next w:val="Normale"/>
    <w:rsid w:val="00C83007"/>
    <w:pPr>
      <w:spacing w:before="0" w:after="160" w:line="240" w:lineRule="exact"/>
      <w:jc w:val="left"/>
    </w:pPr>
    <w:rPr>
      <w:rFonts w:ascii="Tahoma" w:hAnsi="Tahoma"/>
      <w:sz w:val="24"/>
    </w:rPr>
  </w:style>
  <w:style w:type="paragraph" w:customStyle="1" w:styleId="CharCharCharCarCar">
    <w:name w:val="Char Char Char Car Car"/>
    <w:basedOn w:val="Normale"/>
    <w:next w:val="Normale"/>
    <w:rsid w:val="00C83007"/>
    <w:pPr>
      <w:spacing w:before="0" w:after="160" w:line="240" w:lineRule="exact"/>
      <w:jc w:val="left"/>
    </w:pPr>
    <w:rPr>
      <w:rFonts w:ascii="Tahoma" w:hAnsi="Tahoma"/>
      <w:sz w:val="24"/>
      <w:lang w:eastAsia="fr-FR"/>
    </w:rPr>
  </w:style>
  <w:style w:type="paragraph" w:customStyle="1" w:styleId="CommentSubject1">
    <w:name w:val="Comment Subject1"/>
    <w:basedOn w:val="Testocommento"/>
    <w:next w:val="Testocommento"/>
    <w:semiHidden/>
    <w:rsid w:val="00C83007"/>
    <w:pPr>
      <w:spacing w:before="0" w:after="0"/>
      <w:jc w:val="both"/>
    </w:pPr>
    <w:rPr>
      <w:rFonts w:ascii="Garamond" w:hAnsi="Garamond"/>
      <w:b/>
      <w:bCs/>
      <w:lang w:val="en-GB"/>
    </w:rPr>
  </w:style>
  <w:style w:type="paragraph" w:customStyle="1" w:styleId="CharCharCarCarCharCharCarCar">
    <w:name w:val="Char Char Car Car Char Char Car Car"/>
    <w:basedOn w:val="Normale"/>
    <w:next w:val="Normale"/>
    <w:rsid w:val="00C83007"/>
    <w:pPr>
      <w:spacing w:before="0" w:after="160" w:line="240" w:lineRule="exact"/>
      <w:jc w:val="left"/>
    </w:pPr>
    <w:rPr>
      <w:rFonts w:ascii="Tahoma" w:hAnsi="Tahoma"/>
      <w:sz w:val="24"/>
    </w:rPr>
  </w:style>
  <w:style w:type="paragraph" w:customStyle="1" w:styleId="PE-Titre2">
    <w:name w:val="PE-Titre2"/>
    <w:basedOn w:val="Normale"/>
    <w:autoRedefine/>
    <w:rsid w:val="00C83007"/>
    <w:pPr>
      <w:spacing w:before="0" w:after="0"/>
    </w:pPr>
    <w:rPr>
      <w:rFonts w:ascii="Garamond" w:hAnsi="Garamond"/>
      <w:bCs/>
      <w:caps/>
      <w:sz w:val="24"/>
      <w:lang w:val="en-GB" w:eastAsia="fr-FR"/>
    </w:rPr>
  </w:style>
  <w:style w:type="paragraph" w:styleId="Numeroelenco3">
    <w:name w:val="List Number 3"/>
    <w:basedOn w:val="Normale"/>
    <w:rsid w:val="00C83007"/>
    <w:pPr>
      <w:tabs>
        <w:tab w:val="num" w:pos="757"/>
      </w:tabs>
      <w:spacing w:before="0" w:after="0"/>
      <w:ind w:left="737" w:hanging="340"/>
    </w:pPr>
    <w:rPr>
      <w:rFonts w:ascii="Garamond" w:hAnsi="Garamond"/>
      <w:sz w:val="24"/>
      <w:lang w:val="en-GB" w:eastAsia="fr-FR"/>
    </w:rPr>
  </w:style>
  <w:style w:type="paragraph" w:styleId="Numeroelenco4">
    <w:name w:val="List Number 4"/>
    <w:basedOn w:val="Normale"/>
    <w:rsid w:val="00C83007"/>
    <w:pPr>
      <w:tabs>
        <w:tab w:val="num" w:pos="1440"/>
      </w:tabs>
      <w:spacing w:before="0" w:after="0"/>
      <w:ind w:left="1440" w:hanging="360"/>
    </w:pPr>
    <w:rPr>
      <w:rFonts w:ascii="Garamond" w:hAnsi="Garamond"/>
      <w:sz w:val="24"/>
      <w:lang w:val="en-GB" w:eastAsia="fr-FR"/>
    </w:rPr>
  </w:style>
  <w:style w:type="paragraph" w:styleId="Numeroelenco5">
    <w:name w:val="List Number 5"/>
    <w:basedOn w:val="Normale"/>
    <w:rsid w:val="00C83007"/>
    <w:pPr>
      <w:tabs>
        <w:tab w:val="num" w:pos="720"/>
      </w:tabs>
      <w:spacing w:before="0" w:after="0"/>
    </w:pPr>
    <w:rPr>
      <w:rFonts w:ascii="Garamond" w:hAnsi="Garamond"/>
      <w:sz w:val="24"/>
      <w:lang w:val="en-GB" w:eastAsia="fr-FR"/>
    </w:rPr>
  </w:style>
  <w:style w:type="paragraph" w:customStyle="1" w:styleId="NoteHead">
    <w:name w:val="NoteHead"/>
    <w:basedOn w:val="Normale"/>
    <w:next w:val="Subject"/>
    <w:rsid w:val="00C83007"/>
    <w:pPr>
      <w:spacing w:before="720" w:after="720"/>
      <w:jc w:val="center"/>
    </w:pPr>
    <w:rPr>
      <w:rFonts w:ascii="Garamond" w:hAnsi="Garamond"/>
      <w:b/>
      <w:smallCaps/>
      <w:sz w:val="24"/>
      <w:lang w:val="en-GB" w:eastAsia="fr-FR"/>
    </w:rPr>
  </w:style>
  <w:style w:type="paragraph" w:customStyle="1" w:styleId="Subject">
    <w:name w:val="Subject"/>
    <w:basedOn w:val="Normale"/>
    <w:next w:val="Normale"/>
    <w:rsid w:val="00C83007"/>
    <w:pPr>
      <w:spacing w:before="0" w:after="480"/>
      <w:ind w:left="1191" w:hanging="1191"/>
      <w:jc w:val="left"/>
    </w:pPr>
    <w:rPr>
      <w:rFonts w:ascii="Garamond" w:hAnsi="Garamond"/>
      <w:b/>
      <w:sz w:val="24"/>
      <w:lang w:val="en-GB" w:eastAsia="fr-FR"/>
    </w:rPr>
  </w:style>
  <w:style w:type="paragraph" w:customStyle="1" w:styleId="NoteList">
    <w:name w:val="NoteList"/>
    <w:basedOn w:val="Normale"/>
    <w:next w:val="Subject"/>
    <w:rsid w:val="00C83007"/>
    <w:pPr>
      <w:tabs>
        <w:tab w:val="left" w:pos="5823"/>
      </w:tabs>
      <w:spacing w:before="720" w:after="720"/>
      <w:ind w:left="5104" w:hanging="3119"/>
      <w:jc w:val="left"/>
    </w:pPr>
    <w:rPr>
      <w:rFonts w:ascii="Garamond" w:hAnsi="Garamond"/>
      <w:b/>
      <w:smallCaps/>
      <w:sz w:val="24"/>
      <w:lang w:val="en-GB" w:eastAsia="fr-FR"/>
    </w:rPr>
  </w:style>
  <w:style w:type="paragraph" w:customStyle="1" w:styleId="NumPar1">
    <w:name w:val="NumPar 1"/>
    <w:basedOn w:val="Titolo1"/>
    <w:next w:val="Text1"/>
    <w:rsid w:val="00C83007"/>
    <w:pPr>
      <w:keepNext w:val="0"/>
      <w:keepLines w:val="0"/>
      <w:overflowPunct/>
      <w:autoSpaceDE/>
      <w:autoSpaceDN/>
      <w:adjustRightInd/>
      <w:spacing w:after="600"/>
      <w:ind w:left="483" w:hanging="483"/>
      <w:textAlignment w:val="auto"/>
      <w:outlineLvl w:val="9"/>
    </w:pPr>
    <w:rPr>
      <w:rFonts w:ascii="Garamond" w:hAnsi="Garamond"/>
      <w:b w:val="0"/>
      <w:color w:val="auto"/>
      <w:spacing w:val="0"/>
      <w:kern w:val="0"/>
      <w:lang w:val="fr-FR" w:eastAsia="fr-FR"/>
    </w:rPr>
  </w:style>
  <w:style w:type="paragraph" w:customStyle="1" w:styleId="Text1">
    <w:name w:val="Text 1"/>
    <w:basedOn w:val="Normale"/>
    <w:rsid w:val="00C83007"/>
    <w:pPr>
      <w:spacing w:before="0" w:after="0"/>
      <w:ind w:left="482"/>
    </w:pPr>
    <w:rPr>
      <w:rFonts w:ascii="Garamond" w:hAnsi="Garamond"/>
      <w:sz w:val="24"/>
      <w:lang w:val="en-GB" w:eastAsia="fr-FR"/>
    </w:rPr>
  </w:style>
  <w:style w:type="paragraph" w:customStyle="1" w:styleId="bulletbox">
    <w:name w:val="bullet box"/>
    <w:basedOn w:val="bullet"/>
    <w:next w:val="Normale"/>
    <w:rsid w:val="00C83007"/>
    <w:pPr>
      <w:tabs>
        <w:tab w:val="clear" w:pos="757"/>
        <w:tab w:val="num" w:pos="720"/>
      </w:tabs>
      <w:ind w:left="720" w:hanging="720"/>
    </w:pPr>
    <w:rPr>
      <w:sz w:val="20"/>
    </w:rPr>
  </w:style>
  <w:style w:type="paragraph" w:customStyle="1" w:styleId="bullet">
    <w:name w:val="bullet"/>
    <w:basedOn w:val="Normale"/>
    <w:rsid w:val="00C83007"/>
    <w:pPr>
      <w:widowControl w:val="0"/>
      <w:tabs>
        <w:tab w:val="num" w:pos="757"/>
      </w:tabs>
      <w:spacing w:before="0" w:after="0"/>
      <w:ind w:left="737" w:hanging="340"/>
    </w:pPr>
    <w:rPr>
      <w:rFonts w:ascii="Garamond" w:hAnsi="Garamond"/>
      <w:sz w:val="24"/>
      <w:lang w:val="en-GB" w:eastAsia="fr-FR"/>
    </w:rPr>
  </w:style>
  <w:style w:type="paragraph" w:customStyle="1" w:styleId="xl44">
    <w:name w:val="xl44"/>
    <w:basedOn w:val="Normale"/>
    <w:rsid w:val="00C83007"/>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w:eastAsia="Arial Unicode MS" w:hAnsi="Arial" w:cs="Arial"/>
      <w:b/>
      <w:bCs/>
      <w:sz w:val="22"/>
      <w:szCs w:val="24"/>
      <w:lang w:val="fr-FR" w:eastAsia="fr-FR"/>
    </w:rPr>
  </w:style>
  <w:style w:type="paragraph" w:customStyle="1" w:styleId="PM11">
    <w:name w:val="PM11"/>
    <w:basedOn w:val="Normale"/>
    <w:autoRedefine/>
    <w:rsid w:val="00C83007"/>
    <w:pPr>
      <w:pBdr>
        <w:bottom w:val="single" w:sz="12" w:space="1" w:color="auto"/>
      </w:pBdr>
      <w:tabs>
        <w:tab w:val="left" w:pos="567"/>
        <w:tab w:val="num" w:pos="720"/>
      </w:tabs>
      <w:spacing w:before="0" w:after="0"/>
      <w:jc w:val="left"/>
    </w:pPr>
    <w:rPr>
      <w:rFonts w:ascii="Garamond" w:hAnsi="Garamond"/>
      <w:b/>
      <w:bCs/>
      <w:i/>
      <w:iCs/>
      <w:sz w:val="22"/>
      <w:lang w:val="fr-BE" w:eastAsia="fr-FR"/>
    </w:rPr>
  </w:style>
  <w:style w:type="paragraph" w:customStyle="1" w:styleId="PM12">
    <w:name w:val="PM12"/>
    <w:basedOn w:val="Normale"/>
    <w:autoRedefine/>
    <w:rsid w:val="00C83007"/>
    <w:pPr>
      <w:pBdr>
        <w:bottom w:val="single" w:sz="12" w:space="1" w:color="auto"/>
      </w:pBdr>
      <w:tabs>
        <w:tab w:val="left" w:pos="567"/>
        <w:tab w:val="num" w:pos="720"/>
      </w:tabs>
      <w:spacing w:before="0" w:after="0"/>
      <w:jc w:val="left"/>
    </w:pPr>
    <w:rPr>
      <w:rFonts w:ascii="Garamond" w:hAnsi="Garamond"/>
      <w:b/>
      <w:bCs/>
      <w:i/>
      <w:iCs/>
      <w:sz w:val="22"/>
      <w:lang w:val="fr-BE" w:eastAsia="fr-FR"/>
    </w:rPr>
  </w:style>
  <w:style w:type="character" w:customStyle="1" w:styleId="percentt1">
    <w:name w:val="percentt1"/>
    <w:basedOn w:val="Carpredefinitoparagrafo"/>
    <w:rsid w:val="00C83007"/>
    <w:rPr>
      <w:rFonts w:ascii="Arial" w:hAnsi="Arial" w:cs="Arial" w:hint="default"/>
      <w:strike w:val="0"/>
      <w:dstrike w:val="0"/>
      <w:color w:val="990000"/>
      <w:sz w:val="15"/>
      <w:szCs w:val="15"/>
      <w:u w:val="none"/>
      <w:effect w:val="none"/>
    </w:rPr>
  </w:style>
  <w:style w:type="paragraph" w:customStyle="1" w:styleId="Standard0">
    <w:name w:val="Standard"/>
    <w:rsid w:val="00C83007"/>
    <w:pPr>
      <w:jc w:val="left"/>
    </w:pPr>
    <w:rPr>
      <w:rFonts w:ascii="Helvetica" w:eastAsia="Times New Roman" w:hAnsi="Helvetica" w:cs="Times New Roman"/>
      <w:sz w:val="20"/>
      <w:szCs w:val="20"/>
      <w:lang w:val="en-GB" w:eastAsia="fr-FR"/>
    </w:rPr>
  </w:style>
  <w:style w:type="paragraph" w:customStyle="1" w:styleId="BodyText21">
    <w:name w:val="Body Text 21"/>
    <w:basedOn w:val="Normale"/>
    <w:rsid w:val="00C83007"/>
    <w:pPr>
      <w:widowControl w:val="0"/>
      <w:tabs>
        <w:tab w:val="left" w:pos="426"/>
      </w:tabs>
      <w:spacing w:before="0" w:after="0"/>
    </w:pPr>
    <w:rPr>
      <w:rFonts w:ascii="Times New Roman" w:hAnsi="Times New Roman"/>
      <w:sz w:val="20"/>
      <w:lang w:val="en-GB" w:eastAsia="fr-FR"/>
    </w:rPr>
  </w:style>
  <w:style w:type="paragraph" w:customStyle="1" w:styleId="Text3">
    <w:name w:val="Text 3"/>
    <w:basedOn w:val="Normale"/>
    <w:rsid w:val="00C83007"/>
    <w:pPr>
      <w:tabs>
        <w:tab w:val="left" w:pos="2302"/>
      </w:tabs>
      <w:spacing w:before="0" w:after="0"/>
      <w:ind w:left="1202"/>
    </w:pPr>
    <w:rPr>
      <w:rFonts w:ascii="Garamond" w:hAnsi="Garamond"/>
      <w:sz w:val="24"/>
      <w:lang w:val="en-GB" w:eastAsia="fr-FR"/>
    </w:rPr>
  </w:style>
  <w:style w:type="paragraph" w:customStyle="1" w:styleId="Text4">
    <w:name w:val="Text 4"/>
    <w:basedOn w:val="Normale"/>
    <w:rsid w:val="00C83007"/>
    <w:pPr>
      <w:tabs>
        <w:tab w:val="left" w:pos="2302"/>
      </w:tabs>
      <w:spacing w:before="0" w:after="0"/>
      <w:ind w:left="1202"/>
    </w:pPr>
    <w:rPr>
      <w:rFonts w:ascii="Garamond" w:hAnsi="Garamond"/>
      <w:sz w:val="24"/>
      <w:lang w:val="en-GB" w:eastAsia="fr-FR"/>
    </w:rPr>
  </w:style>
  <w:style w:type="paragraph" w:customStyle="1" w:styleId="AddressTL">
    <w:name w:val="AddressTL"/>
    <w:basedOn w:val="Normale"/>
    <w:next w:val="Normale"/>
    <w:rsid w:val="00C83007"/>
    <w:pPr>
      <w:spacing w:before="0" w:after="720"/>
      <w:jc w:val="left"/>
    </w:pPr>
    <w:rPr>
      <w:rFonts w:ascii="Garamond" w:hAnsi="Garamond"/>
      <w:sz w:val="24"/>
      <w:lang w:val="en-GB" w:eastAsia="fr-FR"/>
    </w:rPr>
  </w:style>
  <w:style w:type="paragraph" w:customStyle="1" w:styleId="AddressTR">
    <w:name w:val="AddressTR"/>
    <w:basedOn w:val="Normale"/>
    <w:next w:val="Normale"/>
    <w:rsid w:val="00C83007"/>
    <w:pPr>
      <w:spacing w:before="0" w:after="720"/>
      <w:ind w:left="5103"/>
      <w:jc w:val="left"/>
    </w:pPr>
    <w:rPr>
      <w:rFonts w:ascii="Garamond" w:hAnsi="Garamond"/>
      <w:sz w:val="24"/>
      <w:lang w:val="en-GB" w:eastAsia="fr-FR"/>
    </w:rPr>
  </w:style>
  <w:style w:type="paragraph" w:styleId="Primorientrocorpodeltesto">
    <w:name w:val="Body Text First Indent"/>
    <w:basedOn w:val="Corpodeltesto"/>
    <w:link w:val="PrimorientrocorpodeltestoCarattere"/>
    <w:rsid w:val="00C83007"/>
    <w:pPr>
      <w:spacing w:before="0"/>
      <w:ind w:firstLine="210"/>
      <w:jc w:val="both"/>
    </w:pPr>
    <w:rPr>
      <w:rFonts w:ascii="Garamond" w:hAnsi="Garamond"/>
      <w:i w:val="0"/>
      <w:iCs w:val="0"/>
      <w:sz w:val="24"/>
      <w:lang w:val="fr-FR" w:eastAsia="fr-FR"/>
    </w:rPr>
  </w:style>
  <w:style w:type="character" w:customStyle="1" w:styleId="PrimorientrocorpodeltestoCarattere">
    <w:name w:val="Primo rientro corpo del testo Carattere"/>
    <w:basedOn w:val="CorpodeltestoCarattere"/>
    <w:link w:val="Primorientrocorpodeltesto"/>
    <w:rsid w:val="00C83007"/>
    <w:rPr>
      <w:rFonts w:ascii="Garamond" w:hAnsi="Garamond"/>
      <w:sz w:val="24"/>
      <w:lang w:val="fr-FR" w:eastAsia="fr-FR"/>
    </w:rPr>
  </w:style>
  <w:style w:type="paragraph" w:styleId="Primorientrocorpodeltesto2">
    <w:name w:val="Body Text First Indent 2"/>
    <w:basedOn w:val="Rientrocorpodeltesto"/>
    <w:link w:val="Primorientrocorpodeltesto2Carattere"/>
    <w:rsid w:val="00C83007"/>
    <w:pPr>
      <w:spacing w:before="0"/>
      <w:ind w:left="283" w:firstLine="210"/>
    </w:pPr>
    <w:rPr>
      <w:rFonts w:ascii="Garamond" w:hAnsi="Garamond"/>
      <w:sz w:val="24"/>
      <w:lang w:val="en-GB" w:eastAsia="fr-FR"/>
    </w:rPr>
  </w:style>
  <w:style w:type="character" w:customStyle="1" w:styleId="Primorientrocorpodeltesto2Carattere">
    <w:name w:val="Primo rientro corpo del testo 2 Carattere"/>
    <w:basedOn w:val="RientrocorpodeltestoCarattere"/>
    <w:link w:val="Primorientrocorpodeltesto2"/>
    <w:rsid w:val="00C83007"/>
    <w:rPr>
      <w:rFonts w:ascii="Garamond" w:hAnsi="Garamond"/>
      <w:sz w:val="24"/>
      <w:lang w:val="en-GB" w:eastAsia="fr-FR"/>
    </w:rPr>
  </w:style>
  <w:style w:type="paragraph" w:styleId="Rientrocorpodeltesto3">
    <w:name w:val="Body Text Indent 3"/>
    <w:basedOn w:val="Normale"/>
    <w:link w:val="Rientrocorpodeltesto3Carattere"/>
    <w:rsid w:val="00C83007"/>
    <w:pPr>
      <w:spacing w:before="0"/>
      <w:ind w:left="283"/>
    </w:pPr>
    <w:rPr>
      <w:rFonts w:ascii="Garamond" w:hAnsi="Garamond"/>
      <w:sz w:val="16"/>
      <w:lang w:val="en-GB" w:eastAsia="fr-FR"/>
    </w:rPr>
  </w:style>
  <w:style w:type="character" w:customStyle="1" w:styleId="Rientrocorpodeltesto3Carattere">
    <w:name w:val="Rientro corpo del testo 3 Carattere"/>
    <w:basedOn w:val="Carpredefinitoparagrafo"/>
    <w:link w:val="Rientrocorpodeltesto3"/>
    <w:rsid w:val="00C83007"/>
    <w:rPr>
      <w:rFonts w:ascii="Garamond" w:eastAsia="Times New Roman" w:hAnsi="Garamond" w:cs="Times New Roman"/>
      <w:sz w:val="16"/>
      <w:szCs w:val="20"/>
      <w:lang w:val="en-GB" w:eastAsia="fr-FR"/>
    </w:rPr>
  </w:style>
  <w:style w:type="paragraph" w:customStyle="1" w:styleId="ChapterTitle">
    <w:name w:val="ChapterTitle"/>
    <w:basedOn w:val="Normale"/>
    <w:next w:val="SectionTitle"/>
    <w:rsid w:val="00C83007"/>
    <w:pPr>
      <w:keepNext/>
      <w:spacing w:before="0" w:after="480"/>
      <w:jc w:val="center"/>
    </w:pPr>
    <w:rPr>
      <w:rFonts w:ascii="Garamond" w:hAnsi="Garamond"/>
      <w:b/>
      <w:sz w:val="32"/>
      <w:lang w:val="en-GB" w:eastAsia="fr-FR"/>
    </w:rPr>
  </w:style>
  <w:style w:type="paragraph" w:customStyle="1" w:styleId="SectionTitle">
    <w:name w:val="SectionTitle"/>
    <w:basedOn w:val="Normale"/>
    <w:next w:val="Titolo1"/>
    <w:rsid w:val="00C83007"/>
    <w:pPr>
      <w:keepNext/>
      <w:spacing w:before="0" w:after="480"/>
      <w:jc w:val="center"/>
    </w:pPr>
    <w:rPr>
      <w:rFonts w:ascii="Garamond" w:hAnsi="Garamond"/>
      <w:b/>
      <w:smallCaps/>
      <w:sz w:val="28"/>
      <w:lang w:val="en-GB" w:eastAsia="fr-FR"/>
    </w:rPr>
  </w:style>
  <w:style w:type="paragraph" w:styleId="Formuladichiusura">
    <w:name w:val="Closing"/>
    <w:basedOn w:val="Normale"/>
    <w:link w:val="FormuladichiusuraCarattere"/>
    <w:rsid w:val="00C83007"/>
    <w:pPr>
      <w:spacing w:before="0" w:after="0"/>
      <w:ind w:left="4252"/>
    </w:pPr>
    <w:rPr>
      <w:rFonts w:ascii="Garamond" w:hAnsi="Garamond"/>
      <w:sz w:val="24"/>
      <w:lang w:val="en-GB" w:eastAsia="fr-FR"/>
    </w:rPr>
  </w:style>
  <w:style w:type="character" w:customStyle="1" w:styleId="FormuladichiusuraCarattere">
    <w:name w:val="Formula di chiusura Carattere"/>
    <w:basedOn w:val="Carpredefinitoparagrafo"/>
    <w:link w:val="Formuladichiusura"/>
    <w:rsid w:val="00C83007"/>
    <w:rPr>
      <w:rFonts w:ascii="Garamond" w:eastAsia="Times New Roman" w:hAnsi="Garamond" w:cs="Times New Roman"/>
      <w:sz w:val="24"/>
      <w:szCs w:val="20"/>
      <w:lang w:val="en-GB" w:eastAsia="fr-FR"/>
    </w:rPr>
  </w:style>
  <w:style w:type="paragraph" w:styleId="Data">
    <w:name w:val="Date"/>
    <w:basedOn w:val="Normale"/>
    <w:next w:val="References"/>
    <w:link w:val="DataCarattere"/>
    <w:rsid w:val="00C83007"/>
    <w:pPr>
      <w:spacing w:before="0" w:after="0"/>
      <w:ind w:left="5103" w:right="-567"/>
      <w:jc w:val="left"/>
    </w:pPr>
    <w:rPr>
      <w:rFonts w:ascii="Garamond" w:hAnsi="Garamond"/>
      <w:sz w:val="24"/>
      <w:lang w:val="en-GB" w:eastAsia="fr-FR"/>
    </w:rPr>
  </w:style>
  <w:style w:type="character" w:customStyle="1" w:styleId="DataCarattere">
    <w:name w:val="Data Carattere"/>
    <w:basedOn w:val="Carpredefinitoparagrafo"/>
    <w:link w:val="Data"/>
    <w:rsid w:val="00C83007"/>
    <w:rPr>
      <w:rFonts w:ascii="Garamond" w:eastAsia="Times New Roman" w:hAnsi="Garamond" w:cs="Times New Roman"/>
      <w:sz w:val="24"/>
      <w:szCs w:val="20"/>
      <w:lang w:val="en-GB" w:eastAsia="fr-FR"/>
    </w:rPr>
  </w:style>
  <w:style w:type="paragraph" w:customStyle="1" w:styleId="References">
    <w:name w:val="References"/>
    <w:basedOn w:val="Normale"/>
    <w:next w:val="AddressTR"/>
    <w:rsid w:val="00C83007"/>
    <w:pPr>
      <w:spacing w:before="0" w:after="0"/>
      <w:ind w:left="5103"/>
      <w:jc w:val="left"/>
    </w:pPr>
    <w:rPr>
      <w:rFonts w:ascii="Garamond" w:hAnsi="Garamond"/>
      <w:sz w:val="20"/>
      <w:lang w:val="en-GB" w:eastAsia="fr-FR"/>
    </w:rPr>
  </w:style>
  <w:style w:type="paragraph" w:customStyle="1" w:styleId="DoubSign">
    <w:name w:val="DoubSign"/>
    <w:basedOn w:val="Normale"/>
    <w:next w:val="Enclosures"/>
    <w:rsid w:val="00C83007"/>
    <w:pPr>
      <w:tabs>
        <w:tab w:val="left" w:pos="5103"/>
      </w:tabs>
      <w:spacing w:before="1200" w:after="0"/>
      <w:jc w:val="left"/>
    </w:pPr>
    <w:rPr>
      <w:rFonts w:ascii="Garamond" w:hAnsi="Garamond"/>
      <w:sz w:val="24"/>
      <w:lang w:val="en-GB" w:eastAsia="fr-FR"/>
    </w:rPr>
  </w:style>
  <w:style w:type="paragraph" w:customStyle="1" w:styleId="Enclosures">
    <w:name w:val="Enclosures"/>
    <w:basedOn w:val="Normale"/>
    <w:rsid w:val="00C83007"/>
    <w:pPr>
      <w:keepNext/>
      <w:keepLines/>
      <w:tabs>
        <w:tab w:val="left" w:pos="5642"/>
      </w:tabs>
      <w:spacing w:before="480" w:after="0"/>
      <w:ind w:left="1191" w:hanging="1191"/>
      <w:jc w:val="left"/>
    </w:pPr>
    <w:rPr>
      <w:rFonts w:ascii="Garamond" w:hAnsi="Garamond"/>
      <w:sz w:val="24"/>
      <w:lang w:val="en-GB" w:eastAsia="fr-FR"/>
    </w:rPr>
  </w:style>
  <w:style w:type="paragraph" w:styleId="Indirizzodestinatario">
    <w:name w:val="envelope address"/>
    <w:basedOn w:val="Normale"/>
    <w:rsid w:val="00C83007"/>
    <w:pPr>
      <w:framePr w:w="7920" w:h="1980" w:hRule="exact" w:hSpace="180" w:wrap="auto" w:hAnchor="page" w:xAlign="center" w:yAlign="bottom"/>
      <w:spacing w:before="0" w:after="0"/>
    </w:pPr>
    <w:rPr>
      <w:rFonts w:ascii="Garamond" w:hAnsi="Garamond"/>
      <w:sz w:val="24"/>
      <w:lang w:val="en-GB" w:eastAsia="fr-FR"/>
    </w:rPr>
  </w:style>
  <w:style w:type="paragraph" w:styleId="Indirizzomittente">
    <w:name w:val="envelope return"/>
    <w:basedOn w:val="Normale"/>
    <w:rsid w:val="00C83007"/>
    <w:pPr>
      <w:spacing w:before="0" w:after="0"/>
    </w:pPr>
    <w:rPr>
      <w:rFonts w:ascii="Garamond" w:hAnsi="Garamond"/>
      <w:sz w:val="20"/>
      <w:lang w:val="en-GB" w:eastAsia="fr-FR"/>
    </w:rPr>
  </w:style>
  <w:style w:type="paragraph" w:styleId="Elenco">
    <w:name w:val="List"/>
    <w:basedOn w:val="Normale"/>
    <w:rsid w:val="00C83007"/>
    <w:pPr>
      <w:spacing w:before="0" w:after="0"/>
      <w:ind w:left="283" w:hanging="283"/>
    </w:pPr>
    <w:rPr>
      <w:rFonts w:ascii="Garamond" w:hAnsi="Garamond"/>
      <w:sz w:val="24"/>
      <w:lang w:val="en-GB" w:eastAsia="fr-FR"/>
    </w:rPr>
  </w:style>
  <w:style w:type="paragraph" w:styleId="Elenco2">
    <w:name w:val="List 2"/>
    <w:basedOn w:val="Normale"/>
    <w:rsid w:val="00C83007"/>
    <w:pPr>
      <w:tabs>
        <w:tab w:val="num" w:pos="405"/>
      </w:tabs>
      <w:spacing w:before="0" w:after="0"/>
      <w:ind w:left="566" w:hanging="283"/>
    </w:pPr>
    <w:rPr>
      <w:rFonts w:ascii="Garamond" w:hAnsi="Garamond"/>
      <w:sz w:val="24"/>
      <w:lang w:val="en-GB" w:eastAsia="fr-FR"/>
    </w:rPr>
  </w:style>
  <w:style w:type="paragraph" w:styleId="Elenco3">
    <w:name w:val="List 3"/>
    <w:basedOn w:val="Normale"/>
    <w:rsid w:val="00C83007"/>
    <w:pPr>
      <w:tabs>
        <w:tab w:val="num" w:pos="1140"/>
      </w:tabs>
      <w:spacing w:before="0" w:after="0"/>
      <w:ind w:left="849" w:hanging="283"/>
    </w:pPr>
    <w:rPr>
      <w:rFonts w:ascii="Garamond" w:hAnsi="Garamond"/>
      <w:sz w:val="24"/>
      <w:lang w:val="en-GB" w:eastAsia="fr-FR"/>
    </w:rPr>
  </w:style>
  <w:style w:type="paragraph" w:styleId="Elenco4">
    <w:name w:val="List 4"/>
    <w:basedOn w:val="Normale"/>
    <w:rsid w:val="00C83007"/>
    <w:pPr>
      <w:tabs>
        <w:tab w:val="num" w:pos="567"/>
      </w:tabs>
      <w:spacing w:before="0" w:after="0"/>
      <w:ind w:left="1132" w:hanging="283"/>
    </w:pPr>
    <w:rPr>
      <w:rFonts w:ascii="Garamond" w:hAnsi="Garamond"/>
      <w:sz w:val="24"/>
      <w:lang w:val="en-GB" w:eastAsia="fr-FR"/>
    </w:rPr>
  </w:style>
  <w:style w:type="paragraph" w:styleId="Elenco5">
    <w:name w:val="List 5"/>
    <w:basedOn w:val="Normale"/>
    <w:rsid w:val="00C83007"/>
    <w:pPr>
      <w:spacing w:before="0" w:after="0"/>
      <w:ind w:left="1415" w:hanging="283"/>
    </w:pPr>
    <w:rPr>
      <w:rFonts w:ascii="Garamond" w:hAnsi="Garamond"/>
      <w:sz w:val="24"/>
      <w:lang w:val="en-GB" w:eastAsia="fr-FR"/>
    </w:rPr>
  </w:style>
  <w:style w:type="paragraph" w:styleId="Puntoelenco3">
    <w:name w:val="List Bullet 3"/>
    <w:basedOn w:val="Normale"/>
    <w:autoRedefine/>
    <w:rsid w:val="00C83007"/>
    <w:pPr>
      <w:tabs>
        <w:tab w:val="num" w:pos="369"/>
      </w:tabs>
      <w:spacing w:before="0" w:after="0"/>
      <w:ind w:left="369" w:hanging="369"/>
    </w:pPr>
    <w:rPr>
      <w:rFonts w:ascii="Garamond" w:hAnsi="Garamond"/>
      <w:sz w:val="24"/>
      <w:lang w:val="en-GB" w:eastAsia="fr-FR"/>
    </w:rPr>
  </w:style>
  <w:style w:type="paragraph" w:styleId="Puntoelenco5">
    <w:name w:val="List Bullet 5"/>
    <w:basedOn w:val="Normale"/>
    <w:autoRedefine/>
    <w:rsid w:val="00C83007"/>
    <w:pPr>
      <w:tabs>
        <w:tab w:val="num" w:pos="644"/>
        <w:tab w:val="num" w:pos="1492"/>
      </w:tabs>
      <w:spacing w:before="0" w:after="0"/>
      <w:ind w:left="1492" w:hanging="360"/>
    </w:pPr>
    <w:rPr>
      <w:rFonts w:ascii="Garamond" w:hAnsi="Garamond"/>
      <w:sz w:val="24"/>
      <w:lang w:val="en-GB" w:eastAsia="fr-FR"/>
    </w:rPr>
  </w:style>
  <w:style w:type="paragraph" w:styleId="Elencocontinua2">
    <w:name w:val="List Continue 2"/>
    <w:basedOn w:val="Normale"/>
    <w:rsid w:val="00C83007"/>
    <w:pPr>
      <w:tabs>
        <w:tab w:val="num" w:pos="927"/>
      </w:tabs>
      <w:spacing w:before="0"/>
      <w:ind w:left="566"/>
    </w:pPr>
    <w:rPr>
      <w:rFonts w:ascii="Garamond" w:hAnsi="Garamond"/>
      <w:sz w:val="24"/>
      <w:lang w:val="en-GB" w:eastAsia="fr-FR"/>
    </w:rPr>
  </w:style>
  <w:style w:type="paragraph" w:styleId="Elencocontinua3">
    <w:name w:val="List Continue 3"/>
    <w:basedOn w:val="Normale"/>
    <w:rsid w:val="00C83007"/>
    <w:pPr>
      <w:tabs>
        <w:tab w:val="num" w:pos="360"/>
      </w:tabs>
      <w:spacing w:before="0"/>
      <w:ind w:left="849"/>
    </w:pPr>
    <w:rPr>
      <w:rFonts w:ascii="Garamond" w:hAnsi="Garamond"/>
      <w:sz w:val="24"/>
      <w:lang w:val="en-GB" w:eastAsia="fr-FR"/>
    </w:rPr>
  </w:style>
  <w:style w:type="paragraph" w:styleId="Elencocontinua4">
    <w:name w:val="List Continue 4"/>
    <w:basedOn w:val="Normale"/>
    <w:rsid w:val="00C83007"/>
    <w:pPr>
      <w:tabs>
        <w:tab w:val="num" w:pos="720"/>
      </w:tabs>
      <w:spacing w:before="0"/>
      <w:ind w:left="1132"/>
    </w:pPr>
    <w:rPr>
      <w:rFonts w:ascii="Garamond" w:hAnsi="Garamond"/>
      <w:sz w:val="24"/>
      <w:lang w:val="en-GB" w:eastAsia="fr-FR"/>
    </w:rPr>
  </w:style>
  <w:style w:type="paragraph" w:styleId="Elencocontinua5">
    <w:name w:val="List Continue 5"/>
    <w:basedOn w:val="Normale"/>
    <w:rsid w:val="00C83007"/>
    <w:pPr>
      <w:spacing w:before="0"/>
      <w:ind w:left="1415"/>
    </w:pPr>
    <w:rPr>
      <w:rFonts w:ascii="Garamond" w:hAnsi="Garamond"/>
      <w:sz w:val="24"/>
      <w:lang w:val="en-GB" w:eastAsia="fr-FR"/>
    </w:rPr>
  </w:style>
  <w:style w:type="paragraph" w:styleId="Numeroelenco">
    <w:name w:val="List Number"/>
    <w:basedOn w:val="Normale"/>
    <w:rsid w:val="00C83007"/>
    <w:pPr>
      <w:tabs>
        <w:tab w:val="num" w:pos="720"/>
      </w:tabs>
      <w:spacing w:before="0" w:after="0"/>
      <w:ind w:left="720" w:hanging="360"/>
    </w:pPr>
    <w:rPr>
      <w:rFonts w:ascii="Garamond" w:hAnsi="Garamond"/>
      <w:sz w:val="24"/>
      <w:lang w:val="en-GB" w:eastAsia="fr-FR"/>
    </w:rPr>
  </w:style>
  <w:style w:type="paragraph" w:styleId="Intestazionemessaggio">
    <w:name w:val="Message Header"/>
    <w:basedOn w:val="Normale"/>
    <w:link w:val="IntestazionemessaggioCarattere"/>
    <w:rsid w:val="00C83007"/>
    <w:pPr>
      <w:pBdr>
        <w:top w:val="single" w:sz="6" w:space="1" w:color="auto"/>
        <w:left w:val="single" w:sz="6" w:space="1" w:color="auto"/>
        <w:bottom w:val="single" w:sz="6" w:space="1" w:color="auto"/>
        <w:right w:val="single" w:sz="6" w:space="1" w:color="auto"/>
      </w:pBdr>
      <w:shd w:val="pct20" w:color="auto" w:fill="auto"/>
      <w:spacing w:before="0" w:after="0"/>
      <w:ind w:left="1134" w:hanging="1134"/>
    </w:pPr>
    <w:rPr>
      <w:rFonts w:ascii="Arial" w:hAnsi="Arial"/>
      <w:sz w:val="24"/>
      <w:lang w:val="en-GB" w:eastAsia="fr-FR"/>
    </w:rPr>
  </w:style>
  <w:style w:type="character" w:customStyle="1" w:styleId="IntestazionemessaggioCarattere">
    <w:name w:val="Intestazione messaggio Carattere"/>
    <w:basedOn w:val="Carpredefinitoparagrafo"/>
    <w:link w:val="Intestazionemessaggio"/>
    <w:rsid w:val="00C83007"/>
    <w:rPr>
      <w:rFonts w:ascii="Arial" w:eastAsia="Times New Roman" w:hAnsi="Arial" w:cs="Times New Roman"/>
      <w:sz w:val="24"/>
      <w:szCs w:val="20"/>
      <w:shd w:val="pct20" w:color="auto" w:fill="auto"/>
      <w:lang w:val="en-GB" w:eastAsia="fr-FR"/>
    </w:rPr>
  </w:style>
  <w:style w:type="paragraph" w:styleId="Intestazionenota">
    <w:name w:val="Note Heading"/>
    <w:basedOn w:val="Normale"/>
    <w:next w:val="Normale"/>
    <w:link w:val="IntestazionenotaCarattere"/>
    <w:rsid w:val="00C83007"/>
    <w:pPr>
      <w:spacing w:before="0" w:after="0"/>
    </w:pPr>
    <w:rPr>
      <w:rFonts w:ascii="Garamond" w:hAnsi="Garamond"/>
      <w:sz w:val="24"/>
      <w:lang w:val="en-GB" w:eastAsia="fr-FR"/>
    </w:rPr>
  </w:style>
  <w:style w:type="character" w:customStyle="1" w:styleId="IntestazionenotaCarattere">
    <w:name w:val="Intestazione nota Carattere"/>
    <w:basedOn w:val="Carpredefinitoparagrafo"/>
    <w:link w:val="Intestazionenota"/>
    <w:rsid w:val="00C83007"/>
    <w:rPr>
      <w:rFonts w:ascii="Garamond" w:eastAsia="Times New Roman" w:hAnsi="Garamond" w:cs="Times New Roman"/>
      <w:sz w:val="24"/>
      <w:szCs w:val="20"/>
      <w:lang w:val="en-GB" w:eastAsia="fr-FR"/>
    </w:rPr>
  </w:style>
  <w:style w:type="paragraph" w:customStyle="1" w:styleId="NumPar2">
    <w:name w:val="NumPar 2"/>
    <w:basedOn w:val="Titolo2"/>
    <w:next w:val="Text2"/>
    <w:rsid w:val="00C83007"/>
    <w:pPr>
      <w:keepNext w:val="0"/>
      <w:tabs>
        <w:tab w:val="num" w:pos="432"/>
      </w:tabs>
      <w:spacing w:before="120"/>
      <w:ind w:left="432" w:hanging="432"/>
      <w:jc w:val="left"/>
      <w:outlineLvl w:val="9"/>
    </w:pPr>
    <w:rPr>
      <w:rFonts w:ascii="Garamond" w:hAnsi="Garamond"/>
      <w:b w:val="0"/>
      <w:color w:val="auto"/>
      <w:szCs w:val="20"/>
      <w:lang w:eastAsia="fr-FR"/>
    </w:rPr>
  </w:style>
  <w:style w:type="paragraph" w:customStyle="1" w:styleId="NumPar3">
    <w:name w:val="NumPar 3"/>
    <w:basedOn w:val="Titolo3"/>
    <w:next w:val="Text3"/>
    <w:rsid w:val="00C83007"/>
    <w:pPr>
      <w:keepNext w:val="0"/>
      <w:tabs>
        <w:tab w:val="num" w:pos="720"/>
      </w:tabs>
      <w:spacing w:before="120"/>
      <w:outlineLvl w:val="9"/>
    </w:pPr>
    <w:rPr>
      <w:rFonts w:ascii="Garamond" w:eastAsia="Times New Roman" w:hAnsi="Garamond" w:cs="Times New Roman"/>
      <w:noProof/>
      <w:color w:val="auto"/>
      <w:szCs w:val="20"/>
      <w:u w:val="single"/>
      <w:lang w:val="fr-FR" w:eastAsia="fr-FR"/>
    </w:rPr>
  </w:style>
  <w:style w:type="paragraph" w:customStyle="1" w:styleId="NumPar4">
    <w:name w:val="NumPar 4"/>
    <w:basedOn w:val="Titolo4"/>
    <w:next w:val="Text4"/>
    <w:rsid w:val="00C83007"/>
    <w:pPr>
      <w:keepNext w:val="0"/>
      <w:overflowPunct/>
      <w:autoSpaceDE/>
      <w:autoSpaceDN/>
      <w:adjustRightInd/>
      <w:spacing w:before="360" w:after="240"/>
      <w:ind w:left="646" w:hanging="646"/>
      <w:jc w:val="left"/>
      <w:textAlignment w:val="auto"/>
      <w:outlineLvl w:val="9"/>
    </w:pPr>
    <w:rPr>
      <w:rFonts w:ascii="Garamond" w:hAnsi="Garamond"/>
      <w:color w:val="auto"/>
      <w:sz w:val="24"/>
      <w:szCs w:val="24"/>
      <w:u w:val="none"/>
      <w:lang w:val="fr-FR" w:eastAsia="fr-FR"/>
    </w:rPr>
  </w:style>
  <w:style w:type="paragraph" w:customStyle="1" w:styleId="PartTitle">
    <w:name w:val="PartTitle"/>
    <w:basedOn w:val="Normale"/>
    <w:next w:val="ChapterTitle"/>
    <w:rsid w:val="00C83007"/>
    <w:pPr>
      <w:keepNext/>
      <w:pageBreakBefore/>
      <w:spacing w:before="0" w:after="480"/>
      <w:jc w:val="center"/>
    </w:pPr>
    <w:rPr>
      <w:rFonts w:ascii="Garamond" w:hAnsi="Garamond"/>
      <w:b/>
      <w:sz w:val="36"/>
      <w:lang w:val="en-GB" w:eastAsia="fr-FR"/>
    </w:rPr>
  </w:style>
  <w:style w:type="paragraph" w:styleId="Testonormale">
    <w:name w:val="Plain Text"/>
    <w:basedOn w:val="Normale"/>
    <w:link w:val="TestonormaleCarattere"/>
    <w:uiPriority w:val="99"/>
    <w:rsid w:val="00C83007"/>
    <w:pPr>
      <w:spacing w:before="0" w:after="0"/>
    </w:pPr>
    <w:rPr>
      <w:rFonts w:ascii="Courier New" w:hAnsi="Courier New"/>
      <w:sz w:val="20"/>
      <w:lang w:val="en-GB" w:eastAsia="fr-FR"/>
    </w:rPr>
  </w:style>
  <w:style w:type="character" w:customStyle="1" w:styleId="TestonormaleCarattere">
    <w:name w:val="Testo normale Carattere"/>
    <w:basedOn w:val="Carpredefinitoparagrafo"/>
    <w:link w:val="Testonormale"/>
    <w:uiPriority w:val="99"/>
    <w:rsid w:val="00C83007"/>
    <w:rPr>
      <w:rFonts w:ascii="Courier New" w:eastAsia="Times New Roman" w:hAnsi="Courier New" w:cs="Times New Roman"/>
      <w:sz w:val="20"/>
      <w:szCs w:val="20"/>
      <w:lang w:val="en-GB" w:eastAsia="fr-FR"/>
    </w:rPr>
  </w:style>
  <w:style w:type="paragraph" w:styleId="Formuladiapertura">
    <w:name w:val="Salutation"/>
    <w:basedOn w:val="Normale"/>
    <w:next w:val="Normale"/>
    <w:link w:val="FormuladiaperturaCarattere"/>
    <w:rsid w:val="00C83007"/>
    <w:pPr>
      <w:spacing w:before="0" w:after="0"/>
    </w:pPr>
    <w:rPr>
      <w:rFonts w:ascii="Garamond" w:hAnsi="Garamond"/>
      <w:sz w:val="24"/>
      <w:lang w:val="en-GB" w:eastAsia="fr-FR"/>
    </w:rPr>
  </w:style>
  <w:style w:type="character" w:customStyle="1" w:styleId="FormuladiaperturaCarattere">
    <w:name w:val="Formula di apertura Carattere"/>
    <w:basedOn w:val="Carpredefinitoparagrafo"/>
    <w:link w:val="Formuladiapertura"/>
    <w:rsid w:val="00C83007"/>
    <w:rPr>
      <w:rFonts w:ascii="Garamond" w:eastAsia="Times New Roman" w:hAnsi="Garamond" w:cs="Times New Roman"/>
      <w:sz w:val="24"/>
      <w:szCs w:val="20"/>
      <w:lang w:val="en-GB" w:eastAsia="fr-FR"/>
    </w:rPr>
  </w:style>
  <w:style w:type="paragraph" w:styleId="Firma">
    <w:name w:val="Signature"/>
    <w:basedOn w:val="Normale"/>
    <w:next w:val="Enclosures"/>
    <w:link w:val="FirmaCarattere"/>
    <w:rsid w:val="00C83007"/>
    <w:pPr>
      <w:tabs>
        <w:tab w:val="left" w:pos="5103"/>
      </w:tabs>
      <w:spacing w:before="1200" w:after="0"/>
      <w:ind w:left="5103"/>
      <w:jc w:val="center"/>
    </w:pPr>
    <w:rPr>
      <w:rFonts w:ascii="Garamond" w:hAnsi="Garamond"/>
      <w:sz w:val="24"/>
      <w:lang w:val="en-GB" w:eastAsia="fr-FR"/>
    </w:rPr>
  </w:style>
  <w:style w:type="character" w:customStyle="1" w:styleId="FirmaCarattere">
    <w:name w:val="Firma Carattere"/>
    <w:basedOn w:val="Carpredefinitoparagrafo"/>
    <w:link w:val="Firma"/>
    <w:rsid w:val="00C83007"/>
    <w:rPr>
      <w:rFonts w:ascii="Garamond" w:eastAsia="Times New Roman" w:hAnsi="Garamond" w:cs="Times New Roman"/>
      <w:sz w:val="24"/>
      <w:szCs w:val="20"/>
      <w:lang w:val="en-GB" w:eastAsia="fr-FR"/>
    </w:rPr>
  </w:style>
  <w:style w:type="paragraph" w:customStyle="1" w:styleId="SubTitle1">
    <w:name w:val="SubTitle 1"/>
    <w:basedOn w:val="Normale"/>
    <w:next w:val="SubTitle2"/>
    <w:rsid w:val="00C83007"/>
    <w:pPr>
      <w:spacing w:before="0" w:after="0"/>
      <w:jc w:val="center"/>
    </w:pPr>
    <w:rPr>
      <w:rFonts w:ascii="Garamond" w:hAnsi="Garamond"/>
      <w:b/>
      <w:sz w:val="40"/>
      <w:lang w:val="en-GB" w:eastAsia="fr-FR"/>
    </w:rPr>
  </w:style>
  <w:style w:type="paragraph" w:customStyle="1" w:styleId="SubTitle2">
    <w:name w:val="SubTitle 2"/>
    <w:basedOn w:val="Normale"/>
    <w:rsid w:val="00C83007"/>
    <w:pPr>
      <w:spacing w:before="0" w:after="0"/>
      <w:jc w:val="center"/>
    </w:pPr>
    <w:rPr>
      <w:rFonts w:ascii="Garamond" w:hAnsi="Garamond"/>
      <w:b/>
      <w:sz w:val="32"/>
      <w:lang w:val="en-GB" w:eastAsia="fr-FR"/>
    </w:rPr>
  </w:style>
  <w:style w:type="paragraph" w:customStyle="1" w:styleId="YReferences">
    <w:name w:val="YReferences"/>
    <w:basedOn w:val="Normale"/>
    <w:next w:val="Normale"/>
    <w:rsid w:val="00C83007"/>
    <w:pPr>
      <w:spacing w:before="0" w:after="480"/>
      <w:ind w:left="1191" w:hanging="1191"/>
    </w:pPr>
    <w:rPr>
      <w:rFonts w:ascii="Garamond" w:hAnsi="Garamond"/>
      <w:sz w:val="24"/>
      <w:lang w:val="en-GB" w:eastAsia="fr-FR"/>
    </w:rPr>
  </w:style>
  <w:style w:type="paragraph" w:customStyle="1" w:styleId="Heading2b">
    <w:name w:val="Heading2b"/>
    <w:basedOn w:val="Normale"/>
    <w:rsid w:val="00C83007"/>
    <w:pPr>
      <w:spacing w:before="0" w:after="0"/>
      <w:ind w:left="567" w:hanging="567"/>
      <w:jc w:val="center"/>
    </w:pPr>
    <w:rPr>
      <w:rFonts w:ascii="Garamond" w:hAnsi="Garamond"/>
      <w:b/>
      <w:sz w:val="20"/>
      <w:u w:val="single"/>
      <w:lang w:val="en-GB" w:eastAsia="fr-FR"/>
    </w:rPr>
  </w:style>
  <w:style w:type="paragraph" w:customStyle="1" w:styleId="PE-Titre1">
    <w:name w:val="PE-Titre1"/>
    <w:basedOn w:val="Normale"/>
    <w:autoRedefine/>
    <w:rsid w:val="00C83007"/>
    <w:pPr>
      <w:spacing w:before="0" w:after="0"/>
    </w:pPr>
    <w:rPr>
      <w:rFonts w:ascii="Garamond" w:hAnsi="Garamond"/>
      <w:b/>
      <w:bCs/>
      <w:caps/>
      <w:sz w:val="24"/>
      <w:lang w:val="en-GB" w:eastAsia="fr-FR"/>
    </w:rPr>
  </w:style>
  <w:style w:type="paragraph" w:customStyle="1" w:styleId="PE-Titre3">
    <w:name w:val="PE-Titre3"/>
    <w:basedOn w:val="PE-Titre1"/>
    <w:autoRedefine/>
    <w:rsid w:val="00C83007"/>
    <w:rPr>
      <w:caps w:val="0"/>
    </w:rPr>
  </w:style>
  <w:style w:type="paragraph" w:customStyle="1" w:styleId="PE-Titre4">
    <w:name w:val="PE-Titre4"/>
    <w:basedOn w:val="PE-Titre1"/>
    <w:autoRedefine/>
    <w:rsid w:val="00C83007"/>
    <w:rPr>
      <w:b w:val="0"/>
      <w:caps w:val="0"/>
    </w:rPr>
  </w:style>
  <w:style w:type="paragraph" w:customStyle="1" w:styleId="xl24">
    <w:name w:val="xl24"/>
    <w:basedOn w:val="Normale"/>
    <w:rsid w:val="00C83007"/>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textAlignment w:val="center"/>
    </w:pPr>
    <w:rPr>
      <w:rFonts w:ascii="Arial" w:eastAsia="Arial Unicode MS" w:hAnsi="Arial" w:cs="Arial"/>
      <w:b/>
      <w:bCs/>
      <w:sz w:val="18"/>
      <w:szCs w:val="18"/>
      <w:lang w:val="en-GB"/>
    </w:rPr>
  </w:style>
  <w:style w:type="paragraph" w:customStyle="1" w:styleId="xl25">
    <w:name w:val="xl25"/>
    <w:basedOn w:val="Normale"/>
    <w:rsid w:val="00C83007"/>
    <w:pPr>
      <w:pBdr>
        <w:top w:val="single" w:sz="4" w:space="0" w:color="auto"/>
        <w:bottom w:val="single" w:sz="4" w:space="0" w:color="auto"/>
        <w:right w:val="single" w:sz="4" w:space="0" w:color="auto"/>
      </w:pBdr>
      <w:shd w:val="clear" w:color="auto" w:fill="FFFF00"/>
      <w:spacing w:before="100" w:beforeAutospacing="1" w:after="100" w:afterAutospacing="1"/>
      <w:jc w:val="center"/>
      <w:textAlignment w:val="center"/>
    </w:pPr>
    <w:rPr>
      <w:rFonts w:ascii="Arial" w:eastAsia="Arial Unicode MS" w:hAnsi="Arial" w:cs="Arial"/>
      <w:b/>
      <w:bCs/>
      <w:i/>
      <w:iCs/>
      <w:sz w:val="18"/>
      <w:szCs w:val="18"/>
      <w:lang w:val="en-GB"/>
    </w:rPr>
  </w:style>
  <w:style w:type="paragraph" w:customStyle="1" w:styleId="xl26">
    <w:name w:val="xl26"/>
    <w:basedOn w:val="Normale"/>
    <w:rsid w:val="00C83007"/>
    <w:pPr>
      <w:pBdr>
        <w:top w:val="single" w:sz="4" w:space="0" w:color="auto"/>
        <w:bottom w:val="single" w:sz="4" w:space="0" w:color="auto"/>
        <w:right w:val="single" w:sz="4" w:space="0" w:color="auto"/>
      </w:pBdr>
      <w:shd w:val="clear" w:color="auto" w:fill="FFFF00"/>
      <w:spacing w:before="100" w:beforeAutospacing="1" w:after="100" w:afterAutospacing="1"/>
      <w:jc w:val="center"/>
      <w:textAlignment w:val="center"/>
    </w:pPr>
    <w:rPr>
      <w:rFonts w:ascii="Arial" w:eastAsia="Arial Unicode MS" w:hAnsi="Arial" w:cs="Arial"/>
      <w:b/>
      <w:bCs/>
      <w:sz w:val="18"/>
      <w:szCs w:val="18"/>
      <w:lang w:val="en-GB"/>
    </w:rPr>
  </w:style>
  <w:style w:type="paragraph" w:customStyle="1" w:styleId="xl27">
    <w:name w:val="xl27"/>
    <w:basedOn w:val="Normale"/>
    <w:rsid w:val="00C83007"/>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Arial Unicode MS" w:hAnsi="Times New Roman"/>
      <w:sz w:val="24"/>
      <w:szCs w:val="24"/>
      <w:lang w:val="en-GB"/>
    </w:rPr>
  </w:style>
  <w:style w:type="paragraph" w:customStyle="1" w:styleId="xl28">
    <w:name w:val="xl28"/>
    <w:basedOn w:val="Normale"/>
    <w:rsid w:val="00C83007"/>
    <w:pPr>
      <w:pBdr>
        <w:bottom w:val="single" w:sz="4" w:space="0" w:color="auto"/>
        <w:right w:val="single" w:sz="4" w:space="0" w:color="auto"/>
      </w:pBdr>
      <w:spacing w:before="100" w:beforeAutospacing="1" w:after="100" w:afterAutospacing="1"/>
      <w:jc w:val="center"/>
      <w:textAlignment w:val="center"/>
    </w:pPr>
    <w:rPr>
      <w:rFonts w:ascii="Arial" w:eastAsia="Arial Unicode MS" w:hAnsi="Arial" w:cs="Arial"/>
      <w:sz w:val="16"/>
      <w:szCs w:val="16"/>
      <w:lang w:val="en-GB"/>
    </w:rPr>
  </w:style>
  <w:style w:type="paragraph" w:customStyle="1" w:styleId="xl29">
    <w:name w:val="xl29"/>
    <w:basedOn w:val="Normale"/>
    <w:rsid w:val="00C83007"/>
    <w:pPr>
      <w:pBdr>
        <w:bottom w:val="single" w:sz="4" w:space="0" w:color="auto"/>
        <w:right w:val="single" w:sz="4" w:space="0" w:color="auto"/>
      </w:pBdr>
      <w:spacing w:before="100" w:beforeAutospacing="1" w:after="100" w:afterAutospacing="1"/>
      <w:jc w:val="center"/>
      <w:textAlignment w:val="center"/>
    </w:pPr>
    <w:rPr>
      <w:rFonts w:ascii="Times New Roman" w:eastAsia="Arial Unicode MS" w:hAnsi="Times New Roman"/>
      <w:sz w:val="24"/>
      <w:szCs w:val="24"/>
      <w:lang w:val="en-GB"/>
    </w:rPr>
  </w:style>
  <w:style w:type="paragraph" w:customStyle="1" w:styleId="xl30">
    <w:name w:val="xl30"/>
    <w:basedOn w:val="Normale"/>
    <w:rsid w:val="00C83007"/>
    <w:pPr>
      <w:pBdr>
        <w:bottom w:val="single" w:sz="4" w:space="0" w:color="auto"/>
        <w:right w:val="single" w:sz="4" w:space="0" w:color="auto"/>
      </w:pBdr>
      <w:spacing w:before="100" w:beforeAutospacing="1" w:after="100" w:afterAutospacing="1"/>
      <w:jc w:val="center"/>
      <w:textAlignment w:val="center"/>
    </w:pPr>
    <w:rPr>
      <w:rFonts w:ascii="Arial" w:eastAsia="Arial Unicode MS" w:hAnsi="Arial" w:cs="Arial"/>
      <w:sz w:val="16"/>
      <w:szCs w:val="16"/>
      <w:lang w:val="en-GB"/>
    </w:rPr>
  </w:style>
  <w:style w:type="paragraph" w:customStyle="1" w:styleId="xl31">
    <w:name w:val="xl31"/>
    <w:basedOn w:val="Normale"/>
    <w:rsid w:val="00C8300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Arial Unicode MS" w:hAnsi="Arial" w:cs="Arial"/>
      <w:sz w:val="16"/>
      <w:szCs w:val="16"/>
      <w:lang w:val="en-GB"/>
    </w:rPr>
  </w:style>
  <w:style w:type="paragraph" w:customStyle="1" w:styleId="xl32">
    <w:name w:val="xl32"/>
    <w:basedOn w:val="Normale"/>
    <w:rsid w:val="00C83007"/>
    <w:pPr>
      <w:pBdr>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Arial" w:eastAsia="Arial Unicode MS" w:hAnsi="Arial" w:cs="Arial"/>
      <w:sz w:val="16"/>
      <w:szCs w:val="16"/>
      <w:lang w:val="en-GB"/>
    </w:rPr>
  </w:style>
  <w:style w:type="paragraph" w:customStyle="1" w:styleId="xl33">
    <w:name w:val="xl33"/>
    <w:basedOn w:val="Normale"/>
    <w:rsid w:val="00C83007"/>
    <w:pPr>
      <w:pBdr>
        <w:bottom w:val="single" w:sz="4" w:space="0" w:color="auto"/>
        <w:right w:val="single" w:sz="4" w:space="0" w:color="auto"/>
      </w:pBdr>
      <w:shd w:val="clear" w:color="auto" w:fill="FFFF99"/>
      <w:spacing w:before="100" w:beforeAutospacing="1" w:after="100" w:afterAutospacing="1"/>
      <w:jc w:val="center"/>
      <w:textAlignment w:val="center"/>
    </w:pPr>
    <w:rPr>
      <w:rFonts w:ascii="Arial" w:eastAsia="Arial Unicode MS" w:hAnsi="Arial" w:cs="Arial"/>
      <w:sz w:val="16"/>
      <w:szCs w:val="16"/>
      <w:lang w:val="en-GB"/>
    </w:rPr>
  </w:style>
  <w:style w:type="paragraph" w:customStyle="1" w:styleId="xl34">
    <w:name w:val="xl34"/>
    <w:basedOn w:val="Normale"/>
    <w:rsid w:val="00C83007"/>
    <w:pPr>
      <w:pBdr>
        <w:bottom w:val="single" w:sz="4" w:space="0" w:color="auto"/>
        <w:right w:val="single" w:sz="4" w:space="0" w:color="auto"/>
      </w:pBdr>
      <w:shd w:val="clear" w:color="auto" w:fill="FFFF99"/>
      <w:spacing w:before="100" w:beforeAutospacing="1" w:after="100" w:afterAutospacing="1"/>
      <w:jc w:val="center"/>
      <w:textAlignment w:val="center"/>
    </w:pPr>
    <w:rPr>
      <w:rFonts w:ascii="Times New Roman" w:eastAsia="Arial Unicode MS" w:hAnsi="Times New Roman"/>
      <w:sz w:val="24"/>
      <w:szCs w:val="24"/>
      <w:lang w:val="en-GB"/>
    </w:rPr>
  </w:style>
  <w:style w:type="paragraph" w:customStyle="1" w:styleId="xl35">
    <w:name w:val="xl35"/>
    <w:basedOn w:val="Normale"/>
    <w:rsid w:val="00C83007"/>
    <w:pPr>
      <w:pBdr>
        <w:bottom w:val="single" w:sz="4" w:space="0" w:color="auto"/>
        <w:right w:val="single" w:sz="4" w:space="0" w:color="auto"/>
      </w:pBdr>
      <w:shd w:val="clear" w:color="auto" w:fill="FFFF99"/>
      <w:spacing w:before="100" w:beforeAutospacing="1" w:after="100" w:afterAutospacing="1"/>
      <w:jc w:val="center"/>
      <w:textAlignment w:val="center"/>
    </w:pPr>
    <w:rPr>
      <w:rFonts w:ascii="Arial" w:eastAsia="Arial Unicode MS" w:hAnsi="Arial" w:cs="Arial"/>
      <w:b/>
      <w:bCs/>
      <w:sz w:val="16"/>
      <w:szCs w:val="16"/>
      <w:lang w:val="en-GB"/>
    </w:rPr>
  </w:style>
  <w:style w:type="paragraph" w:customStyle="1" w:styleId="xl36">
    <w:name w:val="xl36"/>
    <w:basedOn w:val="Normale"/>
    <w:rsid w:val="00C83007"/>
    <w:pPr>
      <w:pBdr>
        <w:bottom w:val="single" w:sz="4" w:space="0" w:color="auto"/>
        <w:right w:val="single" w:sz="4" w:space="0" w:color="auto"/>
      </w:pBdr>
      <w:shd w:val="clear" w:color="auto" w:fill="FFFF99"/>
      <w:spacing w:before="100" w:beforeAutospacing="1" w:after="100" w:afterAutospacing="1"/>
      <w:jc w:val="center"/>
      <w:textAlignment w:val="center"/>
    </w:pPr>
    <w:rPr>
      <w:rFonts w:ascii="Arial" w:eastAsia="Arial Unicode MS" w:hAnsi="Arial" w:cs="Arial"/>
      <w:sz w:val="16"/>
      <w:szCs w:val="16"/>
      <w:lang w:val="en-GB"/>
    </w:rPr>
  </w:style>
  <w:style w:type="paragraph" w:customStyle="1" w:styleId="xl37">
    <w:name w:val="xl37"/>
    <w:basedOn w:val="Normale"/>
    <w:rsid w:val="00C83007"/>
    <w:pPr>
      <w:pBdr>
        <w:bottom w:val="single" w:sz="4" w:space="0" w:color="auto"/>
        <w:right w:val="single" w:sz="4" w:space="0" w:color="auto"/>
      </w:pBdr>
      <w:spacing w:before="100" w:beforeAutospacing="1" w:after="100" w:afterAutospacing="1"/>
      <w:jc w:val="center"/>
      <w:textAlignment w:val="center"/>
    </w:pPr>
    <w:rPr>
      <w:rFonts w:ascii="Arial" w:eastAsia="Arial Unicode MS" w:hAnsi="Arial" w:cs="Arial"/>
      <w:b/>
      <w:bCs/>
      <w:sz w:val="16"/>
      <w:szCs w:val="16"/>
      <w:lang w:val="en-GB"/>
    </w:rPr>
  </w:style>
  <w:style w:type="paragraph" w:customStyle="1" w:styleId="font5">
    <w:name w:val="font5"/>
    <w:basedOn w:val="Normale"/>
    <w:rsid w:val="00C83007"/>
    <w:pPr>
      <w:spacing w:before="100" w:beforeAutospacing="1" w:after="100" w:afterAutospacing="1"/>
      <w:jc w:val="left"/>
    </w:pPr>
    <w:rPr>
      <w:rFonts w:ascii="Arial" w:eastAsia="Arial Unicode MS" w:hAnsi="Arial" w:cs="Arial"/>
      <w:i/>
      <w:iCs/>
      <w:sz w:val="16"/>
      <w:szCs w:val="16"/>
      <w:lang w:val="en-GB"/>
    </w:rPr>
  </w:style>
  <w:style w:type="paragraph" w:customStyle="1" w:styleId="xl38">
    <w:name w:val="xl38"/>
    <w:basedOn w:val="Normale"/>
    <w:rsid w:val="00C83007"/>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textAlignment w:val="center"/>
    </w:pPr>
    <w:rPr>
      <w:rFonts w:ascii="Arial" w:eastAsia="Arial Unicode MS" w:hAnsi="Arial" w:cs="Arial"/>
      <w:b/>
      <w:bCs/>
      <w:sz w:val="16"/>
      <w:szCs w:val="16"/>
      <w:lang w:val="en-GB"/>
    </w:rPr>
  </w:style>
  <w:style w:type="paragraph" w:customStyle="1" w:styleId="bullet20">
    <w:name w:val="bullet2"/>
    <w:basedOn w:val="Normale"/>
    <w:next w:val="Normale"/>
    <w:rsid w:val="00C83007"/>
    <w:pPr>
      <w:tabs>
        <w:tab w:val="num" w:pos="360"/>
      </w:tabs>
      <w:spacing w:before="0" w:after="0"/>
      <w:ind w:left="360" w:hanging="360"/>
    </w:pPr>
    <w:rPr>
      <w:rFonts w:ascii="Garamond" w:hAnsi="Garamond"/>
      <w:sz w:val="24"/>
      <w:lang w:val="en-GB" w:eastAsia="fr-FR"/>
    </w:rPr>
  </w:style>
  <w:style w:type="paragraph" w:customStyle="1" w:styleId="bulletbox20">
    <w:name w:val="bullet box2"/>
    <w:next w:val="Normale"/>
    <w:rsid w:val="00C83007"/>
    <w:pPr>
      <w:tabs>
        <w:tab w:val="num" w:pos="851"/>
      </w:tabs>
      <w:ind w:left="754" w:hanging="357"/>
      <w:jc w:val="left"/>
    </w:pPr>
    <w:rPr>
      <w:rFonts w:ascii="Times New Roman" w:eastAsia="Times New Roman" w:hAnsi="Times New Roman" w:cs="Times New Roman"/>
      <w:sz w:val="20"/>
      <w:szCs w:val="20"/>
      <w:lang w:val="fr-FR" w:eastAsia="fr-FR"/>
    </w:rPr>
  </w:style>
  <w:style w:type="paragraph" w:customStyle="1" w:styleId="Bullet0">
    <w:name w:val="Bullet"/>
    <w:basedOn w:val="Normale"/>
    <w:rsid w:val="00C83007"/>
    <w:pPr>
      <w:tabs>
        <w:tab w:val="num" w:pos="720"/>
      </w:tabs>
      <w:spacing w:before="0" w:after="0"/>
      <w:ind w:left="720" w:hanging="360"/>
    </w:pPr>
    <w:rPr>
      <w:rFonts w:ascii="Garamond" w:hAnsi="Garamond"/>
      <w:sz w:val="22"/>
      <w:lang w:val="en-GB" w:eastAsia="fr-FR"/>
    </w:rPr>
  </w:style>
  <w:style w:type="paragraph" w:customStyle="1" w:styleId="xl39">
    <w:name w:val="xl39"/>
    <w:basedOn w:val="Normale"/>
    <w:rsid w:val="00C830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eastAsia="Arial Unicode MS" w:hAnsi="Arial" w:cs="Arial"/>
      <w:b/>
      <w:bCs/>
      <w:sz w:val="22"/>
      <w:szCs w:val="24"/>
      <w:lang w:val="en-GB"/>
    </w:rPr>
  </w:style>
  <w:style w:type="paragraph" w:customStyle="1" w:styleId="xl40">
    <w:name w:val="xl40"/>
    <w:basedOn w:val="Normale"/>
    <w:rsid w:val="00C83007"/>
    <w:pPr>
      <w:pBdr>
        <w:top w:val="single" w:sz="4" w:space="0" w:color="auto"/>
        <w:left w:val="single" w:sz="4" w:space="0" w:color="auto"/>
        <w:bottom w:val="single" w:sz="4" w:space="0" w:color="auto"/>
      </w:pBdr>
      <w:spacing w:before="100" w:beforeAutospacing="1" w:after="100" w:afterAutospacing="1"/>
      <w:jc w:val="center"/>
    </w:pPr>
    <w:rPr>
      <w:rFonts w:ascii="Arial" w:eastAsia="Arial Unicode MS" w:hAnsi="Arial" w:cs="Arial"/>
      <w:b/>
      <w:bCs/>
      <w:sz w:val="22"/>
      <w:szCs w:val="24"/>
      <w:lang w:val="en-GB"/>
    </w:rPr>
  </w:style>
  <w:style w:type="paragraph" w:customStyle="1" w:styleId="xl41">
    <w:name w:val="xl41"/>
    <w:basedOn w:val="Normale"/>
    <w:rsid w:val="00C83007"/>
    <w:pPr>
      <w:pBdr>
        <w:top w:val="single" w:sz="4" w:space="0" w:color="auto"/>
        <w:bottom w:val="single" w:sz="4" w:space="0" w:color="auto"/>
      </w:pBdr>
      <w:spacing w:before="100" w:beforeAutospacing="1" w:after="100" w:afterAutospacing="1"/>
      <w:jc w:val="center"/>
    </w:pPr>
    <w:rPr>
      <w:rFonts w:ascii="Arial" w:eastAsia="Arial Unicode MS" w:hAnsi="Arial" w:cs="Arial"/>
      <w:b/>
      <w:bCs/>
      <w:sz w:val="22"/>
      <w:szCs w:val="24"/>
      <w:lang w:val="en-GB"/>
    </w:rPr>
  </w:style>
  <w:style w:type="paragraph" w:customStyle="1" w:styleId="xl42">
    <w:name w:val="xl42"/>
    <w:basedOn w:val="Normale"/>
    <w:rsid w:val="00C83007"/>
    <w:pPr>
      <w:pBdr>
        <w:top w:val="single" w:sz="4" w:space="0" w:color="auto"/>
        <w:bottom w:val="single" w:sz="4" w:space="0" w:color="auto"/>
        <w:right w:val="single" w:sz="4" w:space="0" w:color="auto"/>
      </w:pBdr>
      <w:tabs>
        <w:tab w:val="num" w:pos="397"/>
      </w:tabs>
      <w:spacing w:before="100" w:beforeAutospacing="1" w:after="100" w:afterAutospacing="1"/>
      <w:jc w:val="center"/>
    </w:pPr>
    <w:rPr>
      <w:rFonts w:ascii="Arial" w:eastAsia="Arial Unicode MS" w:hAnsi="Arial" w:cs="Arial"/>
      <w:b/>
      <w:bCs/>
      <w:sz w:val="22"/>
      <w:szCs w:val="24"/>
      <w:lang w:val="en-GB"/>
    </w:rPr>
  </w:style>
  <w:style w:type="paragraph" w:customStyle="1" w:styleId="xl43">
    <w:name w:val="xl43"/>
    <w:basedOn w:val="Normale"/>
    <w:rsid w:val="00C83007"/>
    <w:pPr>
      <w:pBdr>
        <w:left w:val="single" w:sz="4" w:space="0" w:color="auto"/>
      </w:pBdr>
      <w:spacing w:before="100" w:beforeAutospacing="1" w:after="100" w:afterAutospacing="1"/>
      <w:jc w:val="left"/>
    </w:pPr>
    <w:rPr>
      <w:rFonts w:ascii="Arial" w:eastAsia="Arial Unicode MS" w:hAnsi="Arial" w:cs="Arial"/>
      <w:b/>
      <w:bCs/>
      <w:i/>
      <w:iCs/>
      <w:sz w:val="16"/>
      <w:szCs w:val="16"/>
      <w:lang w:val="fr-FR" w:eastAsia="fr-FR"/>
    </w:rPr>
  </w:style>
  <w:style w:type="paragraph" w:customStyle="1" w:styleId="xl45">
    <w:name w:val="xl45"/>
    <w:basedOn w:val="Normale"/>
    <w:rsid w:val="00C83007"/>
    <w:pPr>
      <w:pBdr>
        <w:top w:val="single" w:sz="4" w:space="0" w:color="auto"/>
        <w:left w:val="single" w:sz="4" w:space="0" w:color="auto"/>
        <w:bottom w:val="single" w:sz="4" w:space="0" w:color="auto"/>
      </w:pBdr>
      <w:spacing w:before="100" w:beforeAutospacing="1" w:after="100" w:afterAutospacing="1"/>
      <w:jc w:val="left"/>
    </w:pPr>
    <w:rPr>
      <w:rFonts w:ascii="Arial" w:eastAsia="Arial Unicode MS" w:hAnsi="Arial" w:cs="Arial"/>
      <w:b/>
      <w:bCs/>
      <w:sz w:val="22"/>
      <w:szCs w:val="24"/>
      <w:lang w:val="fr-FR" w:eastAsia="fr-FR"/>
    </w:rPr>
  </w:style>
  <w:style w:type="paragraph" w:customStyle="1" w:styleId="xl46">
    <w:name w:val="xl46"/>
    <w:basedOn w:val="Normale"/>
    <w:rsid w:val="00C83007"/>
    <w:pPr>
      <w:pBdr>
        <w:top w:val="single" w:sz="4" w:space="0" w:color="auto"/>
        <w:bottom w:val="single" w:sz="4" w:space="0" w:color="auto"/>
      </w:pBdr>
      <w:spacing w:before="100" w:beforeAutospacing="1" w:after="100" w:afterAutospacing="1"/>
      <w:jc w:val="left"/>
    </w:pPr>
    <w:rPr>
      <w:rFonts w:ascii="Arial" w:eastAsia="Arial Unicode MS" w:hAnsi="Arial" w:cs="Arial"/>
      <w:b/>
      <w:bCs/>
      <w:sz w:val="22"/>
      <w:szCs w:val="24"/>
      <w:lang w:val="fr-FR" w:eastAsia="fr-FR"/>
    </w:rPr>
  </w:style>
  <w:style w:type="paragraph" w:customStyle="1" w:styleId="xl47">
    <w:name w:val="xl47"/>
    <w:basedOn w:val="Normale"/>
    <w:rsid w:val="00C83007"/>
    <w:pPr>
      <w:pBdr>
        <w:top w:val="single" w:sz="4" w:space="0" w:color="auto"/>
        <w:bottom w:val="single" w:sz="4" w:space="0" w:color="auto"/>
        <w:right w:val="single" w:sz="4" w:space="0" w:color="auto"/>
      </w:pBdr>
      <w:spacing w:before="100" w:beforeAutospacing="1" w:after="100" w:afterAutospacing="1"/>
      <w:jc w:val="left"/>
    </w:pPr>
    <w:rPr>
      <w:rFonts w:ascii="Arial" w:eastAsia="Arial Unicode MS" w:hAnsi="Arial" w:cs="Arial"/>
      <w:b/>
      <w:bCs/>
      <w:sz w:val="22"/>
      <w:szCs w:val="24"/>
      <w:lang w:val="fr-FR" w:eastAsia="fr-FR"/>
    </w:rPr>
  </w:style>
  <w:style w:type="paragraph" w:customStyle="1" w:styleId="xl48">
    <w:name w:val="xl48"/>
    <w:basedOn w:val="Normale"/>
    <w:rsid w:val="00C83007"/>
    <w:pPr>
      <w:pBdr>
        <w:top w:val="single" w:sz="4" w:space="0" w:color="auto"/>
        <w:left w:val="single" w:sz="4" w:space="0" w:color="auto"/>
        <w:bottom w:val="single" w:sz="4" w:space="0" w:color="auto"/>
      </w:pBdr>
      <w:spacing w:before="100" w:beforeAutospacing="1" w:after="100" w:afterAutospacing="1"/>
      <w:jc w:val="left"/>
    </w:pPr>
    <w:rPr>
      <w:rFonts w:ascii="Arial" w:eastAsia="Arial Unicode MS" w:hAnsi="Arial" w:cs="Arial"/>
      <w:sz w:val="22"/>
      <w:szCs w:val="24"/>
      <w:lang w:val="fr-FR" w:eastAsia="fr-FR"/>
    </w:rPr>
  </w:style>
  <w:style w:type="paragraph" w:customStyle="1" w:styleId="xl49">
    <w:name w:val="xl49"/>
    <w:basedOn w:val="Normale"/>
    <w:rsid w:val="00C83007"/>
    <w:pPr>
      <w:pBdr>
        <w:top w:val="single" w:sz="4" w:space="0" w:color="auto"/>
        <w:bottom w:val="single" w:sz="4" w:space="0" w:color="auto"/>
      </w:pBdr>
      <w:spacing w:before="100" w:beforeAutospacing="1" w:after="100" w:afterAutospacing="1"/>
      <w:jc w:val="left"/>
    </w:pPr>
    <w:rPr>
      <w:rFonts w:ascii="Arial" w:eastAsia="Arial Unicode MS" w:hAnsi="Arial" w:cs="Arial"/>
      <w:sz w:val="22"/>
      <w:szCs w:val="24"/>
      <w:lang w:val="fr-FR" w:eastAsia="fr-FR"/>
    </w:rPr>
  </w:style>
  <w:style w:type="paragraph" w:customStyle="1" w:styleId="xl50">
    <w:name w:val="xl50"/>
    <w:basedOn w:val="Normale"/>
    <w:rsid w:val="00C83007"/>
    <w:pPr>
      <w:pBdr>
        <w:top w:val="single" w:sz="4" w:space="0" w:color="auto"/>
        <w:bottom w:val="single" w:sz="4" w:space="0" w:color="auto"/>
      </w:pBdr>
      <w:spacing w:before="100" w:beforeAutospacing="1" w:after="100" w:afterAutospacing="1"/>
      <w:jc w:val="left"/>
    </w:pPr>
    <w:rPr>
      <w:rFonts w:ascii="Arial" w:eastAsia="Arial Unicode MS" w:hAnsi="Arial" w:cs="Arial"/>
      <w:b/>
      <w:bCs/>
      <w:sz w:val="22"/>
      <w:szCs w:val="24"/>
      <w:lang w:val="fr-FR" w:eastAsia="fr-FR"/>
    </w:rPr>
  </w:style>
  <w:style w:type="paragraph" w:customStyle="1" w:styleId="xl51">
    <w:name w:val="xl51"/>
    <w:basedOn w:val="Normale"/>
    <w:rsid w:val="00C83007"/>
    <w:pPr>
      <w:pBdr>
        <w:left w:val="single" w:sz="4" w:space="0" w:color="auto"/>
        <w:right w:val="single" w:sz="4" w:space="0" w:color="auto"/>
      </w:pBdr>
      <w:spacing w:before="100" w:beforeAutospacing="1" w:after="100" w:afterAutospacing="1"/>
      <w:jc w:val="center"/>
    </w:pPr>
    <w:rPr>
      <w:rFonts w:ascii="Arial" w:eastAsia="Arial Unicode MS" w:hAnsi="Arial" w:cs="Arial"/>
      <w:i/>
      <w:iCs/>
      <w:sz w:val="16"/>
      <w:szCs w:val="16"/>
      <w:lang w:val="fr-FR" w:eastAsia="fr-FR"/>
    </w:rPr>
  </w:style>
  <w:style w:type="paragraph" w:customStyle="1" w:styleId="PM1">
    <w:name w:val="PM1"/>
    <w:basedOn w:val="Titolo1"/>
    <w:autoRedefine/>
    <w:rsid w:val="00C83007"/>
    <w:pPr>
      <w:keepNext w:val="0"/>
      <w:keepLines w:val="0"/>
      <w:tabs>
        <w:tab w:val="left" w:pos="567"/>
        <w:tab w:val="num" w:pos="720"/>
      </w:tabs>
      <w:overflowPunct/>
      <w:autoSpaceDE/>
      <w:autoSpaceDN/>
      <w:adjustRightInd/>
      <w:spacing w:after="600"/>
      <w:ind w:left="720" w:hanging="360"/>
      <w:textAlignment w:val="auto"/>
    </w:pPr>
    <w:rPr>
      <w:rFonts w:ascii="Helvetica" w:hAnsi="Helvetica"/>
      <w:color w:val="993300"/>
      <w:spacing w:val="0"/>
      <w:kern w:val="0"/>
      <w:lang w:eastAsia="fr-FR"/>
    </w:rPr>
  </w:style>
  <w:style w:type="paragraph" w:customStyle="1" w:styleId="PM3">
    <w:name w:val="PM3"/>
    <w:basedOn w:val="Normale"/>
    <w:autoRedefine/>
    <w:rsid w:val="00C83007"/>
    <w:pPr>
      <w:pBdr>
        <w:bottom w:val="single" w:sz="12" w:space="1" w:color="auto"/>
      </w:pBdr>
      <w:tabs>
        <w:tab w:val="num" w:pos="360"/>
        <w:tab w:val="left" w:pos="567"/>
      </w:tabs>
      <w:spacing w:before="0"/>
      <w:ind w:left="360" w:hanging="360"/>
      <w:jc w:val="left"/>
    </w:pPr>
    <w:rPr>
      <w:rFonts w:ascii="Garamond" w:hAnsi="Garamond"/>
      <w:b/>
      <w:i/>
      <w:iCs/>
      <w:sz w:val="22"/>
      <w:lang w:val="fr-BE" w:eastAsia="fr-FR"/>
    </w:rPr>
  </w:style>
  <w:style w:type="paragraph" w:customStyle="1" w:styleId="PM4">
    <w:name w:val="PM4"/>
    <w:basedOn w:val="Normale"/>
    <w:autoRedefine/>
    <w:rsid w:val="00C83007"/>
    <w:pPr>
      <w:pBdr>
        <w:bottom w:val="single" w:sz="12" w:space="1" w:color="auto"/>
      </w:pBdr>
      <w:tabs>
        <w:tab w:val="num" w:pos="0"/>
        <w:tab w:val="left" w:pos="567"/>
      </w:tabs>
      <w:spacing w:before="0"/>
      <w:jc w:val="left"/>
    </w:pPr>
    <w:rPr>
      <w:rFonts w:ascii="Garamond" w:hAnsi="Garamond"/>
      <w:b/>
      <w:bCs/>
      <w:i/>
      <w:sz w:val="22"/>
      <w:lang w:val="fr-BE" w:eastAsia="fr-FR"/>
    </w:rPr>
  </w:style>
  <w:style w:type="paragraph" w:customStyle="1" w:styleId="PM5">
    <w:name w:val="PM5"/>
    <w:basedOn w:val="Normale"/>
    <w:autoRedefine/>
    <w:rsid w:val="00C83007"/>
    <w:pPr>
      <w:pBdr>
        <w:bottom w:val="single" w:sz="12" w:space="1" w:color="auto"/>
      </w:pBdr>
      <w:tabs>
        <w:tab w:val="left" w:pos="567"/>
        <w:tab w:val="num" w:pos="720"/>
      </w:tabs>
      <w:spacing w:before="0"/>
      <w:ind w:left="720" w:hanging="360"/>
      <w:jc w:val="left"/>
    </w:pPr>
    <w:rPr>
      <w:rFonts w:ascii="Garamond" w:hAnsi="Garamond"/>
      <w:b/>
      <w:bCs/>
      <w:i/>
      <w:sz w:val="22"/>
      <w:lang w:val="fr-BE" w:eastAsia="fr-FR"/>
    </w:rPr>
  </w:style>
  <w:style w:type="paragraph" w:customStyle="1" w:styleId="PM2">
    <w:name w:val="PM2"/>
    <w:basedOn w:val="Normale"/>
    <w:autoRedefine/>
    <w:rsid w:val="00C83007"/>
    <w:pPr>
      <w:pBdr>
        <w:bottom w:val="single" w:sz="12" w:space="1" w:color="auto"/>
      </w:pBdr>
      <w:tabs>
        <w:tab w:val="left" w:pos="567"/>
        <w:tab w:val="num" w:pos="720"/>
      </w:tabs>
      <w:spacing w:before="0"/>
      <w:ind w:left="720" w:hanging="360"/>
      <w:jc w:val="left"/>
    </w:pPr>
    <w:rPr>
      <w:rFonts w:ascii="Garamond" w:hAnsi="Garamond"/>
      <w:b/>
      <w:i/>
      <w:iCs/>
      <w:sz w:val="22"/>
      <w:lang w:val="fr-BE" w:eastAsia="fr-FR"/>
    </w:rPr>
  </w:style>
  <w:style w:type="paragraph" w:customStyle="1" w:styleId="PM6">
    <w:name w:val="PM6"/>
    <w:basedOn w:val="Normale"/>
    <w:autoRedefine/>
    <w:rsid w:val="00C83007"/>
    <w:pPr>
      <w:pBdr>
        <w:bottom w:val="single" w:sz="12" w:space="1" w:color="auto"/>
      </w:pBdr>
      <w:tabs>
        <w:tab w:val="num" w:pos="360"/>
        <w:tab w:val="left" w:pos="567"/>
      </w:tabs>
      <w:spacing w:before="0"/>
      <w:ind w:left="360" w:hanging="360"/>
      <w:jc w:val="left"/>
    </w:pPr>
    <w:rPr>
      <w:rFonts w:ascii="Garamond" w:hAnsi="Garamond"/>
      <w:b/>
      <w:bCs/>
      <w:i/>
      <w:sz w:val="22"/>
      <w:lang w:val="fr-BE" w:eastAsia="fr-FR"/>
    </w:rPr>
  </w:style>
  <w:style w:type="paragraph" w:customStyle="1" w:styleId="PM7">
    <w:name w:val="PM7"/>
    <w:basedOn w:val="Normale"/>
    <w:autoRedefine/>
    <w:rsid w:val="00C83007"/>
    <w:pPr>
      <w:pBdr>
        <w:bottom w:val="single" w:sz="12" w:space="1" w:color="auto"/>
      </w:pBdr>
      <w:tabs>
        <w:tab w:val="num" w:pos="405"/>
        <w:tab w:val="left" w:pos="567"/>
      </w:tabs>
      <w:spacing w:before="0" w:after="0"/>
      <w:ind w:left="405" w:hanging="405"/>
      <w:jc w:val="left"/>
    </w:pPr>
    <w:rPr>
      <w:rFonts w:ascii="Garamond" w:hAnsi="Garamond"/>
      <w:b/>
      <w:bCs/>
      <w:i/>
      <w:iCs/>
      <w:sz w:val="22"/>
      <w:lang w:val="fr-BE" w:eastAsia="fr-FR"/>
    </w:rPr>
  </w:style>
  <w:style w:type="paragraph" w:customStyle="1" w:styleId="PM8">
    <w:name w:val="PM8"/>
    <w:basedOn w:val="PM7"/>
    <w:autoRedefine/>
    <w:rsid w:val="00C83007"/>
    <w:pPr>
      <w:tabs>
        <w:tab w:val="clear" w:pos="405"/>
        <w:tab w:val="num" w:pos="360"/>
      </w:tabs>
      <w:ind w:left="360" w:hanging="360"/>
    </w:pPr>
  </w:style>
  <w:style w:type="paragraph" w:customStyle="1" w:styleId="PM9">
    <w:name w:val="PM9"/>
    <w:basedOn w:val="Normale"/>
    <w:autoRedefine/>
    <w:rsid w:val="00C83007"/>
    <w:pPr>
      <w:pBdr>
        <w:bottom w:val="single" w:sz="12" w:space="1" w:color="auto"/>
      </w:pBdr>
      <w:tabs>
        <w:tab w:val="num" w:pos="397"/>
        <w:tab w:val="left" w:pos="567"/>
      </w:tabs>
      <w:spacing w:before="0" w:after="0"/>
      <w:ind w:left="397" w:hanging="397"/>
      <w:jc w:val="left"/>
    </w:pPr>
    <w:rPr>
      <w:rFonts w:ascii="Garamond" w:hAnsi="Garamond"/>
      <w:b/>
      <w:bCs/>
      <w:i/>
      <w:iCs/>
      <w:sz w:val="22"/>
      <w:lang w:val="fr-BE" w:eastAsia="fr-FR"/>
    </w:rPr>
  </w:style>
  <w:style w:type="paragraph" w:customStyle="1" w:styleId="PM10">
    <w:name w:val="PM10"/>
    <w:basedOn w:val="Normale"/>
    <w:autoRedefine/>
    <w:rsid w:val="00C83007"/>
    <w:pPr>
      <w:pBdr>
        <w:bottom w:val="single" w:sz="12" w:space="1" w:color="auto"/>
      </w:pBdr>
      <w:tabs>
        <w:tab w:val="num" w:pos="360"/>
        <w:tab w:val="left" w:pos="567"/>
        <w:tab w:val="num" w:pos="794"/>
      </w:tabs>
      <w:spacing w:before="0" w:after="0"/>
      <w:jc w:val="left"/>
    </w:pPr>
    <w:rPr>
      <w:rFonts w:ascii="Garamond" w:hAnsi="Garamond"/>
      <w:b/>
      <w:bCs/>
      <w:i/>
      <w:iCs/>
      <w:sz w:val="22"/>
      <w:lang w:val="fr-BE" w:eastAsia="fr-FR"/>
    </w:rPr>
  </w:style>
  <w:style w:type="paragraph" w:customStyle="1" w:styleId="para">
    <w:name w:val="para"/>
    <w:basedOn w:val="Standard0"/>
    <w:rsid w:val="00C83007"/>
    <w:pPr>
      <w:tabs>
        <w:tab w:val="left" w:pos="2041"/>
      </w:tabs>
      <w:spacing w:line="220" w:lineRule="atLeast"/>
      <w:ind w:left="737"/>
    </w:pPr>
    <w:rPr>
      <w:rFonts w:ascii="Arial" w:hAnsi="Arial"/>
    </w:rPr>
  </w:style>
  <w:style w:type="paragraph" w:customStyle="1" w:styleId="CharCharCharCarCarCharCharTegnTegn1">
    <w:name w:val="Char Char Char Car Car Char Char Tegn Tegn1"/>
    <w:basedOn w:val="Normale"/>
    <w:next w:val="Normale"/>
    <w:rsid w:val="00C83007"/>
    <w:pPr>
      <w:spacing w:before="0" w:after="160" w:line="240" w:lineRule="exact"/>
      <w:jc w:val="left"/>
    </w:pPr>
    <w:rPr>
      <w:rFonts w:ascii="Tahoma" w:hAnsi="Tahoma"/>
      <w:sz w:val="24"/>
    </w:rPr>
  </w:style>
  <w:style w:type="paragraph" w:customStyle="1" w:styleId="CharCharCharCarCarCharCharTegnTegn">
    <w:name w:val="Char Char Char Car Car Char Char Tegn Tegn"/>
    <w:basedOn w:val="Normale"/>
    <w:next w:val="Normale"/>
    <w:rsid w:val="00C83007"/>
    <w:pPr>
      <w:spacing w:before="0" w:after="160" w:line="240" w:lineRule="exact"/>
      <w:jc w:val="left"/>
    </w:pPr>
    <w:rPr>
      <w:rFonts w:ascii="Tahoma" w:hAnsi="Tahoma"/>
      <w:sz w:val="24"/>
    </w:rPr>
  </w:style>
  <w:style w:type="paragraph" w:customStyle="1" w:styleId="StyleHeading1Garamond14ptUnderlineAllcaps">
    <w:name w:val="Style Heading 1 + Garamond 14 pt Underline All caps"/>
    <w:basedOn w:val="Titolo1"/>
    <w:rsid w:val="00C83007"/>
    <w:pPr>
      <w:keepNext w:val="0"/>
      <w:keepLines w:val="0"/>
      <w:tabs>
        <w:tab w:val="num" w:pos="432"/>
      </w:tabs>
      <w:overflowPunct/>
      <w:autoSpaceDE/>
      <w:autoSpaceDN/>
      <w:adjustRightInd/>
      <w:spacing w:after="600"/>
      <w:textAlignment w:val="auto"/>
    </w:pPr>
    <w:rPr>
      <w:rFonts w:ascii="Garamond" w:hAnsi="Garamond"/>
      <w:bCs/>
      <w:caps w:val="0"/>
      <w:color w:val="auto"/>
      <w:spacing w:val="0"/>
      <w:lang w:val="fr-FR" w:eastAsia="fr-FR"/>
    </w:rPr>
  </w:style>
  <w:style w:type="paragraph" w:customStyle="1" w:styleId="StyleStyleHeading1Garamond14ptUnderlineAllcapsBottom">
    <w:name w:val="Style Style Heading 1 + Garamond 14 pt Underline All caps + Bottom:..."/>
    <w:basedOn w:val="StyleHeading1Garamond14ptUnderlineAllcaps"/>
    <w:autoRedefine/>
    <w:rsid w:val="00C83007"/>
    <w:pPr>
      <w:tabs>
        <w:tab w:val="clear" w:pos="432"/>
      </w:tabs>
      <w:spacing w:after="120"/>
      <w:ind w:left="0" w:firstLine="0"/>
    </w:pPr>
    <w:rPr>
      <w:caps/>
      <w:lang w:eastAsia="en-US"/>
    </w:rPr>
  </w:style>
  <w:style w:type="character" w:customStyle="1" w:styleId="apple-style-span">
    <w:name w:val="apple-style-span"/>
    <w:basedOn w:val="Carpredefinitoparagrafo"/>
    <w:rsid w:val="00C83007"/>
  </w:style>
  <w:style w:type="character" w:customStyle="1" w:styleId="tabooheader">
    <w:name w:val="tabooheader"/>
    <w:basedOn w:val="Carpredefinitoparagrafo"/>
    <w:rsid w:val="00C83007"/>
    <w:rPr>
      <w:rFonts w:ascii="Times New Roman" w:hAnsi="Times New Roman" w:cs="Times New Roman"/>
    </w:rPr>
  </w:style>
  <w:style w:type="paragraph" w:customStyle="1" w:styleId="spiegelstrich1">
    <w:name w:val="spiegelstrich1"/>
    <w:basedOn w:val="Normale"/>
    <w:rsid w:val="00C83007"/>
    <w:pPr>
      <w:spacing w:before="0"/>
      <w:jc w:val="left"/>
    </w:pPr>
    <w:rPr>
      <w:rFonts w:ascii="Avalon" w:hAnsi="Avalon"/>
      <w:sz w:val="20"/>
      <w:lang w:val="de-DE"/>
    </w:rPr>
  </w:style>
  <w:style w:type="paragraph" w:customStyle="1" w:styleId="spiegelstrich2EA">
    <w:name w:val="spiegelstrich2EA"/>
    <w:basedOn w:val="Normale"/>
    <w:rsid w:val="00C83007"/>
    <w:pPr>
      <w:spacing w:before="0"/>
      <w:ind w:left="284" w:hanging="284"/>
      <w:jc w:val="left"/>
    </w:pPr>
    <w:rPr>
      <w:rFonts w:ascii="Avalon" w:hAnsi="Avalon"/>
      <w:sz w:val="20"/>
      <w:lang w:val="de-DE"/>
    </w:rPr>
  </w:style>
  <w:style w:type="paragraph" w:customStyle="1" w:styleId="SpalteEA">
    <w:name w:val="SpalteEA"/>
    <w:basedOn w:val="Normale"/>
    <w:rsid w:val="00C83007"/>
    <w:pPr>
      <w:jc w:val="left"/>
    </w:pPr>
    <w:rPr>
      <w:rFonts w:ascii="Avalon" w:hAnsi="Avalon"/>
      <w:sz w:val="20"/>
      <w:lang w:val="de-DE"/>
    </w:rPr>
  </w:style>
  <w:style w:type="character" w:customStyle="1" w:styleId="FooterChar1">
    <w:name w:val="Footer Char1"/>
    <w:basedOn w:val="Carpredefinitoparagrafo"/>
    <w:rsid w:val="00C83007"/>
    <w:rPr>
      <w:rFonts w:ascii="Bell MT" w:eastAsia="Times New Roman" w:hAnsi="Bell MT" w:cs="Times New Roman"/>
      <w:sz w:val="23"/>
      <w:szCs w:val="20"/>
      <w:lang w:bidi="ar-SA"/>
    </w:rPr>
  </w:style>
  <w:style w:type="paragraph" w:customStyle="1" w:styleId="Normale1">
    <w:name w:val="Normale1"/>
    <w:next w:val="Normale"/>
    <w:autoRedefine/>
    <w:rsid w:val="00C83007"/>
    <w:pPr>
      <w:spacing w:before="120" w:after="120"/>
      <w:jc w:val="left"/>
    </w:pPr>
    <w:rPr>
      <w:rFonts w:ascii="Bell MT" w:eastAsia="Times New Roman" w:hAnsi="Bell MT" w:cs="Times New Roman"/>
      <w:sz w:val="23"/>
      <w:szCs w:val="20"/>
      <w:lang w:val="en-US"/>
    </w:rPr>
  </w:style>
  <w:style w:type="paragraph" w:customStyle="1" w:styleId="Keyqualifications">
    <w:name w:val="Key qualifications"/>
    <w:basedOn w:val="Normale"/>
    <w:rsid w:val="00C83007"/>
    <w:pPr>
      <w:numPr>
        <w:numId w:val="21"/>
      </w:numPr>
      <w:spacing w:before="0" w:after="0"/>
      <w:jc w:val="left"/>
    </w:pPr>
    <w:rPr>
      <w:rFonts w:ascii="Arial" w:hAnsi="Arial"/>
      <w:sz w:val="20"/>
      <w:szCs w:val="24"/>
      <w:lang w:val="en-GB"/>
    </w:rPr>
  </w:style>
  <w:style w:type="table" w:customStyle="1" w:styleId="LightList-Accent11">
    <w:name w:val="Light List - Accent 11"/>
    <w:basedOn w:val="Tabellanormale"/>
    <w:uiPriority w:val="61"/>
    <w:rsid w:val="00C83007"/>
    <w:pPr>
      <w:jc w:val="left"/>
    </w:pPr>
    <w:rPr>
      <w:rFonts w:ascii="Times New Roman" w:eastAsia="Times New Roman" w:hAnsi="Times New Roman" w:cs="Times New Roman"/>
      <w:sz w:val="20"/>
      <w:szCs w:val="20"/>
      <w:lang w:val="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customStyle="1" w:styleId="ListBullet1">
    <w:name w:val="List Bullet 1"/>
    <w:basedOn w:val="Text1"/>
    <w:rsid w:val="00C83007"/>
    <w:pPr>
      <w:numPr>
        <w:numId w:val="22"/>
      </w:numPr>
      <w:spacing w:after="240"/>
    </w:pPr>
    <w:rPr>
      <w:rFonts w:ascii="Times New Roman" w:hAnsi="Times New Roman"/>
      <w:lang w:eastAsia="en-US"/>
    </w:rPr>
  </w:style>
  <w:style w:type="paragraph" w:customStyle="1" w:styleId="bulletlevel1numbered">
    <w:name w:val="bullet level 1 numbered"/>
    <w:basedOn w:val="Bulletlevel1"/>
    <w:rsid w:val="00C83007"/>
    <w:pPr>
      <w:numPr>
        <w:numId w:val="23"/>
      </w:numPr>
      <w:tabs>
        <w:tab w:val="clear" w:pos="720"/>
        <w:tab w:val="clear" w:pos="912"/>
        <w:tab w:val="left" w:pos="851"/>
      </w:tabs>
      <w:suppressAutoHyphens/>
      <w:ind w:left="360" w:hanging="720"/>
    </w:pPr>
    <w:rPr>
      <w:rFonts w:ascii="Cambria" w:hAnsi="Cambria"/>
      <w:bCs/>
      <w:szCs w:val="24"/>
    </w:rPr>
  </w:style>
  <w:style w:type="character" w:customStyle="1" w:styleId="Bulletlevel1Char">
    <w:name w:val="Bullet level 1 Char"/>
    <w:basedOn w:val="Carpredefinitoparagrafo"/>
    <w:link w:val="Bulletlevel1"/>
    <w:rsid w:val="00C83007"/>
    <w:rPr>
      <w:rFonts w:ascii="Arial" w:eastAsia="Times New Roman" w:hAnsi="Arial" w:cs="Times New Roman"/>
      <w:sz w:val="21"/>
      <w:szCs w:val="20"/>
      <w:lang w:val="en-US"/>
    </w:rPr>
  </w:style>
  <w:style w:type="character" w:customStyle="1" w:styleId="apple-converted-space">
    <w:name w:val="apple-converted-space"/>
    <w:basedOn w:val="Carpredefinitoparagrafo"/>
    <w:rsid w:val="00C83007"/>
  </w:style>
  <w:style w:type="paragraph" w:customStyle="1" w:styleId="CharCharCarattereCarattereCharChar1CarattereCarattereCharCharCarCarCharChar">
    <w:name w:val="Char Char Carattere Carattere Char Char1 Carattere Carattere Char Char Car Car Char Char"/>
    <w:basedOn w:val="Normale"/>
    <w:next w:val="Normale"/>
    <w:rsid w:val="00C83007"/>
    <w:pPr>
      <w:spacing w:before="0" w:after="160" w:line="240" w:lineRule="exact"/>
      <w:jc w:val="left"/>
    </w:pPr>
    <w:rPr>
      <w:rFonts w:ascii="Garamond" w:hAnsi="Garamond"/>
      <w:smallCaps/>
      <w:sz w:val="22"/>
      <w:szCs w:val="24"/>
      <w:lang w:val="pl-PL" w:eastAsia="pl-PL"/>
    </w:rPr>
  </w:style>
  <w:style w:type="numbering" w:customStyle="1" w:styleId="CurrentList1">
    <w:name w:val="Current List1"/>
    <w:rsid w:val="00C83007"/>
    <w:pPr>
      <w:numPr>
        <w:numId w:val="24"/>
      </w:numPr>
    </w:pPr>
  </w:style>
  <w:style w:type="numbering" w:styleId="111111">
    <w:name w:val="Outline List 2"/>
    <w:basedOn w:val="Nessunelenco"/>
    <w:rsid w:val="00C83007"/>
    <w:pPr>
      <w:numPr>
        <w:numId w:val="25"/>
      </w:numPr>
    </w:pPr>
  </w:style>
  <w:style w:type="paragraph" w:customStyle="1" w:styleId="StyleCaptionTextbox14pt">
    <w:name w:val="Style CaptionTextbox + 14 pt"/>
    <w:basedOn w:val="Didascalia"/>
    <w:rsid w:val="00C83007"/>
    <w:pPr>
      <w:framePr w:wrap="around" w:vAnchor="margin" w:hAnchor="text"/>
      <w:numPr>
        <w:numId w:val="26"/>
      </w:numPr>
      <w:jc w:val="both"/>
    </w:pPr>
    <w:rPr>
      <w:rFonts w:ascii="Garamond" w:hAnsi="Garamond"/>
      <w:bCs/>
      <w:color w:val="auto"/>
      <w:sz w:val="28"/>
      <w:lang w:eastAsia="fr-FR"/>
    </w:rPr>
  </w:style>
  <w:style w:type="paragraph" w:customStyle="1" w:styleId="StyleHeading1Garamond12ptBefore6ptLinespacing1">
    <w:name w:val="Style Heading 1 + Garamond 12 pt Before:  6 pt Line spacing:  1...."/>
    <w:basedOn w:val="Titolo1"/>
    <w:autoRedefine/>
    <w:rsid w:val="00C83007"/>
    <w:pPr>
      <w:keepNext w:val="0"/>
      <w:keepLines w:val="0"/>
      <w:numPr>
        <w:numId w:val="27"/>
      </w:numPr>
      <w:overflowPunct/>
      <w:autoSpaceDE/>
      <w:autoSpaceDN/>
      <w:adjustRightInd/>
      <w:spacing w:after="600" w:line="360" w:lineRule="auto"/>
      <w:textAlignment w:val="auto"/>
    </w:pPr>
    <w:rPr>
      <w:rFonts w:ascii="Garamond" w:hAnsi="Garamond"/>
      <w:color w:val="auto"/>
      <w:spacing w:val="0"/>
      <w:kern w:val="0"/>
      <w:sz w:val="24"/>
      <w:szCs w:val="20"/>
      <w:lang w:val="nl-NL" w:eastAsia="nl-NL"/>
    </w:rPr>
  </w:style>
  <w:style w:type="paragraph" w:customStyle="1" w:styleId="StyleHeading2Before6ptLinespacing15lines">
    <w:name w:val="Style Heading 2 + Before:  6 pt Line spacing:  1.5 lines"/>
    <w:basedOn w:val="Titolo2"/>
    <w:autoRedefine/>
    <w:rsid w:val="00C83007"/>
    <w:pPr>
      <w:keepNext w:val="0"/>
      <w:tabs>
        <w:tab w:val="num" w:pos="432"/>
      </w:tabs>
      <w:spacing w:before="60" w:line="360" w:lineRule="auto"/>
      <w:ind w:left="432" w:hanging="432"/>
    </w:pPr>
    <w:rPr>
      <w:rFonts w:ascii="Garamond" w:hAnsi="Garamond"/>
      <w:iCs/>
      <w:color w:val="auto"/>
      <w:szCs w:val="20"/>
      <w:lang w:val="nl-NL" w:eastAsia="nl-NL"/>
    </w:rPr>
  </w:style>
  <w:style w:type="paragraph" w:customStyle="1" w:styleId="StyleCaptionTextbox10pt">
    <w:name w:val="Style CaptionTextbox + 10 pt"/>
    <w:basedOn w:val="Didascalia"/>
    <w:rsid w:val="00C83007"/>
    <w:pPr>
      <w:framePr w:wrap="around" w:vAnchor="margin" w:hAnchor="text"/>
      <w:pBdr>
        <w:bottom w:val="single" w:sz="4" w:space="1" w:color="auto"/>
      </w:pBdr>
    </w:pPr>
    <w:rPr>
      <w:rFonts w:ascii="Garamond" w:hAnsi="Garamond"/>
      <w:bCs/>
      <w:color w:val="333399"/>
      <w:lang w:eastAsia="fr-FR"/>
    </w:rPr>
  </w:style>
  <w:style w:type="numbering" w:customStyle="1" w:styleId="NoList1">
    <w:name w:val="No List1"/>
    <w:next w:val="Nessunelenco"/>
    <w:semiHidden/>
    <w:rsid w:val="00C83007"/>
  </w:style>
  <w:style w:type="paragraph" w:styleId="Testonotadichiusura">
    <w:name w:val="endnote text"/>
    <w:basedOn w:val="Normale"/>
    <w:link w:val="TestonotadichiusuraCarattere"/>
    <w:uiPriority w:val="99"/>
    <w:rsid w:val="00C83007"/>
    <w:pPr>
      <w:spacing w:before="0" w:after="240"/>
    </w:pPr>
    <w:rPr>
      <w:rFonts w:ascii="Times New Roman" w:hAnsi="Times New Roman"/>
      <w:sz w:val="20"/>
      <w:lang w:val="en-GB" w:eastAsia="en-GB"/>
    </w:rPr>
  </w:style>
  <w:style w:type="character" w:customStyle="1" w:styleId="TestonotadichiusuraCarattere">
    <w:name w:val="Testo nota di chiusura Carattere"/>
    <w:basedOn w:val="Carpredefinitoparagrafo"/>
    <w:link w:val="Testonotadichiusura"/>
    <w:uiPriority w:val="99"/>
    <w:rsid w:val="00C83007"/>
    <w:rPr>
      <w:rFonts w:ascii="Times New Roman" w:eastAsia="Times New Roman" w:hAnsi="Times New Roman" w:cs="Times New Roman"/>
      <w:sz w:val="20"/>
      <w:szCs w:val="20"/>
      <w:lang w:val="en-GB" w:eastAsia="en-GB"/>
    </w:rPr>
  </w:style>
  <w:style w:type="paragraph" w:styleId="Indice2">
    <w:name w:val="index 2"/>
    <w:basedOn w:val="Normale"/>
    <w:next w:val="Normale"/>
    <w:autoRedefine/>
    <w:rsid w:val="00C83007"/>
    <w:pPr>
      <w:spacing w:before="0" w:after="240"/>
      <w:ind w:left="480" w:hanging="240"/>
    </w:pPr>
    <w:rPr>
      <w:rFonts w:ascii="Times New Roman" w:hAnsi="Times New Roman"/>
      <w:sz w:val="24"/>
      <w:lang w:val="en-GB" w:eastAsia="en-GB"/>
    </w:rPr>
  </w:style>
  <w:style w:type="paragraph" w:styleId="Indice3">
    <w:name w:val="index 3"/>
    <w:basedOn w:val="Normale"/>
    <w:next w:val="Normale"/>
    <w:autoRedefine/>
    <w:rsid w:val="00C83007"/>
    <w:pPr>
      <w:spacing w:before="0" w:after="240"/>
      <w:ind w:left="720" w:hanging="240"/>
    </w:pPr>
    <w:rPr>
      <w:rFonts w:ascii="Times New Roman" w:hAnsi="Times New Roman"/>
      <w:sz w:val="24"/>
      <w:lang w:val="en-GB" w:eastAsia="en-GB"/>
    </w:rPr>
  </w:style>
  <w:style w:type="paragraph" w:styleId="Indice4">
    <w:name w:val="index 4"/>
    <w:basedOn w:val="Normale"/>
    <w:next w:val="Normale"/>
    <w:autoRedefine/>
    <w:rsid w:val="00C83007"/>
    <w:pPr>
      <w:spacing w:before="0" w:after="240"/>
      <w:ind w:left="960" w:hanging="240"/>
    </w:pPr>
    <w:rPr>
      <w:rFonts w:ascii="Times New Roman" w:hAnsi="Times New Roman"/>
      <w:sz w:val="24"/>
      <w:lang w:val="en-GB" w:eastAsia="en-GB"/>
    </w:rPr>
  </w:style>
  <w:style w:type="paragraph" w:styleId="Indice5">
    <w:name w:val="index 5"/>
    <w:basedOn w:val="Normale"/>
    <w:next w:val="Normale"/>
    <w:autoRedefine/>
    <w:rsid w:val="00C83007"/>
    <w:pPr>
      <w:spacing w:before="0" w:after="240"/>
      <w:ind w:left="1200" w:hanging="240"/>
    </w:pPr>
    <w:rPr>
      <w:rFonts w:ascii="Times New Roman" w:hAnsi="Times New Roman"/>
      <w:sz w:val="24"/>
      <w:lang w:val="en-GB" w:eastAsia="en-GB"/>
    </w:rPr>
  </w:style>
  <w:style w:type="paragraph" w:styleId="Indice6">
    <w:name w:val="index 6"/>
    <w:basedOn w:val="Normale"/>
    <w:next w:val="Normale"/>
    <w:autoRedefine/>
    <w:rsid w:val="00C83007"/>
    <w:pPr>
      <w:spacing w:before="0" w:after="240"/>
      <w:ind w:left="1440" w:hanging="240"/>
    </w:pPr>
    <w:rPr>
      <w:rFonts w:ascii="Times New Roman" w:hAnsi="Times New Roman"/>
      <w:sz w:val="24"/>
      <w:lang w:val="en-GB" w:eastAsia="en-GB"/>
    </w:rPr>
  </w:style>
  <w:style w:type="paragraph" w:styleId="Indice7">
    <w:name w:val="index 7"/>
    <w:basedOn w:val="Normale"/>
    <w:next w:val="Normale"/>
    <w:autoRedefine/>
    <w:rsid w:val="00C83007"/>
    <w:pPr>
      <w:spacing w:before="0" w:after="240"/>
      <w:ind w:left="1680" w:hanging="240"/>
    </w:pPr>
    <w:rPr>
      <w:rFonts w:ascii="Times New Roman" w:hAnsi="Times New Roman"/>
      <w:sz w:val="24"/>
      <w:lang w:val="en-GB" w:eastAsia="en-GB"/>
    </w:rPr>
  </w:style>
  <w:style w:type="paragraph" w:styleId="Indice8">
    <w:name w:val="index 8"/>
    <w:basedOn w:val="Normale"/>
    <w:next w:val="Normale"/>
    <w:autoRedefine/>
    <w:rsid w:val="00C83007"/>
    <w:pPr>
      <w:spacing w:before="0" w:after="240"/>
      <w:ind w:left="1920" w:hanging="240"/>
    </w:pPr>
    <w:rPr>
      <w:rFonts w:ascii="Times New Roman" w:hAnsi="Times New Roman"/>
      <w:sz w:val="24"/>
      <w:lang w:val="en-GB" w:eastAsia="en-GB"/>
    </w:rPr>
  </w:style>
  <w:style w:type="paragraph" w:styleId="Indice9">
    <w:name w:val="index 9"/>
    <w:basedOn w:val="Normale"/>
    <w:next w:val="Normale"/>
    <w:autoRedefine/>
    <w:rsid w:val="00C83007"/>
    <w:pPr>
      <w:spacing w:before="0" w:after="240"/>
      <w:ind w:left="2160" w:hanging="240"/>
    </w:pPr>
    <w:rPr>
      <w:rFonts w:ascii="Times New Roman" w:hAnsi="Times New Roman"/>
      <w:sz w:val="24"/>
      <w:lang w:val="en-GB" w:eastAsia="en-GB"/>
    </w:rPr>
  </w:style>
  <w:style w:type="paragraph" w:styleId="Testomacro">
    <w:name w:val="macro"/>
    <w:link w:val="TestomacroCarattere"/>
    <w:rsid w:val="00C83007"/>
    <w:pPr>
      <w:tabs>
        <w:tab w:val="left" w:pos="480"/>
        <w:tab w:val="left" w:pos="960"/>
        <w:tab w:val="left" w:pos="1440"/>
        <w:tab w:val="left" w:pos="1920"/>
        <w:tab w:val="left" w:pos="2400"/>
        <w:tab w:val="left" w:pos="2880"/>
        <w:tab w:val="left" w:pos="3360"/>
        <w:tab w:val="left" w:pos="3840"/>
        <w:tab w:val="left" w:pos="4320"/>
      </w:tabs>
      <w:spacing w:after="240"/>
    </w:pPr>
    <w:rPr>
      <w:rFonts w:ascii="Courier New" w:eastAsia="Times New Roman" w:hAnsi="Courier New" w:cs="Times New Roman"/>
      <w:sz w:val="20"/>
      <w:szCs w:val="20"/>
      <w:lang w:val="en-GB" w:eastAsia="en-GB"/>
    </w:rPr>
  </w:style>
  <w:style w:type="character" w:customStyle="1" w:styleId="TestomacroCarattere">
    <w:name w:val="Testo macro Carattere"/>
    <w:basedOn w:val="Carpredefinitoparagrafo"/>
    <w:link w:val="Testomacro"/>
    <w:rsid w:val="00C83007"/>
    <w:rPr>
      <w:rFonts w:ascii="Courier New" w:eastAsia="Times New Roman" w:hAnsi="Courier New" w:cs="Times New Roman"/>
      <w:sz w:val="20"/>
      <w:szCs w:val="20"/>
      <w:lang w:val="en-GB" w:eastAsia="en-GB"/>
    </w:rPr>
  </w:style>
  <w:style w:type="paragraph" w:styleId="Indicefonti">
    <w:name w:val="table of authorities"/>
    <w:basedOn w:val="Normale"/>
    <w:next w:val="Normale"/>
    <w:rsid w:val="00C83007"/>
    <w:pPr>
      <w:spacing w:before="0" w:after="240"/>
      <w:ind w:left="240" w:hanging="240"/>
    </w:pPr>
    <w:rPr>
      <w:rFonts w:ascii="Times New Roman" w:hAnsi="Times New Roman"/>
      <w:sz w:val="24"/>
      <w:lang w:val="en-GB" w:eastAsia="en-GB"/>
    </w:rPr>
  </w:style>
  <w:style w:type="paragraph" w:styleId="Titoloindicefonti">
    <w:name w:val="toa heading"/>
    <w:basedOn w:val="Normale"/>
    <w:next w:val="Normale"/>
    <w:rsid w:val="00C83007"/>
    <w:pPr>
      <w:spacing w:after="240"/>
    </w:pPr>
    <w:rPr>
      <w:rFonts w:ascii="Arial" w:hAnsi="Arial"/>
      <w:b/>
      <w:sz w:val="24"/>
      <w:lang w:val="en-GB" w:eastAsia="en-GB"/>
    </w:rPr>
  </w:style>
  <w:style w:type="paragraph" w:customStyle="1" w:styleId="Contact">
    <w:name w:val="Contact"/>
    <w:basedOn w:val="Normale"/>
    <w:next w:val="Normale"/>
    <w:rsid w:val="00C83007"/>
    <w:pPr>
      <w:spacing w:before="0" w:after="480"/>
      <w:ind w:left="567" w:hanging="567"/>
      <w:jc w:val="left"/>
    </w:pPr>
    <w:rPr>
      <w:rFonts w:ascii="Times New Roman" w:hAnsi="Times New Roman"/>
      <w:sz w:val="24"/>
      <w:lang w:val="en-GB"/>
    </w:rPr>
  </w:style>
  <w:style w:type="paragraph" w:customStyle="1" w:styleId="ListDash1">
    <w:name w:val="List Dash 1"/>
    <w:basedOn w:val="Text1"/>
    <w:rsid w:val="00C83007"/>
    <w:pPr>
      <w:numPr>
        <w:numId w:val="28"/>
      </w:numPr>
      <w:spacing w:after="240"/>
    </w:pPr>
    <w:rPr>
      <w:rFonts w:ascii="Times New Roman" w:hAnsi="Times New Roman"/>
      <w:lang w:eastAsia="en-US"/>
    </w:rPr>
  </w:style>
  <w:style w:type="paragraph" w:customStyle="1" w:styleId="ListDash2">
    <w:name w:val="List Dash 2"/>
    <w:basedOn w:val="Text2"/>
    <w:rsid w:val="00C83007"/>
    <w:pPr>
      <w:numPr>
        <w:numId w:val="29"/>
      </w:numPr>
      <w:tabs>
        <w:tab w:val="clear" w:pos="2161"/>
      </w:tabs>
      <w:spacing w:before="0"/>
    </w:pPr>
    <w:rPr>
      <w:rFonts w:ascii="Times New Roman" w:hAnsi="Times New Roman"/>
      <w:sz w:val="24"/>
      <w:lang w:val="en-GB" w:eastAsia="en-US"/>
    </w:rPr>
  </w:style>
  <w:style w:type="paragraph" w:customStyle="1" w:styleId="ListDash3">
    <w:name w:val="List Dash 3"/>
    <w:basedOn w:val="Text3"/>
    <w:rsid w:val="00C83007"/>
    <w:pPr>
      <w:numPr>
        <w:numId w:val="30"/>
      </w:numPr>
      <w:tabs>
        <w:tab w:val="clear" w:pos="2302"/>
      </w:tabs>
      <w:spacing w:after="240"/>
    </w:pPr>
    <w:rPr>
      <w:rFonts w:ascii="Times New Roman" w:hAnsi="Times New Roman"/>
      <w:lang w:eastAsia="en-US"/>
    </w:rPr>
  </w:style>
  <w:style w:type="paragraph" w:customStyle="1" w:styleId="ListDash4">
    <w:name w:val="List Dash 4"/>
    <w:basedOn w:val="Text4"/>
    <w:rsid w:val="00C83007"/>
    <w:pPr>
      <w:numPr>
        <w:numId w:val="31"/>
      </w:numPr>
      <w:tabs>
        <w:tab w:val="clear" w:pos="2302"/>
      </w:tabs>
      <w:spacing w:after="240"/>
    </w:pPr>
    <w:rPr>
      <w:rFonts w:ascii="Times New Roman" w:hAnsi="Times New Roman"/>
      <w:lang w:eastAsia="en-US"/>
    </w:rPr>
  </w:style>
  <w:style w:type="paragraph" w:customStyle="1" w:styleId="ListNumber1">
    <w:name w:val="List Number 1"/>
    <w:basedOn w:val="Text1"/>
    <w:rsid w:val="00C83007"/>
    <w:pPr>
      <w:numPr>
        <w:numId w:val="32"/>
      </w:numPr>
      <w:spacing w:after="240"/>
    </w:pPr>
    <w:rPr>
      <w:rFonts w:ascii="Times New Roman" w:hAnsi="Times New Roman"/>
      <w:lang w:eastAsia="en-US"/>
    </w:rPr>
  </w:style>
  <w:style w:type="paragraph" w:customStyle="1" w:styleId="ListNumberLevel2">
    <w:name w:val="List Number (Level 2)"/>
    <w:basedOn w:val="Normale"/>
    <w:rsid w:val="00C83007"/>
    <w:pPr>
      <w:tabs>
        <w:tab w:val="num" w:pos="1417"/>
      </w:tabs>
      <w:spacing w:before="0" w:after="240"/>
      <w:ind w:left="1417" w:hanging="708"/>
    </w:pPr>
    <w:rPr>
      <w:rFonts w:ascii="Times New Roman" w:hAnsi="Times New Roman"/>
      <w:sz w:val="24"/>
      <w:lang w:val="en-GB"/>
    </w:rPr>
  </w:style>
  <w:style w:type="paragraph" w:customStyle="1" w:styleId="ListNumber1Level2">
    <w:name w:val="List Number 1 (Level 2)"/>
    <w:basedOn w:val="Text1"/>
    <w:rsid w:val="00C83007"/>
    <w:pPr>
      <w:numPr>
        <w:ilvl w:val="1"/>
        <w:numId w:val="32"/>
      </w:numPr>
      <w:spacing w:after="240"/>
    </w:pPr>
    <w:rPr>
      <w:rFonts w:ascii="Times New Roman" w:hAnsi="Times New Roman"/>
      <w:lang w:eastAsia="en-US"/>
    </w:rPr>
  </w:style>
  <w:style w:type="paragraph" w:customStyle="1" w:styleId="ListNumber2Level2">
    <w:name w:val="List Number 2 (Level 2)"/>
    <w:basedOn w:val="Text2"/>
    <w:rsid w:val="00C83007"/>
    <w:pPr>
      <w:tabs>
        <w:tab w:val="clear" w:pos="2161"/>
        <w:tab w:val="num" w:pos="2619"/>
      </w:tabs>
      <w:spacing w:before="0"/>
      <w:ind w:left="2619" w:hanging="708"/>
    </w:pPr>
    <w:rPr>
      <w:rFonts w:ascii="Times New Roman" w:hAnsi="Times New Roman"/>
      <w:sz w:val="24"/>
      <w:lang w:val="en-GB" w:eastAsia="en-US"/>
    </w:rPr>
  </w:style>
  <w:style w:type="paragraph" w:customStyle="1" w:styleId="ListNumber3Level2">
    <w:name w:val="List Number 3 (Level 2)"/>
    <w:basedOn w:val="Text3"/>
    <w:rsid w:val="00C83007"/>
    <w:pPr>
      <w:tabs>
        <w:tab w:val="clear" w:pos="2302"/>
        <w:tab w:val="num" w:pos="2619"/>
      </w:tabs>
      <w:spacing w:after="240"/>
      <w:ind w:left="2619" w:hanging="708"/>
    </w:pPr>
    <w:rPr>
      <w:rFonts w:ascii="Times New Roman" w:hAnsi="Times New Roman"/>
      <w:lang w:eastAsia="en-US"/>
    </w:rPr>
  </w:style>
  <w:style w:type="paragraph" w:customStyle="1" w:styleId="ListNumber4Level2">
    <w:name w:val="List Number 4 (Level 2)"/>
    <w:basedOn w:val="Text4"/>
    <w:rsid w:val="00C83007"/>
    <w:pPr>
      <w:tabs>
        <w:tab w:val="clear" w:pos="2302"/>
        <w:tab w:val="num" w:pos="2619"/>
      </w:tabs>
      <w:spacing w:after="240"/>
      <w:ind w:left="2619" w:hanging="708"/>
    </w:pPr>
    <w:rPr>
      <w:rFonts w:ascii="Times New Roman" w:hAnsi="Times New Roman"/>
      <w:lang w:eastAsia="en-US"/>
    </w:rPr>
  </w:style>
  <w:style w:type="paragraph" w:customStyle="1" w:styleId="ListNumberLevel3">
    <w:name w:val="List Number (Level 3)"/>
    <w:basedOn w:val="Normale"/>
    <w:rsid w:val="00C83007"/>
    <w:pPr>
      <w:tabs>
        <w:tab w:val="num" w:pos="2126"/>
      </w:tabs>
      <w:spacing w:before="0" w:after="240"/>
      <w:ind w:left="2126" w:hanging="709"/>
    </w:pPr>
    <w:rPr>
      <w:rFonts w:ascii="Times New Roman" w:hAnsi="Times New Roman"/>
      <w:sz w:val="24"/>
      <w:lang w:val="en-GB"/>
    </w:rPr>
  </w:style>
  <w:style w:type="paragraph" w:customStyle="1" w:styleId="ListNumber1Level3">
    <w:name w:val="List Number 1 (Level 3)"/>
    <w:basedOn w:val="Text1"/>
    <w:rsid w:val="00C83007"/>
    <w:pPr>
      <w:numPr>
        <w:ilvl w:val="2"/>
        <w:numId w:val="32"/>
      </w:numPr>
      <w:spacing w:after="240"/>
    </w:pPr>
    <w:rPr>
      <w:rFonts w:ascii="Times New Roman" w:hAnsi="Times New Roman"/>
      <w:lang w:eastAsia="en-US"/>
    </w:rPr>
  </w:style>
  <w:style w:type="paragraph" w:customStyle="1" w:styleId="ListNumber2Level3">
    <w:name w:val="List Number 2 (Level 3)"/>
    <w:basedOn w:val="Text2"/>
    <w:rsid w:val="00C83007"/>
    <w:pPr>
      <w:tabs>
        <w:tab w:val="clear" w:pos="2161"/>
        <w:tab w:val="num" w:pos="3328"/>
      </w:tabs>
      <w:spacing w:before="0"/>
      <w:ind w:left="3328" w:hanging="709"/>
    </w:pPr>
    <w:rPr>
      <w:rFonts w:ascii="Times New Roman" w:hAnsi="Times New Roman"/>
      <w:sz w:val="24"/>
      <w:lang w:val="en-GB" w:eastAsia="en-US"/>
    </w:rPr>
  </w:style>
  <w:style w:type="paragraph" w:customStyle="1" w:styleId="ListNumber3Level3">
    <w:name w:val="List Number 3 (Level 3)"/>
    <w:basedOn w:val="Text3"/>
    <w:rsid w:val="00C83007"/>
    <w:pPr>
      <w:tabs>
        <w:tab w:val="clear" w:pos="2302"/>
        <w:tab w:val="num" w:pos="3328"/>
      </w:tabs>
      <w:spacing w:after="240"/>
      <w:ind w:left="3328" w:hanging="709"/>
    </w:pPr>
    <w:rPr>
      <w:rFonts w:ascii="Times New Roman" w:hAnsi="Times New Roman"/>
      <w:lang w:eastAsia="en-US"/>
    </w:rPr>
  </w:style>
  <w:style w:type="paragraph" w:customStyle="1" w:styleId="ListNumber4Level3">
    <w:name w:val="List Number 4 (Level 3)"/>
    <w:basedOn w:val="Text4"/>
    <w:rsid w:val="00C83007"/>
    <w:pPr>
      <w:tabs>
        <w:tab w:val="clear" w:pos="2302"/>
        <w:tab w:val="num" w:pos="3328"/>
      </w:tabs>
      <w:spacing w:after="240"/>
      <w:ind w:left="3328" w:hanging="709"/>
    </w:pPr>
    <w:rPr>
      <w:rFonts w:ascii="Times New Roman" w:hAnsi="Times New Roman"/>
      <w:lang w:eastAsia="en-US"/>
    </w:rPr>
  </w:style>
  <w:style w:type="paragraph" w:customStyle="1" w:styleId="ListNumberLevel4">
    <w:name w:val="List Number (Level 4)"/>
    <w:basedOn w:val="Normale"/>
    <w:rsid w:val="00C83007"/>
    <w:pPr>
      <w:tabs>
        <w:tab w:val="num" w:pos="2835"/>
      </w:tabs>
      <w:spacing w:before="0" w:after="240"/>
      <w:ind w:left="2835" w:hanging="709"/>
    </w:pPr>
    <w:rPr>
      <w:rFonts w:ascii="Times New Roman" w:hAnsi="Times New Roman"/>
      <w:sz w:val="24"/>
      <w:lang w:val="en-GB"/>
    </w:rPr>
  </w:style>
  <w:style w:type="paragraph" w:customStyle="1" w:styleId="ListNumber1Level4">
    <w:name w:val="List Number 1 (Level 4)"/>
    <w:basedOn w:val="Text1"/>
    <w:rsid w:val="00C83007"/>
    <w:pPr>
      <w:numPr>
        <w:ilvl w:val="3"/>
        <w:numId w:val="32"/>
      </w:numPr>
      <w:spacing w:after="240"/>
    </w:pPr>
    <w:rPr>
      <w:rFonts w:ascii="Times New Roman" w:hAnsi="Times New Roman"/>
      <w:lang w:eastAsia="en-US"/>
    </w:rPr>
  </w:style>
  <w:style w:type="paragraph" w:customStyle="1" w:styleId="ListNumber2Level4">
    <w:name w:val="List Number 2 (Level 4)"/>
    <w:basedOn w:val="Text2"/>
    <w:rsid w:val="00C83007"/>
    <w:pPr>
      <w:tabs>
        <w:tab w:val="clear" w:pos="2161"/>
        <w:tab w:val="num" w:pos="4037"/>
      </w:tabs>
      <w:spacing w:before="0"/>
      <w:ind w:left="4037" w:hanging="709"/>
    </w:pPr>
    <w:rPr>
      <w:rFonts w:ascii="Times New Roman" w:hAnsi="Times New Roman"/>
      <w:sz w:val="24"/>
      <w:lang w:val="en-GB" w:eastAsia="en-US"/>
    </w:rPr>
  </w:style>
  <w:style w:type="paragraph" w:customStyle="1" w:styleId="ListNumber3Level4">
    <w:name w:val="List Number 3 (Level 4)"/>
    <w:basedOn w:val="Text3"/>
    <w:rsid w:val="00C83007"/>
    <w:pPr>
      <w:tabs>
        <w:tab w:val="clear" w:pos="2302"/>
        <w:tab w:val="num" w:pos="4037"/>
      </w:tabs>
      <w:spacing w:after="240"/>
      <w:ind w:left="4037" w:hanging="709"/>
    </w:pPr>
    <w:rPr>
      <w:rFonts w:ascii="Times New Roman" w:hAnsi="Times New Roman"/>
      <w:lang w:eastAsia="en-US"/>
    </w:rPr>
  </w:style>
  <w:style w:type="paragraph" w:customStyle="1" w:styleId="ListNumber4Level4">
    <w:name w:val="List Number 4 (Level 4)"/>
    <w:basedOn w:val="Text4"/>
    <w:rsid w:val="00C83007"/>
    <w:pPr>
      <w:tabs>
        <w:tab w:val="clear" w:pos="2302"/>
        <w:tab w:val="num" w:pos="4037"/>
      </w:tabs>
      <w:spacing w:after="240"/>
      <w:ind w:left="4037" w:hanging="709"/>
    </w:pPr>
    <w:rPr>
      <w:rFonts w:ascii="Times New Roman" w:hAnsi="Times New Roman"/>
      <w:lang w:eastAsia="en-US"/>
    </w:rPr>
  </w:style>
  <w:style w:type="paragraph" w:customStyle="1" w:styleId="TOCHeading1">
    <w:name w:val="TOC Heading1"/>
    <w:basedOn w:val="Normale"/>
    <w:next w:val="Normale"/>
    <w:rsid w:val="00C83007"/>
    <w:pPr>
      <w:keepNext/>
      <w:spacing w:before="240" w:after="240"/>
      <w:jc w:val="center"/>
    </w:pPr>
    <w:rPr>
      <w:rFonts w:ascii="Times New Roman" w:hAnsi="Times New Roman"/>
      <w:b/>
      <w:sz w:val="24"/>
      <w:lang w:val="en-GB"/>
    </w:rPr>
  </w:style>
  <w:style w:type="numbering" w:customStyle="1" w:styleId="NoList11">
    <w:name w:val="No List11"/>
    <w:next w:val="Nessunelenco"/>
    <w:uiPriority w:val="99"/>
    <w:semiHidden/>
    <w:unhideWhenUsed/>
    <w:rsid w:val="00C83007"/>
  </w:style>
  <w:style w:type="paragraph" w:customStyle="1" w:styleId="Spalte3">
    <w:name w:val="Spalte3"/>
    <w:basedOn w:val="Normale"/>
    <w:rsid w:val="00C83007"/>
    <w:pPr>
      <w:keepNext/>
      <w:tabs>
        <w:tab w:val="left" w:pos="720"/>
      </w:tabs>
      <w:overflowPunct w:val="0"/>
      <w:autoSpaceDE w:val="0"/>
      <w:autoSpaceDN w:val="0"/>
      <w:adjustRightInd w:val="0"/>
      <w:spacing w:before="60" w:after="0" w:line="240" w:lineRule="exact"/>
      <w:ind w:left="284"/>
      <w:jc w:val="left"/>
      <w:textAlignment w:val="baseline"/>
    </w:pPr>
    <w:rPr>
      <w:rFonts w:ascii="Avalon" w:hAnsi="Avalon"/>
      <w:sz w:val="20"/>
      <w:lang w:val="en-GB" w:eastAsia="de-DE"/>
    </w:rPr>
  </w:style>
  <w:style w:type="paragraph" w:customStyle="1" w:styleId="6pt">
    <w:name w:val="6 pt"/>
    <w:basedOn w:val="Normale"/>
    <w:rsid w:val="00C83007"/>
    <w:pPr>
      <w:keepNext/>
      <w:tabs>
        <w:tab w:val="left" w:pos="709"/>
        <w:tab w:val="left" w:pos="2268"/>
      </w:tabs>
      <w:spacing w:before="0"/>
      <w:jc w:val="left"/>
    </w:pPr>
    <w:rPr>
      <w:rFonts w:ascii="Tahoma" w:hAnsi="Tahoma"/>
      <w:b/>
      <w:sz w:val="22"/>
      <w:lang w:val="en-GB"/>
    </w:rPr>
  </w:style>
  <w:style w:type="paragraph" w:customStyle="1" w:styleId="Italics">
    <w:name w:val="Italics"/>
    <w:basedOn w:val="Normale"/>
    <w:rsid w:val="00C83007"/>
    <w:pPr>
      <w:spacing w:before="0" w:after="0"/>
      <w:jc w:val="left"/>
    </w:pPr>
    <w:rPr>
      <w:rFonts w:ascii="Tahoma" w:hAnsi="Tahoma"/>
      <w:i/>
      <w:iCs/>
      <w:sz w:val="22"/>
      <w:lang w:val="en-GB"/>
    </w:rPr>
  </w:style>
  <w:style w:type="paragraph" w:customStyle="1" w:styleId="adresse">
    <w:name w:val="adresse"/>
    <w:basedOn w:val="Normale"/>
    <w:rsid w:val="00C83007"/>
    <w:pPr>
      <w:spacing w:before="100" w:beforeAutospacing="1" w:after="100" w:afterAutospacing="1"/>
      <w:jc w:val="center"/>
    </w:pPr>
    <w:rPr>
      <w:rFonts w:ascii="Arial" w:hAnsi="Arial" w:cs="Arial"/>
      <w:b/>
      <w:bCs/>
      <w:color w:val="012468"/>
      <w:sz w:val="16"/>
      <w:szCs w:val="16"/>
      <w:lang w:val="es-MX" w:eastAsia="es-MX"/>
    </w:rPr>
  </w:style>
  <w:style w:type="paragraph" w:customStyle="1" w:styleId="paragraph">
    <w:name w:val="paragraph"/>
    <w:basedOn w:val="Normale"/>
    <w:rsid w:val="00C83007"/>
    <w:pPr>
      <w:spacing w:before="100" w:beforeAutospacing="1" w:after="100" w:afterAutospacing="1"/>
      <w:jc w:val="left"/>
    </w:pPr>
    <w:rPr>
      <w:rFonts w:ascii="Tahoma" w:hAnsi="Tahoma" w:cs="Tahoma"/>
      <w:color w:val="000000"/>
      <w:sz w:val="17"/>
      <w:szCs w:val="17"/>
      <w:lang w:val="es-MX" w:eastAsia="es-MX"/>
    </w:rPr>
  </w:style>
  <w:style w:type="paragraph" w:customStyle="1" w:styleId="Text0">
    <w:name w:val="Text"/>
    <w:basedOn w:val="Normale"/>
    <w:next w:val="Normale"/>
    <w:uiPriority w:val="99"/>
    <w:rsid w:val="00C83007"/>
    <w:pPr>
      <w:autoSpaceDE w:val="0"/>
      <w:autoSpaceDN w:val="0"/>
      <w:adjustRightInd w:val="0"/>
      <w:spacing w:before="0" w:after="0"/>
      <w:jc w:val="left"/>
    </w:pPr>
    <w:rPr>
      <w:rFonts w:ascii="Arial" w:eastAsia="Calibri" w:hAnsi="Arial" w:cs="Arial"/>
      <w:sz w:val="24"/>
      <w:szCs w:val="24"/>
      <w:lang w:val="es-MX"/>
    </w:rPr>
  </w:style>
  <w:style w:type="character" w:customStyle="1" w:styleId="A4">
    <w:name w:val="A4"/>
    <w:uiPriority w:val="99"/>
    <w:rsid w:val="00C83007"/>
    <w:rPr>
      <w:rFonts w:cs="Myriad Pro"/>
      <w:color w:val="000000"/>
      <w:sz w:val="20"/>
      <w:szCs w:val="20"/>
    </w:rPr>
  </w:style>
  <w:style w:type="paragraph" w:customStyle="1" w:styleId="E1">
    <w:name w:val="E1"/>
    <w:basedOn w:val="Normale"/>
    <w:link w:val="E1Char"/>
    <w:rsid w:val="00C83007"/>
    <w:pPr>
      <w:widowControl w:val="0"/>
      <w:numPr>
        <w:numId w:val="33"/>
      </w:numPr>
      <w:tabs>
        <w:tab w:val="clear" w:pos="360"/>
      </w:tabs>
      <w:spacing w:before="0" w:after="0" w:line="240" w:lineRule="atLeast"/>
    </w:pPr>
    <w:rPr>
      <w:rFonts w:ascii="Arial" w:hAnsi="Arial"/>
      <w:sz w:val="18"/>
      <w:lang w:val="en-GB" w:eastAsia="de-DE"/>
    </w:rPr>
  </w:style>
  <w:style w:type="character" w:customStyle="1" w:styleId="E1Char">
    <w:name w:val="E1 Char"/>
    <w:basedOn w:val="Carpredefinitoparagrafo"/>
    <w:link w:val="E1"/>
    <w:rsid w:val="00C83007"/>
    <w:rPr>
      <w:rFonts w:ascii="Arial" w:eastAsia="Times New Roman" w:hAnsi="Arial" w:cs="Times New Roman"/>
      <w:sz w:val="18"/>
      <w:szCs w:val="20"/>
      <w:lang w:val="en-GB" w:eastAsia="de-DE"/>
    </w:rPr>
  </w:style>
  <w:style w:type="paragraph" w:styleId="PreformattatoHTML">
    <w:name w:val="HTML Preformatted"/>
    <w:basedOn w:val="Normale"/>
    <w:link w:val="PreformattatoHTMLCarattere"/>
    <w:uiPriority w:val="99"/>
    <w:rsid w:val="00C830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jc w:val="left"/>
    </w:pPr>
    <w:rPr>
      <w:rFonts w:ascii="Courier New" w:hAnsi="Courier New" w:cs="Courier New"/>
      <w:sz w:val="20"/>
    </w:rPr>
  </w:style>
  <w:style w:type="character" w:customStyle="1" w:styleId="PreformattatoHTMLCarattere">
    <w:name w:val="Preformattato HTML Carattere"/>
    <w:basedOn w:val="Carpredefinitoparagrafo"/>
    <w:link w:val="PreformattatoHTML"/>
    <w:uiPriority w:val="99"/>
    <w:rsid w:val="00C83007"/>
    <w:rPr>
      <w:rFonts w:ascii="Courier New" w:eastAsia="Times New Roman" w:hAnsi="Courier New" w:cs="Courier New"/>
      <w:sz w:val="20"/>
      <w:szCs w:val="20"/>
      <w:lang w:val="en-US"/>
    </w:rPr>
  </w:style>
  <w:style w:type="character" w:customStyle="1" w:styleId="a">
    <w:name w:val="a"/>
    <w:basedOn w:val="Carpredefinitoparagrafo"/>
    <w:rsid w:val="00C83007"/>
    <w:rPr>
      <w:rFonts w:ascii="Arial" w:hAnsi="Arial" w:cs="Arial" w:hint="default"/>
      <w:b w:val="0"/>
      <w:bCs w:val="0"/>
      <w:sz w:val="27"/>
      <w:szCs w:val="27"/>
    </w:rPr>
  </w:style>
  <w:style w:type="paragraph" w:customStyle="1" w:styleId="CVSpacer">
    <w:name w:val="CV Spacer"/>
    <w:basedOn w:val="Normale"/>
    <w:rsid w:val="00C83007"/>
    <w:pPr>
      <w:suppressAutoHyphens/>
      <w:spacing w:before="0" w:after="0"/>
      <w:ind w:left="113" w:right="113"/>
      <w:jc w:val="left"/>
    </w:pPr>
    <w:rPr>
      <w:rFonts w:ascii="Arial Narrow" w:hAnsi="Arial Narrow"/>
      <w:sz w:val="4"/>
      <w:lang w:eastAsia="ar-SA"/>
    </w:rPr>
  </w:style>
  <w:style w:type="paragraph" w:customStyle="1" w:styleId="Eaoaeaa">
    <w:name w:val="Eaoae?aa"/>
    <w:basedOn w:val="Normale"/>
    <w:uiPriority w:val="99"/>
    <w:rsid w:val="00C83007"/>
    <w:pPr>
      <w:widowControl w:val="0"/>
      <w:tabs>
        <w:tab w:val="center" w:pos="4153"/>
        <w:tab w:val="right" w:pos="8306"/>
      </w:tabs>
      <w:overflowPunct w:val="0"/>
      <w:autoSpaceDE w:val="0"/>
      <w:autoSpaceDN w:val="0"/>
      <w:adjustRightInd w:val="0"/>
      <w:spacing w:before="0" w:after="0"/>
      <w:jc w:val="left"/>
      <w:textAlignment w:val="baseline"/>
    </w:pPr>
    <w:rPr>
      <w:rFonts w:ascii="Times New Roman" w:hAnsi="Times New Roman"/>
      <w:sz w:val="20"/>
    </w:rPr>
  </w:style>
  <w:style w:type="paragraph" w:customStyle="1" w:styleId="a0">
    <w:name w:val="Êåöáëßäá"/>
    <w:basedOn w:val="Normale"/>
    <w:uiPriority w:val="99"/>
    <w:rsid w:val="00C83007"/>
    <w:pPr>
      <w:widowControl w:val="0"/>
      <w:tabs>
        <w:tab w:val="center" w:pos="4153"/>
        <w:tab w:val="right" w:pos="8306"/>
      </w:tabs>
      <w:overflowPunct w:val="0"/>
      <w:autoSpaceDE w:val="0"/>
      <w:autoSpaceDN w:val="0"/>
      <w:adjustRightInd w:val="0"/>
      <w:spacing w:before="0" w:after="0"/>
      <w:jc w:val="left"/>
      <w:textAlignment w:val="baseline"/>
    </w:pPr>
    <w:rPr>
      <w:rFonts w:ascii="Times New Roman" w:hAnsi="Times New Roman"/>
      <w:sz w:val="20"/>
      <w:lang w:val="el-GR"/>
    </w:rPr>
  </w:style>
  <w:style w:type="character" w:customStyle="1" w:styleId="testo">
    <w:name w:val="testo"/>
    <w:basedOn w:val="Carpredefinitoparagrafo"/>
    <w:uiPriority w:val="99"/>
    <w:rsid w:val="00C83007"/>
    <w:rPr>
      <w:rFonts w:cs="Times New Roman"/>
    </w:rPr>
  </w:style>
  <w:style w:type="paragraph" w:customStyle="1" w:styleId="Application3">
    <w:name w:val="Application3"/>
    <w:basedOn w:val="Normale"/>
    <w:autoRedefine/>
    <w:uiPriority w:val="99"/>
    <w:rsid w:val="00C83007"/>
    <w:pPr>
      <w:widowControl w:val="0"/>
      <w:tabs>
        <w:tab w:val="right" w:pos="8789"/>
      </w:tabs>
      <w:suppressAutoHyphens/>
      <w:spacing w:before="0" w:after="0"/>
      <w:ind w:left="481"/>
    </w:pPr>
    <w:rPr>
      <w:rFonts w:ascii="Arial" w:hAnsi="Arial" w:cs="Arial"/>
      <w:spacing w:val="-2"/>
      <w:sz w:val="20"/>
      <w:lang w:val="en-GB" w:eastAsia="it-IT"/>
    </w:rPr>
  </w:style>
  <w:style w:type="paragraph" w:customStyle="1" w:styleId="Niveauducommentaire11">
    <w:name w:val="Niveau du commentaire : 11"/>
    <w:basedOn w:val="Normale"/>
    <w:uiPriority w:val="99"/>
    <w:unhideWhenUsed/>
    <w:rsid w:val="00C83007"/>
    <w:pPr>
      <w:keepNext/>
      <w:numPr>
        <w:numId w:val="34"/>
      </w:numPr>
      <w:spacing w:before="0" w:after="0"/>
      <w:contextualSpacing/>
      <w:outlineLvl w:val="0"/>
    </w:pPr>
    <w:rPr>
      <w:rFonts w:ascii="Verdana" w:eastAsia="MS Gothic" w:hAnsi="Verdana"/>
      <w:sz w:val="24"/>
      <w:lang w:val="en-GB" w:eastAsia="fr-FR"/>
    </w:rPr>
  </w:style>
  <w:style w:type="paragraph" w:customStyle="1" w:styleId="Niveauducommentaire21">
    <w:name w:val="Niveau du commentaire : 21"/>
    <w:basedOn w:val="Normale"/>
    <w:uiPriority w:val="99"/>
    <w:semiHidden/>
    <w:unhideWhenUsed/>
    <w:rsid w:val="00C83007"/>
    <w:pPr>
      <w:keepNext/>
      <w:numPr>
        <w:ilvl w:val="1"/>
        <w:numId w:val="34"/>
      </w:numPr>
      <w:spacing w:before="0" w:after="0"/>
      <w:contextualSpacing/>
      <w:outlineLvl w:val="1"/>
    </w:pPr>
    <w:rPr>
      <w:rFonts w:ascii="Verdana" w:eastAsia="MS Gothic" w:hAnsi="Verdana"/>
      <w:sz w:val="24"/>
      <w:lang w:val="en-GB" w:eastAsia="fr-FR"/>
    </w:rPr>
  </w:style>
  <w:style w:type="paragraph" w:customStyle="1" w:styleId="Niveauducommentaire31">
    <w:name w:val="Niveau du commentaire : 31"/>
    <w:basedOn w:val="Normale"/>
    <w:uiPriority w:val="99"/>
    <w:semiHidden/>
    <w:unhideWhenUsed/>
    <w:rsid w:val="00C83007"/>
    <w:pPr>
      <w:keepNext/>
      <w:numPr>
        <w:ilvl w:val="2"/>
        <w:numId w:val="34"/>
      </w:numPr>
      <w:spacing w:before="0" w:after="0"/>
      <w:contextualSpacing/>
      <w:outlineLvl w:val="2"/>
    </w:pPr>
    <w:rPr>
      <w:rFonts w:ascii="Verdana" w:eastAsia="MS Gothic" w:hAnsi="Verdana"/>
      <w:sz w:val="24"/>
      <w:lang w:val="en-GB" w:eastAsia="fr-FR"/>
    </w:rPr>
  </w:style>
  <w:style w:type="paragraph" w:customStyle="1" w:styleId="Niveauducommentaire41">
    <w:name w:val="Niveau du commentaire : 41"/>
    <w:basedOn w:val="Normale"/>
    <w:uiPriority w:val="99"/>
    <w:semiHidden/>
    <w:unhideWhenUsed/>
    <w:rsid w:val="00C83007"/>
    <w:pPr>
      <w:keepNext/>
      <w:numPr>
        <w:ilvl w:val="3"/>
        <w:numId w:val="34"/>
      </w:numPr>
      <w:spacing w:before="0" w:after="0"/>
      <w:contextualSpacing/>
      <w:outlineLvl w:val="3"/>
    </w:pPr>
    <w:rPr>
      <w:rFonts w:ascii="Verdana" w:eastAsia="MS Gothic" w:hAnsi="Verdana"/>
      <w:sz w:val="24"/>
      <w:lang w:val="en-GB" w:eastAsia="fr-FR"/>
    </w:rPr>
  </w:style>
  <w:style w:type="paragraph" w:customStyle="1" w:styleId="Niveauducommentaire51">
    <w:name w:val="Niveau du commentaire : 51"/>
    <w:basedOn w:val="Normale"/>
    <w:uiPriority w:val="99"/>
    <w:semiHidden/>
    <w:unhideWhenUsed/>
    <w:rsid w:val="00C83007"/>
    <w:pPr>
      <w:keepNext/>
      <w:numPr>
        <w:ilvl w:val="4"/>
        <w:numId w:val="34"/>
      </w:numPr>
      <w:spacing w:before="0" w:after="0"/>
      <w:contextualSpacing/>
      <w:outlineLvl w:val="4"/>
    </w:pPr>
    <w:rPr>
      <w:rFonts w:ascii="Verdana" w:eastAsia="MS Gothic" w:hAnsi="Verdana"/>
      <w:sz w:val="24"/>
      <w:lang w:val="en-GB" w:eastAsia="fr-FR"/>
    </w:rPr>
  </w:style>
  <w:style w:type="paragraph" w:customStyle="1" w:styleId="Niveauducommentaire61">
    <w:name w:val="Niveau du commentaire : 61"/>
    <w:basedOn w:val="Normale"/>
    <w:uiPriority w:val="99"/>
    <w:semiHidden/>
    <w:unhideWhenUsed/>
    <w:rsid w:val="00C83007"/>
    <w:pPr>
      <w:keepNext/>
      <w:numPr>
        <w:ilvl w:val="5"/>
        <w:numId w:val="34"/>
      </w:numPr>
      <w:spacing w:before="0" w:after="0"/>
      <w:contextualSpacing/>
      <w:outlineLvl w:val="5"/>
    </w:pPr>
    <w:rPr>
      <w:rFonts w:ascii="Verdana" w:eastAsia="MS Gothic" w:hAnsi="Verdana"/>
      <w:sz w:val="24"/>
      <w:lang w:val="en-GB" w:eastAsia="fr-FR"/>
    </w:rPr>
  </w:style>
  <w:style w:type="paragraph" w:customStyle="1" w:styleId="Niveauducommentaire71">
    <w:name w:val="Niveau du commentaire : 71"/>
    <w:basedOn w:val="Normale"/>
    <w:uiPriority w:val="99"/>
    <w:semiHidden/>
    <w:unhideWhenUsed/>
    <w:rsid w:val="00C83007"/>
    <w:pPr>
      <w:keepNext/>
      <w:numPr>
        <w:ilvl w:val="6"/>
        <w:numId w:val="34"/>
      </w:numPr>
      <w:spacing w:before="0" w:after="0"/>
      <w:contextualSpacing/>
      <w:outlineLvl w:val="6"/>
    </w:pPr>
    <w:rPr>
      <w:rFonts w:ascii="Verdana" w:eastAsia="MS Gothic" w:hAnsi="Verdana"/>
      <w:sz w:val="24"/>
      <w:lang w:val="en-GB" w:eastAsia="fr-FR"/>
    </w:rPr>
  </w:style>
  <w:style w:type="paragraph" w:customStyle="1" w:styleId="Niveauducommentaire81">
    <w:name w:val="Niveau du commentaire : 81"/>
    <w:basedOn w:val="Normale"/>
    <w:uiPriority w:val="99"/>
    <w:semiHidden/>
    <w:unhideWhenUsed/>
    <w:rsid w:val="00C83007"/>
    <w:pPr>
      <w:keepNext/>
      <w:numPr>
        <w:ilvl w:val="7"/>
        <w:numId w:val="34"/>
      </w:numPr>
      <w:spacing w:before="0" w:after="0"/>
      <w:contextualSpacing/>
      <w:outlineLvl w:val="7"/>
    </w:pPr>
    <w:rPr>
      <w:rFonts w:ascii="Verdana" w:eastAsia="MS Gothic" w:hAnsi="Verdana"/>
      <w:sz w:val="24"/>
      <w:lang w:val="en-GB" w:eastAsia="fr-FR"/>
    </w:rPr>
  </w:style>
  <w:style w:type="paragraph" w:customStyle="1" w:styleId="Niveauducommentaire91">
    <w:name w:val="Niveau du commentaire : 91"/>
    <w:basedOn w:val="Normale"/>
    <w:uiPriority w:val="99"/>
    <w:semiHidden/>
    <w:unhideWhenUsed/>
    <w:rsid w:val="00C83007"/>
    <w:pPr>
      <w:keepNext/>
      <w:numPr>
        <w:ilvl w:val="8"/>
        <w:numId w:val="34"/>
      </w:numPr>
      <w:spacing w:before="0" w:after="0"/>
      <w:contextualSpacing/>
      <w:outlineLvl w:val="8"/>
    </w:pPr>
    <w:rPr>
      <w:rFonts w:ascii="Verdana" w:eastAsia="MS Gothic" w:hAnsi="Verdana"/>
      <w:sz w:val="24"/>
      <w:lang w:val="en-GB" w:eastAsia="fr-FR"/>
    </w:rPr>
  </w:style>
  <w:style w:type="table" w:customStyle="1" w:styleId="TableGrid1">
    <w:name w:val="Table Grid1"/>
    <w:basedOn w:val="Tabellanormale"/>
    <w:next w:val="Grigliatabella"/>
    <w:rsid w:val="00C83007"/>
    <w:pPr>
      <w:jc w:val="left"/>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ellanormale"/>
    <w:next w:val="Grigliatabella"/>
    <w:rsid w:val="00C83007"/>
    <w:pPr>
      <w:jc w:val="left"/>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st">
    <w:name w:val="st"/>
    <w:basedOn w:val="Carpredefinitoparagrafo"/>
    <w:rsid w:val="00C83007"/>
  </w:style>
  <w:style w:type="paragraph" w:customStyle="1" w:styleId="TableParagraph">
    <w:name w:val="Table Paragraph"/>
    <w:basedOn w:val="Normale"/>
    <w:uiPriority w:val="1"/>
    <w:qFormat/>
    <w:rsid w:val="00C83007"/>
    <w:pPr>
      <w:widowControl w:val="0"/>
      <w:spacing w:before="0" w:after="0"/>
      <w:jc w:val="left"/>
    </w:pPr>
    <w:rPr>
      <w:rFonts w:asciiTheme="minorHAnsi" w:eastAsiaTheme="minorHAnsi" w:hAnsiTheme="minorHAnsi" w:cstheme="minorBidi"/>
      <w:sz w:val="22"/>
      <w:szCs w:val="22"/>
    </w:rPr>
  </w:style>
  <w:style w:type="character" w:customStyle="1" w:styleId="misspelled">
    <w:name w:val="misspelled"/>
    <w:basedOn w:val="Carpredefinitoparagrafo"/>
    <w:rsid w:val="00C83007"/>
  </w:style>
  <w:style w:type="character" w:customStyle="1" w:styleId="A00">
    <w:name w:val="A0"/>
    <w:uiPriority w:val="99"/>
    <w:rsid w:val="00C83007"/>
    <w:rPr>
      <w:rFonts w:cs="Gotham Book"/>
      <w:color w:val="221E1F"/>
    </w:rPr>
  </w:style>
  <w:style w:type="paragraph" w:customStyle="1" w:styleId="style150">
    <w:name w:val="style15"/>
    <w:basedOn w:val="Normale"/>
    <w:rsid w:val="00C83007"/>
    <w:pPr>
      <w:spacing w:before="100" w:beforeAutospacing="1" w:after="100" w:afterAutospacing="1"/>
      <w:jc w:val="left"/>
    </w:pPr>
    <w:rPr>
      <w:rFonts w:ascii="Times New Roman" w:hAnsi="Times New Roman"/>
      <w:sz w:val="24"/>
      <w:szCs w:val="24"/>
      <w:lang w:val="it-IT" w:eastAsia="it-IT"/>
    </w:rPr>
  </w:style>
  <w:style w:type="paragraph" w:customStyle="1" w:styleId="Stile2">
    <w:name w:val="Stile2"/>
    <w:basedOn w:val="Paragrafoelenco"/>
    <w:link w:val="Stile2Carattere"/>
    <w:qFormat/>
    <w:rsid w:val="00C83007"/>
    <w:pPr>
      <w:numPr>
        <w:numId w:val="36"/>
      </w:numPr>
      <w:shd w:val="clear" w:color="auto" w:fill="1F497D" w:themeFill="text2"/>
      <w:spacing w:before="0" w:after="0"/>
    </w:pPr>
    <w:rPr>
      <w:rFonts w:ascii="Times New Roman" w:hAnsi="Times New Roman"/>
      <w:b/>
      <w:color w:val="FFFFFF" w:themeColor="background1"/>
      <w:sz w:val="32"/>
      <w:szCs w:val="32"/>
    </w:rPr>
  </w:style>
  <w:style w:type="paragraph" w:customStyle="1" w:styleId="Stile3">
    <w:name w:val="Stile3"/>
    <w:basedOn w:val="Stile2"/>
    <w:link w:val="Stile3Carattere"/>
    <w:qFormat/>
    <w:rsid w:val="00C83007"/>
    <w:pPr>
      <w:numPr>
        <w:ilvl w:val="1"/>
        <w:numId w:val="37"/>
      </w:numPr>
      <w:shd w:val="clear" w:color="auto" w:fill="F2F2F2" w:themeFill="background1" w:themeFillShade="F2"/>
      <w:outlineLvl w:val="1"/>
    </w:pPr>
    <w:rPr>
      <w:smallCaps/>
      <w:color w:val="1F497D" w:themeColor="text2"/>
      <w:sz w:val="28"/>
      <w:szCs w:val="28"/>
    </w:rPr>
  </w:style>
  <w:style w:type="character" w:customStyle="1" w:styleId="Stile2Carattere">
    <w:name w:val="Stile2 Carattere"/>
    <w:basedOn w:val="ParagrafoelencoCarattere"/>
    <w:link w:val="Stile2"/>
    <w:rsid w:val="00C83007"/>
    <w:rPr>
      <w:rFonts w:ascii="Times New Roman" w:hAnsi="Times New Roman"/>
      <w:b/>
      <w:color w:val="FFFFFF" w:themeColor="background1"/>
      <w:sz w:val="32"/>
      <w:szCs w:val="32"/>
      <w:shd w:val="clear" w:color="auto" w:fill="1F497D" w:themeFill="text2"/>
    </w:rPr>
  </w:style>
  <w:style w:type="paragraph" w:customStyle="1" w:styleId="Stile-Palestina1">
    <w:name w:val="Stile-Palestina 1"/>
    <w:basedOn w:val="Normale"/>
    <w:link w:val="Stile-Palestina1Carattere"/>
    <w:qFormat/>
    <w:rsid w:val="00C83007"/>
    <w:pPr>
      <w:shd w:val="clear" w:color="auto" w:fill="1F497D" w:themeFill="text2"/>
      <w:spacing w:before="0" w:after="0"/>
    </w:pPr>
    <w:rPr>
      <w:rFonts w:ascii="Times New Roman" w:hAnsi="Times New Roman"/>
      <w:b/>
      <w:caps/>
      <w:color w:val="FFFFFF" w:themeColor="background1"/>
      <w:sz w:val="32"/>
      <w:szCs w:val="32"/>
    </w:rPr>
  </w:style>
  <w:style w:type="character" w:customStyle="1" w:styleId="Stile3Carattere">
    <w:name w:val="Stile3 Carattere"/>
    <w:basedOn w:val="Stile2Carattere"/>
    <w:link w:val="Stile3"/>
    <w:rsid w:val="00C83007"/>
    <w:rPr>
      <w:smallCaps/>
      <w:color w:val="1F497D" w:themeColor="text2"/>
      <w:sz w:val="28"/>
      <w:szCs w:val="28"/>
      <w:shd w:val="clear" w:color="auto" w:fill="F2F2F2" w:themeFill="background1" w:themeFillShade="F2"/>
    </w:rPr>
  </w:style>
  <w:style w:type="paragraph" w:customStyle="1" w:styleId="Stile-Palestina2">
    <w:name w:val="Stile- Palestina 2"/>
    <w:basedOn w:val="Normale"/>
    <w:link w:val="Stile-Palestina2Carattere"/>
    <w:qFormat/>
    <w:rsid w:val="00C83007"/>
    <w:pPr>
      <w:shd w:val="clear" w:color="auto" w:fill="F2F2F2" w:themeFill="background1" w:themeFillShade="F2"/>
      <w:spacing w:before="0" w:after="0"/>
    </w:pPr>
    <w:rPr>
      <w:rFonts w:ascii="Times New Roman" w:hAnsi="Times New Roman"/>
      <w:b/>
      <w:smallCaps/>
      <w:color w:val="1F497D" w:themeColor="text2"/>
      <w:sz w:val="28"/>
      <w:szCs w:val="28"/>
    </w:rPr>
  </w:style>
  <w:style w:type="character" w:customStyle="1" w:styleId="Stile-Palestina1Carattere">
    <w:name w:val="Stile-Palestina 1 Carattere"/>
    <w:basedOn w:val="Carpredefinitoparagrafo"/>
    <w:link w:val="Stile-Palestina1"/>
    <w:rsid w:val="00C83007"/>
    <w:rPr>
      <w:rFonts w:ascii="Times New Roman" w:eastAsia="Times New Roman" w:hAnsi="Times New Roman" w:cs="Times New Roman"/>
      <w:b/>
      <w:caps/>
      <w:color w:val="FFFFFF" w:themeColor="background1"/>
      <w:sz w:val="32"/>
      <w:szCs w:val="32"/>
      <w:shd w:val="clear" w:color="auto" w:fill="1F497D" w:themeFill="text2"/>
      <w:lang w:val="en-US"/>
    </w:rPr>
  </w:style>
  <w:style w:type="paragraph" w:customStyle="1" w:styleId="Stile-Palestina3">
    <w:name w:val="Stile-Palestina 3"/>
    <w:basedOn w:val="Normale"/>
    <w:link w:val="Stile-Palestina3Carattere"/>
    <w:qFormat/>
    <w:rsid w:val="00C83007"/>
    <w:pPr>
      <w:shd w:val="clear" w:color="auto" w:fill="FFFFFF" w:themeFill="background1"/>
      <w:spacing w:before="0" w:after="0"/>
    </w:pPr>
    <w:rPr>
      <w:rFonts w:ascii="Times New Roman" w:hAnsi="Times New Roman"/>
      <w:b/>
      <w:smallCaps/>
      <w:color w:val="1F497D" w:themeColor="text2"/>
      <w:sz w:val="24"/>
      <w:szCs w:val="24"/>
    </w:rPr>
  </w:style>
  <w:style w:type="character" w:customStyle="1" w:styleId="Stile-Palestina2Carattere">
    <w:name w:val="Stile- Palestina 2 Carattere"/>
    <w:basedOn w:val="Carpredefinitoparagrafo"/>
    <w:link w:val="Stile-Palestina2"/>
    <w:rsid w:val="00C83007"/>
    <w:rPr>
      <w:rFonts w:ascii="Times New Roman" w:eastAsia="Times New Roman" w:hAnsi="Times New Roman" w:cs="Times New Roman"/>
      <w:b/>
      <w:smallCaps/>
      <w:color w:val="1F497D" w:themeColor="text2"/>
      <w:sz w:val="28"/>
      <w:szCs w:val="28"/>
      <w:shd w:val="clear" w:color="auto" w:fill="F2F2F2" w:themeFill="background1" w:themeFillShade="F2"/>
      <w:lang w:val="en-US"/>
    </w:rPr>
  </w:style>
  <w:style w:type="character" w:customStyle="1" w:styleId="Stile-Palestina3Carattere">
    <w:name w:val="Stile-Palestina 3 Carattere"/>
    <w:basedOn w:val="Carpredefinitoparagrafo"/>
    <w:link w:val="Stile-Palestina3"/>
    <w:rsid w:val="00C83007"/>
    <w:rPr>
      <w:rFonts w:ascii="Times New Roman" w:eastAsia="Times New Roman" w:hAnsi="Times New Roman" w:cs="Times New Roman"/>
      <w:b/>
      <w:smallCaps/>
      <w:color w:val="1F497D" w:themeColor="text2"/>
      <w:sz w:val="24"/>
      <w:szCs w:val="24"/>
      <w:shd w:val="clear" w:color="auto" w:fill="FFFFFF" w:themeFill="background1"/>
      <w:lang w:val="en-US"/>
    </w:rPr>
  </w:style>
  <w:style w:type="paragraph" w:customStyle="1" w:styleId="ColorfulList-Accent11">
    <w:name w:val="Colorful List - Accent 11"/>
    <w:basedOn w:val="Normale"/>
    <w:uiPriority w:val="34"/>
    <w:qFormat/>
    <w:rsid w:val="00C83007"/>
    <w:pPr>
      <w:spacing w:before="0" w:after="0"/>
      <w:ind w:left="720"/>
      <w:contextualSpacing/>
    </w:pPr>
    <w:rPr>
      <w:rFonts w:ascii="Times New Roman" w:hAnsi="Times New Roman"/>
      <w:sz w:val="24"/>
    </w:rPr>
  </w:style>
  <w:style w:type="paragraph" w:customStyle="1" w:styleId="c">
    <w:name w:val="c"/>
    <w:basedOn w:val="zonedetexte"/>
    <w:rsid w:val="00C83007"/>
    <w:pPr>
      <w:keepLines w:val="0"/>
      <w:ind w:left="360"/>
    </w:pPr>
    <w:rPr>
      <w:rFonts w:ascii="Times New Roman" w:hAnsi="Times New Roman"/>
      <w:i/>
      <w:smallCaps w:val="0"/>
      <w:color w:val="1F497D"/>
      <w:u w:val="none"/>
      <w:lang w:val="en-US"/>
    </w:rPr>
  </w:style>
  <w:style w:type="paragraph" w:customStyle="1" w:styleId="ColorfulShading-Accent11">
    <w:name w:val="Colorful Shading - Accent 11"/>
    <w:hidden/>
    <w:uiPriority w:val="99"/>
    <w:semiHidden/>
    <w:rsid w:val="00C83007"/>
    <w:pPr>
      <w:jc w:val="left"/>
    </w:pPr>
    <w:rPr>
      <w:rFonts w:ascii="Times New Roman" w:eastAsia="Times New Roman" w:hAnsi="Times New Roman" w:cs="Times New Roman"/>
      <w:sz w:val="24"/>
      <w:szCs w:val="20"/>
      <w:lang w:val="en-US"/>
    </w:rPr>
  </w:style>
  <w:style w:type="paragraph" w:customStyle="1" w:styleId="ECDPMHeading1numbered">
    <w:name w:val="ECDPM Heading 1 numbered"/>
    <w:basedOn w:val="Normale"/>
    <w:next w:val="ECDPMnormal"/>
    <w:qFormat/>
    <w:rsid w:val="00C83007"/>
    <w:pPr>
      <w:numPr>
        <w:numId w:val="39"/>
      </w:numPr>
      <w:autoSpaceDE w:val="0"/>
      <w:autoSpaceDN w:val="0"/>
      <w:spacing w:before="0" w:after="240"/>
      <w:jc w:val="left"/>
    </w:pPr>
    <w:rPr>
      <w:rFonts w:ascii="Verdana" w:hAnsi="Verdana" w:cs="Arial Black"/>
      <w:color w:val="009DDC"/>
      <w:sz w:val="32"/>
      <w:szCs w:val="24"/>
      <w:lang w:val="en-GB" w:eastAsia="ja-JP"/>
    </w:rPr>
  </w:style>
  <w:style w:type="paragraph" w:customStyle="1" w:styleId="ECDPMnormal">
    <w:name w:val="ECDPM normal"/>
    <w:basedOn w:val="Normale"/>
    <w:qFormat/>
    <w:rsid w:val="00C83007"/>
    <w:pPr>
      <w:autoSpaceDE w:val="0"/>
      <w:autoSpaceDN w:val="0"/>
      <w:spacing w:before="0" w:after="0" w:line="280" w:lineRule="atLeast"/>
      <w:jc w:val="left"/>
    </w:pPr>
    <w:rPr>
      <w:rFonts w:ascii="Arial" w:hAnsi="Arial" w:cs="Arial Black"/>
      <w:sz w:val="20"/>
      <w:szCs w:val="24"/>
      <w:lang w:val="en-GB" w:eastAsia="ja-JP"/>
    </w:rPr>
  </w:style>
  <w:style w:type="paragraph" w:customStyle="1" w:styleId="ECDPMHeading2numbered">
    <w:name w:val="ECDPM Heading 2 numbered"/>
    <w:basedOn w:val="Normale"/>
    <w:next w:val="ECDPMnormal"/>
    <w:qFormat/>
    <w:rsid w:val="00C83007"/>
    <w:pPr>
      <w:widowControl w:val="0"/>
      <w:numPr>
        <w:ilvl w:val="1"/>
        <w:numId w:val="39"/>
      </w:numPr>
      <w:tabs>
        <w:tab w:val="left" w:pos="794"/>
      </w:tabs>
      <w:spacing w:before="360" w:after="240"/>
      <w:jc w:val="left"/>
      <w:outlineLvl w:val="1"/>
    </w:pPr>
    <w:rPr>
      <w:rFonts w:ascii="Verdana" w:hAnsi="Verdana" w:cs="Arial Black"/>
      <w:color w:val="009DDC"/>
      <w:sz w:val="24"/>
      <w:szCs w:val="24"/>
      <w:lang w:val="en-GB" w:eastAsia="ja-JP"/>
    </w:rPr>
  </w:style>
  <w:style w:type="paragraph" w:customStyle="1" w:styleId="ECDPMHeading3numbered">
    <w:name w:val="ECDPM Heading 3 numbered"/>
    <w:basedOn w:val="Normale"/>
    <w:next w:val="ECDPMnormal"/>
    <w:qFormat/>
    <w:rsid w:val="00C83007"/>
    <w:pPr>
      <w:numPr>
        <w:ilvl w:val="2"/>
        <w:numId w:val="39"/>
      </w:numPr>
      <w:autoSpaceDE w:val="0"/>
      <w:autoSpaceDN w:val="0"/>
      <w:spacing w:before="240" w:after="0"/>
      <w:jc w:val="left"/>
    </w:pPr>
    <w:rPr>
      <w:rFonts w:ascii="Verdana" w:hAnsi="Verdana" w:cs="Arial Black"/>
      <w:b/>
      <w:color w:val="687819"/>
      <w:sz w:val="20"/>
      <w:szCs w:val="24"/>
      <w:lang w:val="en-GB" w:eastAsia="ja-JP"/>
    </w:rPr>
  </w:style>
  <w:style w:type="paragraph" w:customStyle="1" w:styleId="h">
    <w:name w:val="h"/>
    <w:basedOn w:val="ColorfulList-Accent11"/>
    <w:rsid w:val="00C83007"/>
    <w:pPr>
      <w:numPr>
        <w:numId w:val="38"/>
      </w:numPr>
    </w:pPr>
  </w:style>
  <w:style w:type="character" w:customStyle="1" w:styleId="st1">
    <w:name w:val="st1"/>
    <w:basedOn w:val="Carpredefinitoparagrafo"/>
    <w:rsid w:val="00C83007"/>
  </w:style>
  <w:style w:type="paragraph" w:customStyle="1" w:styleId="xl105">
    <w:name w:val="xl105"/>
    <w:basedOn w:val="Normale"/>
    <w:rsid w:val="00E37F81"/>
    <w:pPr>
      <w:pBdr>
        <w:top w:val="single" w:sz="8" w:space="0" w:color="auto"/>
        <w:left w:val="single" w:sz="4" w:space="0" w:color="auto"/>
        <w:bottom w:val="single" w:sz="4" w:space="0" w:color="auto"/>
        <w:right w:val="single" w:sz="4" w:space="0" w:color="auto"/>
      </w:pBdr>
      <w:shd w:val="clear" w:color="000000" w:fill="1F497D"/>
      <w:spacing w:before="100" w:beforeAutospacing="1" w:after="100" w:afterAutospacing="1"/>
      <w:jc w:val="center"/>
      <w:textAlignment w:val="center"/>
    </w:pPr>
    <w:rPr>
      <w:rFonts w:ascii="Arial" w:hAnsi="Arial" w:cs="Arial"/>
      <w:b/>
      <w:bCs/>
      <w:color w:val="FFFFFF"/>
      <w:sz w:val="24"/>
      <w:szCs w:val="24"/>
      <w:lang w:val="it-IT" w:eastAsia="it-IT"/>
    </w:rPr>
  </w:style>
  <w:style w:type="paragraph" w:customStyle="1" w:styleId="ZCommittee">
    <w:name w:val="ZCommittee"/>
    <w:basedOn w:val="Normale"/>
    <w:next w:val="Normale"/>
    <w:rsid w:val="00FC181F"/>
    <w:pPr>
      <w:widowControl w:val="0"/>
      <w:spacing w:before="0" w:after="0"/>
      <w:jc w:val="center"/>
    </w:pPr>
    <w:rPr>
      <w:rFonts w:ascii="Arial" w:hAnsi="Arial" w:cs="Arial"/>
      <w:i/>
      <w:sz w:val="22"/>
      <w:szCs w:val="22"/>
      <w:lang w:val="fr-FR" w:eastAsia="en-GB"/>
    </w:rPr>
  </w:style>
  <w:style w:type="paragraph" w:customStyle="1" w:styleId="name">
    <w:name w:val="name"/>
    <w:basedOn w:val="Normale"/>
    <w:rsid w:val="008F2A89"/>
    <w:pPr>
      <w:spacing w:before="100" w:beforeAutospacing="1" w:after="100" w:afterAutospacing="1"/>
      <w:jc w:val="left"/>
    </w:pPr>
    <w:rPr>
      <w:rFonts w:ascii="Times New Roman" w:hAnsi="Times New Roman"/>
      <w:sz w:val="24"/>
      <w:szCs w:val="24"/>
      <w:lang w:val="it-IT" w:eastAsia="it-IT"/>
    </w:rPr>
  </w:style>
  <w:style w:type="paragraph" w:customStyle="1" w:styleId="section">
    <w:name w:val="section"/>
    <w:basedOn w:val="Normale"/>
    <w:qFormat/>
    <w:rsid w:val="00A23C41"/>
    <w:pPr>
      <w:keepNext/>
      <w:keepLines/>
      <w:pBdr>
        <w:top w:val="single" w:sz="4" w:space="1" w:color="17365D" w:shadow="1"/>
        <w:left w:val="single" w:sz="4" w:space="4" w:color="17365D" w:shadow="1"/>
        <w:bottom w:val="single" w:sz="4" w:space="1" w:color="17365D" w:shadow="1"/>
        <w:right w:val="single" w:sz="4" w:space="4" w:color="17365D" w:shadow="1"/>
      </w:pBdr>
      <w:spacing w:after="240"/>
      <w:jc w:val="center"/>
    </w:pPr>
    <w:rPr>
      <w:rFonts w:ascii="Calibri" w:hAnsi="Calibri"/>
      <w:b/>
      <w:caps/>
      <w:color w:val="548DD4"/>
      <w:sz w:val="40"/>
      <w:szCs w:val="40"/>
    </w:rPr>
  </w:style>
  <w:style w:type="character" w:customStyle="1" w:styleId="DidascaliaCarattere">
    <w:name w:val="Didascalia Carattere"/>
    <w:aliases w:val="Textbox Carattere"/>
    <w:basedOn w:val="Carpredefinitoparagrafo"/>
    <w:link w:val="Didascalia"/>
    <w:uiPriority w:val="35"/>
    <w:rsid w:val="00D714DB"/>
    <w:rPr>
      <w:rFonts w:ascii="Arial" w:eastAsia="Times New Roman" w:hAnsi="Arial" w:cs="Arial"/>
      <w:b/>
      <w:color w:val="1F497D" w:themeColor="text2"/>
      <w:kern w:val="28"/>
      <w:sz w:val="18"/>
      <w:szCs w:val="18"/>
      <w:lang w:val="en-US" w:eastAsia="pl-PL"/>
    </w:rPr>
  </w:style>
  <w:style w:type="paragraph" w:customStyle="1" w:styleId="Tabletitlecell">
    <w:name w:val="Table title cell"/>
    <w:basedOn w:val="Normale"/>
    <w:rsid w:val="0071776E"/>
    <w:pPr>
      <w:keepNext/>
      <w:keepLines/>
      <w:spacing w:before="20" w:after="20"/>
      <w:jc w:val="center"/>
    </w:pPr>
    <w:rPr>
      <w:rFonts w:ascii="Arial" w:hAnsi="Arial" w:cs="Arial"/>
      <w:b/>
      <w:bCs/>
      <w:i/>
      <w:iCs/>
      <w:color w:val="000000"/>
      <w:sz w:val="20"/>
      <w:szCs w:val="18"/>
      <w:lang w:val="en-GB" w:eastAsia="en-GB"/>
    </w:rPr>
  </w:style>
  <w:style w:type="character" w:customStyle="1" w:styleId="FootnoteTextChar1">
    <w:name w:val="Footnote Text Char1"/>
    <w:basedOn w:val="Carpredefinitoparagrafo"/>
    <w:uiPriority w:val="99"/>
    <w:semiHidden/>
    <w:rsid w:val="00792401"/>
    <w:rPr>
      <w:rFonts w:ascii="Cambria" w:eastAsia="Times New Roman" w:hAnsi="Cambria" w:cs="Times New Roman"/>
      <w:sz w:val="20"/>
      <w:szCs w:val="20"/>
    </w:rPr>
  </w:style>
</w:styles>
</file>

<file path=word/webSettings.xml><?xml version="1.0" encoding="utf-8"?>
<w:webSettings xmlns:r="http://schemas.openxmlformats.org/officeDocument/2006/relationships" xmlns:w="http://schemas.openxmlformats.org/wordprocessingml/2006/main">
  <w:divs>
    <w:div w:id="24912868">
      <w:bodyDiv w:val="1"/>
      <w:marLeft w:val="0"/>
      <w:marRight w:val="0"/>
      <w:marTop w:val="0"/>
      <w:marBottom w:val="0"/>
      <w:divBdr>
        <w:top w:val="none" w:sz="0" w:space="0" w:color="auto"/>
        <w:left w:val="none" w:sz="0" w:space="0" w:color="auto"/>
        <w:bottom w:val="none" w:sz="0" w:space="0" w:color="auto"/>
        <w:right w:val="none" w:sz="0" w:space="0" w:color="auto"/>
      </w:divBdr>
    </w:div>
    <w:div w:id="39595464">
      <w:bodyDiv w:val="1"/>
      <w:marLeft w:val="0"/>
      <w:marRight w:val="0"/>
      <w:marTop w:val="0"/>
      <w:marBottom w:val="0"/>
      <w:divBdr>
        <w:top w:val="none" w:sz="0" w:space="0" w:color="auto"/>
        <w:left w:val="none" w:sz="0" w:space="0" w:color="auto"/>
        <w:bottom w:val="none" w:sz="0" w:space="0" w:color="auto"/>
        <w:right w:val="none" w:sz="0" w:space="0" w:color="auto"/>
      </w:divBdr>
    </w:div>
    <w:div w:id="153422220">
      <w:bodyDiv w:val="1"/>
      <w:marLeft w:val="0"/>
      <w:marRight w:val="0"/>
      <w:marTop w:val="0"/>
      <w:marBottom w:val="0"/>
      <w:divBdr>
        <w:top w:val="none" w:sz="0" w:space="0" w:color="auto"/>
        <w:left w:val="none" w:sz="0" w:space="0" w:color="auto"/>
        <w:bottom w:val="none" w:sz="0" w:space="0" w:color="auto"/>
        <w:right w:val="none" w:sz="0" w:space="0" w:color="auto"/>
      </w:divBdr>
    </w:div>
    <w:div w:id="609052393">
      <w:bodyDiv w:val="1"/>
      <w:marLeft w:val="0"/>
      <w:marRight w:val="0"/>
      <w:marTop w:val="0"/>
      <w:marBottom w:val="0"/>
      <w:divBdr>
        <w:top w:val="none" w:sz="0" w:space="0" w:color="auto"/>
        <w:left w:val="none" w:sz="0" w:space="0" w:color="auto"/>
        <w:bottom w:val="none" w:sz="0" w:space="0" w:color="auto"/>
        <w:right w:val="none" w:sz="0" w:space="0" w:color="auto"/>
      </w:divBdr>
    </w:div>
    <w:div w:id="684988563">
      <w:bodyDiv w:val="1"/>
      <w:marLeft w:val="0"/>
      <w:marRight w:val="0"/>
      <w:marTop w:val="0"/>
      <w:marBottom w:val="0"/>
      <w:divBdr>
        <w:top w:val="none" w:sz="0" w:space="0" w:color="auto"/>
        <w:left w:val="none" w:sz="0" w:space="0" w:color="auto"/>
        <w:bottom w:val="none" w:sz="0" w:space="0" w:color="auto"/>
        <w:right w:val="none" w:sz="0" w:space="0" w:color="auto"/>
      </w:divBdr>
    </w:div>
    <w:div w:id="714503567">
      <w:bodyDiv w:val="1"/>
      <w:marLeft w:val="0"/>
      <w:marRight w:val="0"/>
      <w:marTop w:val="0"/>
      <w:marBottom w:val="0"/>
      <w:divBdr>
        <w:top w:val="none" w:sz="0" w:space="0" w:color="auto"/>
        <w:left w:val="none" w:sz="0" w:space="0" w:color="auto"/>
        <w:bottom w:val="none" w:sz="0" w:space="0" w:color="auto"/>
        <w:right w:val="none" w:sz="0" w:space="0" w:color="auto"/>
      </w:divBdr>
    </w:div>
    <w:div w:id="763111290">
      <w:bodyDiv w:val="1"/>
      <w:marLeft w:val="0"/>
      <w:marRight w:val="0"/>
      <w:marTop w:val="0"/>
      <w:marBottom w:val="0"/>
      <w:divBdr>
        <w:top w:val="none" w:sz="0" w:space="0" w:color="auto"/>
        <w:left w:val="none" w:sz="0" w:space="0" w:color="auto"/>
        <w:bottom w:val="none" w:sz="0" w:space="0" w:color="auto"/>
        <w:right w:val="none" w:sz="0" w:space="0" w:color="auto"/>
      </w:divBdr>
    </w:div>
    <w:div w:id="763498879">
      <w:bodyDiv w:val="1"/>
      <w:marLeft w:val="0"/>
      <w:marRight w:val="0"/>
      <w:marTop w:val="0"/>
      <w:marBottom w:val="0"/>
      <w:divBdr>
        <w:top w:val="none" w:sz="0" w:space="0" w:color="auto"/>
        <w:left w:val="none" w:sz="0" w:space="0" w:color="auto"/>
        <w:bottom w:val="none" w:sz="0" w:space="0" w:color="auto"/>
        <w:right w:val="none" w:sz="0" w:space="0" w:color="auto"/>
      </w:divBdr>
    </w:div>
    <w:div w:id="815605552">
      <w:bodyDiv w:val="1"/>
      <w:marLeft w:val="0"/>
      <w:marRight w:val="0"/>
      <w:marTop w:val="0"/>
      <w:marBottom w:val="0"/>
      <w:divBdr>
        <w:top w:val="none" w:sz="0" w:space="0" w:color="auto"/>
        <w:left w:val="none" w:sz="0" w:space="0" w:color="auto"/>
        <w:bottom w:val="none" w:sz="0" w:space="0" w:color="auto"/>
        <w:right w:val="none" w:sz="0" w:space="0" w:color="auto"/>
      </w:divBdr>
    </w:div>
    <w:div w:id="818771961">
      <w:bodyDiv w:val="1"/>
      <w:marLeft w:val="0"/>
      <w:marRight w:val="0"/>
      <w:marTop w:val="0"/>
      <w:marBottom w:val="0"/>
      <w:divBdr>
        <w:top w:val="none" w:sz="0" w:space="0" w:color="auto"/>
        <w:left w:val="none" w:sz="0" w:space="0" w:color="auto"/>
        <w:bottom w:val="none" w:sz="0" w:space="0" w:color="auto"/>
        <w:right w:val="none" w:sz="0" w:space="0" w:color="auto"/>
      </w:divBdr>
    </w:div>
    <w:div w:id="853375445">
      <w:bodyDiv w:val="1"/>
      <w:marLeft w:val="0"/>
      <w:marRight w:val="0"/>
      <w:marTop w:val="0"/>
      <w:marBottom w:val="0"/>
      <w:divBdr>
        <w:top w:val="none" w:sz="0" w:space="0" w:color="auto"/>
        <w:left w:val="none" w:sz="0" w:space="0" w:color="auto"/>
        <w:bottom w:val="none" w:sz="0" w:space="0" w:color="auto"/>
        <w:right w:val="none" w:sz="0" w:space="0" w:color="auto"/>
      </w:divBdr>
    </w:div>
    <w:div w:id="881478230">
      <w:bodyDiv w:val="1"/>
      <w:marLeft w:val="0"/>
      <w:marRight w:val="0"/>
      <w:marTop w:val="0"/>
      <w:marBottom w:val="0"/>
      <w:divBdr>
        <w:top w:val="none" w:sz="0" w:space="0" w:color="auto"/>
        <w:left w:val="none" w:sz="0" w:space="0" w:color="auto"/>
        <w:bottom w:val="none" w:sz="0" w:space="0" w:color="auto"/>
        <w:right w:val="none" w:sz="0" w:space="0" w:color="auto"/>
      </w:divBdr>
    </w:div>
    <w:div w:id="1021055384">
      <w:bodyDiv w:val="1"/>
      <w:marLeft w:val="0"/>
      <w:marRight w:val="0"/>
      <w:marTop w:val="0"/>
      <w:marBottom w:val="0"/>
      <w:divBdr>
        <w:top w:val="none" w:sz="0" w:space="0" w:color="auto"/>
        <w:left w:val="none" w:sz="0" w:space="0" w:color="auto"/>
        <w:bottom w:val="none" w:sz="0" w:space="0" w:color="auto"/>
        <w:right w:val="none" w:sz="0" w:space="0" w:color="auto"/>
      </w:divBdr>
    </w:div>
    <w:div w:id="1179541662">
      <w:bodyDiv w:val="1"/>
      <w:marLeft w:val="0"/>
      <w:marRight w:val="0"/>
      <w:marTop w:val="0"/>
      <w:marBottom w:val="0"/>
      <w:divBdr>
        <w:top w:val="none" w:sz="0" w:space="0" w:color="auto"/>
        <w:left w:val="none" w:sz="0" w:space="0" w:color="auto"/>
        <w:bottom w:val="none" w:sz="0" w:space="0" w:color="auto"/>
        <w:right w:val="none" w:sz="0" w:space="0" w:color="auto"/>
      </w:divBdr>
    </w:div>
    <w:div w:id="1214317938">
      <w:bodyDiv w:val="1"/>
      <w:marLeft w:val="0"/>
      <w:marRight w:val="0"/>
      <w:marTop w:val="0"/>
      <w:marBottom w:val="0"/>
      <w:divBdr>
        <w:top w:val="none" w:sz="0" w:space="0" w:color="auto"/>
        <w:left w:val="none" w:sz="0" w:space="0" w:color="auto"/>
        <w:bottom w:val="none" w:sz="0" w:space="0" w:color="auto"/>
        <w:right w:val="none" w:sz="0" w:space="0" w:color="auto"/>
      </w:divBdr>
    </w:div>
    <w:div w:id="1231648194">
      <w:bodyDiv w:val="1"/>
      <w:marLeft w:val="0"/>
      <w:marRight w:val="0"/>
      <w:marTop w:val="0"/>
      <w:marBottom w:val="0"/>
      <w:divBdr>
        <w:top w:val="none" w:sz="0" w:space="0" w:color="auto"/>
        <w:left w:val="none" w:sz="0" w:space="0" w:color="auto"/>
        <w:bottom w:val="none" w:sz="0" w:space="0" w:color="auto"/>
        <w:right w:val="none" w:sz="0" w:space="0" w:color="auto"/>
      </w:divBdr>
    </w:div>
    <w:div w:id="1416514306">
      <w:bodyDiv w:val="1"/>
      <w:marLeft w:val="0"/>
      <w:marRight w:val="0"/>
      <w:marTop w:val="0"/>
      <w:marBottom w:val="0"/>
      <w:divBdr>
        <w:top w:val="none" w:sz="0" w:space="0" w:color="auto"/>
        <w:left w:val="none" w:sz="0" w:space="0" w:color="auto"/>
        <w:bottom w:val="none" w:sz="0" w:space="0" w:color="auto"/>
        <w:right w:val="none" w:sz="0" w:space="0" w:color="auto"/>
      </w:divBdr>
    </w:div>
    <w:div w:id="1481649642">
      <w:bodyDiv w:val="1"/>
      <w:marLeft w:val="0"/>
      <w:marRight w:val="0"/>
      <w:marTop w:val="0"/>
      <w:marBottom w:val="0"/>
      <w:divBdr>
        <w:top w:val="none" w:sz="0" w:space="0" w:color="auto"/>
        <w:left w:val="none" w:sz="0" w:space="0" w:color="auto"/>
        <w:bottom w:val="none" w:sz="0" w:space="0" w:color="auto"/>
        <w:right w:val="none" w:sz="0" w:space="0" w:color="auto"/>
      </w:divBdr>
    </w:div>
    <w:div w:id="1534617355">
      <w:bodyDiv w:val="1"/>
      <w:marLeft w:val="0"/>
      <w:marRight w:val="0"/>
      <w:marTop w:val="0"/>
      <w:marBottom w:val="0"/>
      <w:divBdr>
        <w:top w:val="none" w:sz="0" w:space="0" w:color="auto"/>
        <w:left w:val="none" w:sz="0" w:space="0" w:color="auto"/>
        <w:bottom w:val="none" w:sz="0" w:space="0" w:color="auto"/>
        <w:right w:val="none" w:sz="0" w:space="0" w:color="auto"/>
      </w:divBdr>
    </w:div>
    <w:div w:id="1561944037">
      <w:bodyDiv w:val="1"/>
      <w:marLeft w:val="0"/>
      <w:marRight w:val="0"/>
      <w:marTop w:val="0"/>
      <w:marBottom w:val="0"/>
      <w:divBdr>
        <w:top w:val="none" w:sz="0" w:space="0" w:color="auto"/>
        <w:left w:val="none" w:sz="0" w:space="0" w:color="auto"/>
        <w:bottom w:val="none" w:sz="0" w:space="0" w:color="auto"/>
        <w:right w:val="none" w:sz="0" w:space="0" w:color="auto"/>
      </w:divBdr>
    </w:div>
    <w:div w:id="1607418080">
      <w:bodyDiv w:val="1"/>
      <w:marLeft w:val="0"/>
      <w:marRight w:val="0"/>
      <w:marTop w:val="0"/>
      <w:marBottom w:val="0"/>
      <w:divBdr>
        <w:top w:val="none" w:sz="0" w:space="0" w:color="auto"/>
        <w:left w:val="none" w:sz="0" w:space="0" w:color="auto"/>
        <w:bottom w:val="none" w:sz="0" w:space="0" w:color="auto"/>
        <w:right w:val="none" w:sz="0" w:space="0" w:color="auto"/>
      </w:divBdr>
    </w:div>
    <w:div w:id="1743864588">
      <w:bodyDiv w:val="1"/>
      <w:marLeft w:val="0"/>
      <w:marRight w:val="0"/>
      <w:marTop w:val="0"/>
      <w:marBottom w:val="0"/>
      <w:divBdr>
        <w:top w:val="none" w:sz="0" w:space="0" w:color="auto"/>
        <w:left w:val="none" w:sz="0" w:space="0" w:color="auto"/>
        <w:bottom w:val="none" w:sz="0" w:space="0" w:color="auto"/>
        <w:right w:val="none" w:sz="0" w:space="0" w:color="auto"/>
      </w:divBdr>
    </w:div>
    <w:div w:id="1762022338">
      <w:bodyDiv w:val="1"/>
      <w:marLeft w:val="0"/>
      <w:marRight w:val="0"/>
      <w:marTop w:val="0"/>
      <w:marBottom w:val="0"/>
      <w:divBdr>
        <w:top w:val="none" w:sz="0" w:space="0" w:color="auto"/>
        <w:left w:val="none" w:sz="0" w:space="0" w:color="auto"/>
        <w:bottom w:val="none" w:sz="0" w:space="0" w:color="auto"/>
        <w:right w:val="none" w:sz="0" w:space="0" w:color="auto"/>
      </w:divBdr>
    </w:div>
    <w:div w:id="1801072241">
      <w:bodyDiv w:val="1"/>
      <w:marLeft w:val="0"/>
      <w:marRight w:val="0"/>
      <w:marTop w:val="0"/>
      <w:marBottom w:val="0"/>
      <w:divBdr>
        <w:top w:val="none" w:sz="0" w:space="0" w:color="auto"/>
        <w:left w:val="none" w:sz="0" w:space="0" w:color="auto"/>
        <w:bottom w:val="none" w:sz="0" w:space="0" w:color="auto"/>
        <w:right w:val="none" w:sz="0" w:space="0" w:color="auto"/>
      </w:divBdr>
    </w:div>
    <w:div w:id="1805735437">
      <w:bodyDiv w:val="1"/>
      <w:marLeft w:val="0"/>
      <w:marRight w:val="0"/>
      <w:marTop w:val="0"/>
      <w:marBottom w:val="0"/>
      <w:divBdr>
        <w:top w:val="none" w:sz="0" w:space="0" w:color="auto"/>
        <w:left w:val="none" w:sz="0" w:space="0" w:color="auto"/>
        <w:bottom w:val="none" w:sz="0" w:space="0" w:color="auto"/>
        <w:right w:val="none" w:sz="0" w:space="0" w:color="auto"/>
      </w:divBdr>
    </w:div>
    <w:div w:id="1834837928">
      <w:bodyDiv w:val="1"/>
      <w:marLeft w:val="0"/>
      <w:marRight w:val="0"/>
      <w:marTop w:val="0"/>
      <w:marBottom w:val="0"/>
      <w:divBdr>
        <w:top w:val="none" w:sz="0" w:space="0" w:color="auto"/>
        <w:left w:val="none" w:sz="0" w:space="0" w:color="auto"/>
        <w:bottom w:val="none" w:sz="0" w:space="0" w:color="auto"/>
        <w:right w:val="none" w:sz="0" w:space="0" w:color="auto"/>
      </w:divBdr>
    </w:div>
    <w:div w:id="1855147008">
      <w:bodyDiv w:val="1"/>
      <w:marLeft w:val="0"/>
      <w:marRight w:val="0"/>
      <w:marTop w:val="0"/>
      <w:marBottom w:val="0"/>
      <w:divBdr>
        <w:top w:val="none" w:sz="0" w:space="0" w:color="auto"/>
        <w:left w:val="none" w:sz="0" w:space="0" w:color="auto"/>
        <w:bottom w:val="none" w:sz="0" w:space="0" w:color="auto"/>
        <w:right w:val="none" w:sz="0" w:space="0" w:color="auto"/>
      </w:divBdr>
    </w:div>
    <w:div w:id="2055687657">
      <w:bodyDiv w:val="1"/>
      <w:marLeft w:val="0"/>
      <w:marRight w:val="0"/>
      <w:marTop w:val="0"/>
      <w:marBottom w:val="0"/>
      <w:divBdr>
        <w:top w:val="none" w:sz="0" w:space="0" w:color="auto"/>
        <w:left w:val="none" w:sz="0" w:space="0" w:color="auto"/>
        <w:bottom w:val="none" w:sz="0" w:space="0" w:color="auto"/>
        <w:right w:val="none" w:sz="0" w:space="0" w:color="auto"/>
      </w:divBdr>
    </w:div>
    <w:div w:id="2056655592">
      <w:bodyDiv w:val="1"/>
      <w:marLeft w:val="0"/>
      <w:marRight w:val="0"/>
      <w:marTop w:val="0"/>
      <w:marBottom w:val="0"/>
      <w:divBdr>
        <w:top w:val="none" w:sz="0" w:space="0" w:color="auto"/>
        <w:left w:val="none" w:sz="0" w:space="0" w:color="auto"/>
        <w:bottom w:val="none" w:sz="0" w:space="0" w:color="auto"/>
        <w:right w:val="none" w:sz="0" w:space="0" w:color="auto"/>
      </w:divBdr>
    </w:div>
    <w:div w:id="2078817624">
      <w:bodyDiv w:val="1"/>
      <w:marLeft w:val="0"/>
      <w:marRight w:val="0"/>
      <w:marTop w:val="0"/>
      <w:marBottom w:val="0"/>
      <w:divBdr>
        <w:top w:val="none" w:sz="0" w:space="0" w:color="auto"/>
        <w:left w:val="none" w:sz="0" w:space="0" w:color="auto"/>
        <w:bottom w:val="none" w:sz="0" w:space="0" w:color="auto"/>
        <w:right w:val="none" w:sz="0" w:space="0" w:color="auto"/>
      </w:divBdr>
    </w:div>
    <w:div w:id="21419225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document.xml.rels><?xml version="1.0" encoding="UTF-8" standalone="yes"?>
<Relationships xmlns="http://schemas.openxmlformats.org/package/2006/relationships"><Relationship Id="rId117" Type="http://schemas.openxmlformats.org/officeDocument/2006/relationships/image" Target="media/image44.png"/><Relationship Id="rId21" Type="http://schemas.openxmlformats.org/officeDocument/2006/relationships/image" Target="media/image10.emf"/><Relationship Id="rId42" Type="http://schemas.openxmlformats.org/officeDocument/2006/relationships/image" Target="media/image31.emf"/><Relationship Id="rId63" Type="http://schemas.openxmlformats.org/officeDocument/2006/relationships/header" Target="header3.xml"/><Relationship Id="rId84" Type="http://schemas.openxmlformats.org/officeDocument/2006/relationships/hyperlink" Target="mailto:info@multaqa.org" TargetMode="External"/><Relationship Id="rId138" Type="http://schemas.openxmlformats.org/officeDocument/2006/relationships/image" Target="media/image63.png"/><Relationship Id="rId159" Type="http://schemas.openxmlformats.org/officeDocument/2006/relationships/image" Target="media/image67.wmf"/><Relationship Id="rId170" Type="http://schemas.openxmlformats.org/officeDocument/2006/relationships/image" Target="media/image78.wmf"/><Relationship Id="rId191" Type="http://schemas.openxmlformats.org/officeDocument/2006/relationships/image" Target="media/image99.wmf"/><Relationship Id="rId205" Type="http://schemas.openxmlformats.org/officeDocument/2006/relationships/image" Target="media/image112.wmf"/><Relationship Id="rId107" Type="http://schemas.openxmlformats.org/officeDocument/2006/relationships/image" Target="media/image39.png"/><Relationship Id="rId11" Type="http://schemas.openxmlformats.org/officeDocument/2006/relationships/header" Target="header1.xml"/><Relationship Id="rId32" Type="http://schemas.openxmlformats.org/officeDocument/2006/relationships/image" Target="media/image21.emf"/><Relationship Id="rId53" Type="http://schemas.openxmlformats.org/officeDocument/2006/relationships/hyperlink" Target="http://eeas.europa.eu/delegations/westbank/index_en.htm" TargetMode="External"/><Relationship Id="rId74" Type="http://schemas.openxmlformats.org/officeDocument/2006/relationships/hyperlink" Target="mailto:maanc@palnet.com" TargetMode="External"/><Relationship Id="rId128" Type="http://schemas.openxmlformats.org/officeDocument/2006/relationships/image" Target="media/image55.png"/><Relationship Id="rId149" Type="http://schemas.openxmlformats.org/officeDocument/2006/relationships/footer" Target="footer15.xml"/><Relationship Id="rId5" Type="http://schemas.openxmlformats.org/officeDocument/2006/relationships/webSettings" Target="webSettings.xml"/><Relationship Id="rId90" Type="http://schemas.openxmlformats.org/officeDocument/2006/relationships/hyperlink" Target="mailto:info@jcser.org" TargetMode="External"/><Relationship Id="rId95" Type="http://schemas.openxmlformats.org/officeDocument/2006/relationships/hyperlink" Target="mailto:info@civiccoalition-jerusalem.org" TargetMode="External"/><Relationship Id="rId160" Type="http://schemas.openxmlformats.org/officeDocument/2006/relationships/image" Target="media/image68.wmf"/><Relationship Id="rId165" Type="http://schemas.openxmlformats.org/officeDocument/2006/relationships/image" Target="media/image73.wmf"/><Relationship Id="rId181" Type="http://schemas.openxmlformats.org/officeDocument/2006/relationships/image" Target="media/image89.wmf"/><Relationship Id="rId186" Type="http://schemas.openxmlformats.org/officeDocument/2006/relationships/image" Target="media/image94.wmf"/><Relationship Id="rId216" Type="http://schemas.openxmlformats.org/officeDocument/2006/relationships/footer" Target="footer23.xml"/><Relationship Id="rId211" Type="http://schemas.openxmlformats.org/officeDocument/2006/relationships/footer" Target="footer20.xml"/><Relationship Id="rId22" Type="http://schemas.openxmlformats.org/officeDocument/2006/relationships/image" Target="media/image11.emf"/><Relationship Id="rId27" Type="http://schemas.openxmlformats.org/officeDocument/2006/relationships/image" Target="media/image16.emf"/><Relationship Id="rId43" Type="http://schemas.openxmlformats.org/officeDocument/2006/relationships/image" Target="media/image32.emf"/><Relationship Id="rId48" Type="http://schemas.openxmlformats.org/officeDocument/2006/relationships/hyperlink" Target="http://www.amnesty.org" TargetMode="External"/><Relationship Id="rId64" Type="http://schemas.openxmlformats.org/officeDocument/2006/relationships/footer" Target="footer4.xml"/><Relationship Id="rId69" Type="http://schemas.openxmlformats.org/officeDocument/2006/relationships/hyperlink" Target="http://www.bisan.org/" TargetMode="External"/><Relationship Id="rId113" Type="http://schemas.openxmlformats.org/officeDocument/2006/relationships/image" Target="media/image42.png"/><Relationship Id="rId118" Type="http://schemas.openxmlformats.org/officeDocument/2006/relationships/image" Target="media/image45.emf"/><Relationship Id="rId134" Type="http://schemas.openxmlformats.org/officeDocument/2006/relationships/chart" Target="charts/chart4.xml"/><Relationship Id="rId139" Type="http://schemas.openxmlformats.org/officeDocument/2006/relationships/image" Target="media/image64.png"/><Relationship Id="rId80" Type="http://schemas.openxmlformats.org/officeDocument/2006/relationships/hyperlink" Target="mailto:rchrs@rchrs.org" TargetMode="External"/><Relationship Id="rId85" Type="http://schemas.openxmlformats.org/officeDocument/2006/relationships/hyperlink" Target="mailto:info@dalia.ps" TargetMode="External"/><Relationship Id="rId150" Type="http://schemas.openxmlformats.org/officeDocument/2006/relationships/image" Target="media/image66.wmf"/><Relationship Id="rId155" Type="http://schemas.openxmlformats.org/officeDocument/2006/relationships/chart" Target="charts/chart13.xml"/><Relationship Id="rId171" Type="http://schemas.openxmlformats.org/officeDocument/2006/relationships/image" Target="media/image79.wmf"/><Relationship Id="rId176" Type="http://schemas.openxmlformats.org/officeDocument/2006/relationships/image" Target="media/image84.wmf"/><Relationship Id="rId192" Type="http://schemas.openxmlformats.org/officeDocument/2006/relationships/image" Target="media/image100.wmf"/><Relationship Id="rId197" Type="http://schemas.openxmlformats.org/officeDocument/2006/relationships/image" Target="media/image104.wmf"/><Relationship Id="rId206" Type="http://schemas.openxmlformats.org/officeDocument/2006/relationships/image" Target="media/image113.wmf"/><Relationship Id="rId201" Type="http://schemas.openxmlformats.org/officeDocument/2006/relationships/image" Target="media/image108.wmf"/><Relationship Id="rId12" Type="http://schemas.openxmlformats.org/officeDocument/2006/relationships/header" Target="header2.xml"/><Relationship Id="rId17" Type="http://schemas.openxmlformats.org/officeDocument/2006/relationships/image" Target="media/image7.png"/><Relationship Id="rId33" Type="http://schemas.openxmlformats.org/officeDocument/2006/relationships/image" Target="media/image22.emf"/><Relationship Id="rId38" Type="http://schemas.openxmlformats.org/officeDocument/2006/relationships/image" Target="media/image27.emf"/><Relationship Id="rId59" Type="http://schemas.openxmlformats.org/officeDocument/2006/relationships/hyperlink" Target="http://www.strategicforesight.com/middleeast_water_security.htm" TargetMode="External"/><Relationship Id="rId103" Type="http://schemas.openxmlformats.org/officeDocument/2006/relationships/footer" Target="footer7.xml"/><Relationship Id="rId108" Type="http://schemas.openxmlformats.org/officeDocument/2006/relationships/footer" Target="footer10.xml"/><Relationship Id="rId124" Type="http://schemas.openxmlformats.org/officeDocument/2006/relationships/image" Target="media/image51.png"/><Relationship Id="rId129" Type="http://schemas.openxmlformats.org/officeDocument/2006/relationships/image" Target="media/image56.png"/><Relationship Id="rId54" Type="http://schemas.openxmlformats.org/officeDocument/2006/relationships/hyperlink" Target="http://ec.europa.eu/europeaid/where/neighbourhood/country-cooperation/occupied_palestinian_territory/occupied-palestinian-territory_en.htm" TargetMode="External"/><Relationship Id="rId70" Type="http://schemas.openxmlformats.org/officeDocument/2006/relationships/hyperlink" Target="mailto:ashrafokeh@yahoo.com" TargetMode="External"/><Relationship Id="rId75" Type="http://schemas.openxmlformats.org/officeDocument/2006/relationships/hyperlink" Target="http://www.maan-ctr.org/" TargetMode="External"/><Relationship Id="rId91" Type="http://schemas.openxmlformats.org/officeDocument/2006/relationships/hyperlink" Target="mailto:azzamco127@hotmail.com" TargetMode="External"/><Relationship Id="rId96" Type="http://schemas.openxmlformats.org/officeDocument/2006/relationships/hyperlink" Target="mailto:info@avh.org" TargetMode="External"/><Relationship Id="rId140" Type="http://schemas.openxmlformats.org/officeDocument/2006/relationships/image" Target="media/image65.png"/><Relationship Id="rId145" Type="http://schemas.openxmlformats.org/officeDocument/2006/relationships/chart" Target="charts/chart6.xml"/><Relationship Id="rId161" Type="http://schemas.openxmlformats.org/officeDocument/2006/relationships/image" Target="media/image69.wmf"/><Relationship Id="rId166" Type="http://schemas.openxmlformats.org/officeDocument/2006/relationships/image" Target="media/image74.wmf"/><Relationship Id="rId182" Type="http://schemas.openxmlformats.org/officeDocument/2006/relationships/image" Target="media/image90.wmf"/><Relationship Id="rId187" Type="http://schemas.openxmlformats.org/officeDocument/2006/relationships/image" Target="media/image95.wmf"/><Relationship Id="rId217"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15.emf"/><Relationship Id="rId23" Type="http://schemas.openxmlformats.org/officeDocument/2006/relationships/image" Target="media/image12.emf"/><Relationship Id="rId28" Type="http://schemas.openxmlformats.org/officeDocument/2006/relationships/image" Target="media/image17.emf"/><Relationship Id="rId49" Type="http://schemas.openxmlformats.org/officeDocument/2006/relationships/hyperlink" Target="http://www.thecepr.org" TargetMode="External"/><Relationship Id="rId114" Type="http://schemas.openxmlformats.org/officeDocument/2006/relationships/chart" Target="charts/chart1.xml"/><Relationship Id="rId119" Type="http://schemas.openxmlformats.org/officeDocument/2006/relationships/image" Target="media/image46.png"/><Relationship Id="rId44" Type="http://schemas.openxmlformats.org/officeDocument/2006/relationships/image" Target="media/image33.emf"/><Relationship Id="rId60" Type="http://schemas.openxmlformats.org/officeDocument/2006/relationships/hyperlink" Target="http://www.arij.org/" TargetMode="External"/><Relationship Id="rId65" Type="http://schemas.openxmlformats.org/officeDocument/2006/relationships/hyperlink" Target="mailto:neil.jebb@nrc.no" TargetMode="External"/><Relationship Id="rId81" Type="http://schemas.openxmlformats.org/officeDocument/2006/relationships/hyperlink" Target="mailto:hammouri@jwelfare.og" TargetMode="External"/><Relationship Id="rId86" Type="http://schemas.openxmlformats.org/officeDocument/2006/relationships/hyperlink" Target="mailto:info@grassrootjerusalem.org" TargetMode="External"/><Relationship Id="rId130" Type="http://schemas.openxmlformats.org/officeDocument/2006/relationships/image" Target="media/image57.png"/><Relationship Id="rId135" Type="http://schemas.openxmlformats.org/officeDocument/2006/relationships/image" Target="media/image60.png"/><Relationship Id="rId151" Type="http://schemas.openxmlformats.org/officeDocument/2006/relationships/footer" Target="footer16.xml"/><Relationship Id="rId156" Type="http://schemas.openxmlformats.org/officeDocument/2006/relationships/chart" Target="charts/chart14.xml"/><Relationship Id="rId177" Type="http://schemas.openxmlformats.org/officeDocument/2006/relationships/image" Target="media/image85.wmf"/><Relationship Id="rId198" Type="http://schemas.openxmlformats.org/officeDocument/2006/relationships/image" Target="media/image105.wmf"/><Relationship Id="rId172" Type="http://schemas.openxmlformats.org/officeDocument/2006/relationships/image" Target="media/image80.wmf"/><Relationship Id="rId193" Type="http://schemas.openxmlformats.org/officeDocument/2006/relationships/image" Target="media/image101.wmf"/><Relationship Id="rId202" Type="http://schemas.openxmlformats.org/officeDocument/2006/relationships/image" Target="media/image109.wmf"/><Relationship Id="rId207" Type="http://schemas.openxmlformats.org/officeDocument/2006/relationships/footer" Target="footer19.xml"/><Relationship Id="rId13" Type="http://schemas.openxmlformats.org/officeDocument/2006/relationships/footer" Target="footer1.xml"/><Relationship Id="rId18" Type="http://schemas.openxmlformats.org/officeDocument/2006/relationships/footer" Target="footer2.xml"/><Relationship Id="rId39" Type="http://schemas.openxmlformats.org/officeDocument/2006/relationships/image" Target="media/image28.emf"/><Relationship Id="rId109" Type="http://schemas.openxmlformats.org/officeDocument/2006/relationships/image" Target="media/image40.png"/><Relationship Id="rId34" Type="http://schemas.openxmlformats.org/officeDocument/2006/relationships/image" Target="media/image23.emf"/><Relationship Id="rId50" Type="http://schemas.openxmlformats.org/officeDocument/2006/relationships/hyperlink" Target="http://www.cmwu.ps/en/index.php" TargetMode="External"/><Relationship Id="rId55" Type="http://schemas.openxmlformats.org/officeDocument/2006/relationships/hyperlink" Target="http://www.enpi-info.eu/indexmed.php" TargetMode="External"/><Relationship Id="rId76" Type="http://schemas.openxmlformats.org/officeDocument/2006/relationships/hyperlink" Target="http://www.pal-arc.org/" TargetMode="External"/><Relationship Id="rId97" Type="http://schemas.openxmlformats.org/officeDocument/2006/relationships/hyperlink" Target="mailto:almaqdision@bezeqint.net" TargetMode="External"/><Relationship Id="rId104" Type="http://schemas.openxmlformats.org/officeDocument/2006/relationships/footer" Target="footer8.xml"/><Relationship Id="rId120" Type="http://schemas.openxmlformats.org/officeDocument/2006/relationships/image" Target="media/image47.png"/><Relationship Id="rId125" Type="http://schemas.openxmlformats.org/officeDocument/2006/relationships/image" Target="media/image52.png"/><Relationship Id="rId141" Type="http://schemas.openxmlformats.org/officeDocument/2006/relationships/footer" Target="footer13.xml"/><Relationship Id="rId146" Type="http://schemas.openxmlformats.org/officeDocument/2006/relationships/chart" Target="charts/chart7.xml"/><Relationship Id="rId167" Type="http://schemas.openxmlformats.org/officeDocument/2006/relationships/image" Target="media/image75.wmf"/><Relationship Id="rId188" Type="http://schemas.openxmlformats.org/officeDocument/2006/relationships/image" Target="media/image96.wmf"/><Relationship Id="rId7" Type="http://schemas.openxmlformats.org/officeDocument/2006/relationships/endnotes" Target="endnotes.xml"/><Relationship Id="rId71" Type="http://schemas.openxmlformats.org/officeDocument/2006/relationships/hyperlink" Target="http://www.pngo.net/" TargetMode="External"/><Relationship Id="rId92" Type="http://schemas.openxmlformats.org/officeDocument/2006/relationships/hyperlink" Target="mailto:passia@passia.org" TargetMode="External"/><Relationship Id="rId162" Type="http://schemas.openxmlformats.org/officeDocument/2006/relationships/image" Target="media/image70.wmf"/><Relationship Id="rId183" Type="http://schemas.openxmlformats.org/officeDocument/2006/relationships/image" Target="media/image91.wmf"/><Relationship Id="rId213" Type="http://schemas.openxmlformats.org/officeDocument/2006/relationships/footer" Target="footer21.xml"/><Relationship Id="rId218"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image" Target="media/image18.emf"/><Relationship Id="rId24" Type="http://schemas.openxmlformats.org/officeDocument/2006/relationships/image" Target="media/image13.emf"/><Relationship Id="rId40" Type="http://schemas.openxmlformats.org/officeDocument/2006/relationships/image" Target="media/image29.emf"/><Relationship Id="rId45" Type="http://schemas.openxmlformats.org/officeDocument/2006/relationships/image" Target="media/image34.emf"/><Relationship Id="rId66" Type="http://schemas.openxmlformats.org/officeDocument/2006/relationships/hyperlink" Target="mailto:THolmes@oxfam.org.uk" TargetMode="External"/><Relationship Id="rId87" Type="http://schemas.openxmlformats.org/officeDocument/2006/relationships/hyperlink" Target="mailto:abdalqaderhusseini@gmail.com" TargetMode="External"/><Relationship Id="rId110" Type="http://schemas.openxmlformats.org/officeDocument/2006/relationships/image" Target="media/image41.emf"/><Relationship Id="rId115" Type="http://schemas.openxmlformats.org/officeDocument/2006/relationships/chart" Target="charts/chart2.xml"/><Relationship Id="rId131" Type="http://schemas.openxmlformats.org/officeDocument/2006/relationships/image" Target="media/image58.png"/><Relationship Id="rId136" Type="http://schemas.openxmlformats.org/officeDocument/2006/relationships/image" Target="media/image61.png"/><Relationship Id="rId157" Type="http://schemas.openxmlformats.org/officeDocument/2006/relationships/chart" Target="charts/chart15.xml"/><Relationship Id="rId178" Type="http://schemas.openxmlformats.org/officeDocument/2006/relationships/image" Target="media/image86.wmf"/><Relationship Id="rId61" Type="http://schemas.openxmlformats.org/officeDocument/2006/relationships/hyperlink" Target="http://www.unrwa.org/" TargetMode="External"/><Relationship Id="rId82" Type="http://schemas.openxmlformats.org/officeDocument/2006/relationships/hyperlink" Target="mailto:info@al-maqdese.org" TargetMode="External"/><Relationship Id="rId152" Type="http://schemas.openxmlformats.org/officeDocument/2006/relationships/chart" Target="charts/chart10.xml"/><Relationship Id="rId173" Type="http://schemas.openxmlformats.org/officeDocument/2006/relationships/image" Target="media/image81.wmf"/><Relationship Id="rId194" Type="http://schemas.openxmlformats.org/officeDocument/2006/relationships/image" Target="media/image102.wmf"/><Relationship Id="rId199" Type="http://schemas.openxmlformats.org/officeDocument/2006/relationships/image" Target="media/image106.wmf"/><Relationship Id="rId203" Type="http://schemas.openxmlformats.org/officeDocument/2006/relationships/image" Target="media/image110.wmf"/><Relationship Id="rId208" Type="http://schemas.openxmlformats.org/officeDocument/2006/relationships/image" Target="media/image114.wmf"/><Relationship Id="rId19" Type="http://schemas.openxmlformats.org/officeDocument/2006/relationships/image" Target="media/image8.emf"/><Relationship Id="rId14" Type="http://schemas.openxmlformats.org/officeDocument/2006/relationships/image" Target="media/image4.emf"/><Relationship Id="rId30" Type="http://schemas.openxmlformats.org/officeDocument/2006/relationships/image" Target="media/image19.emf"/><Relationship Id="rId35" Type="http://schemas.openxmlformats.org/officeDocument/2006/relationships/image" Target="media/image24.emf"/><Relationship Id="rId56" Type="http://schemas.openxmlformats.org/officeDocument/2006/relationships/hyperlink" Target="http://ec.europa.eu/europeaid/how/finance/dci/food_en.htm" TargetMode="External"/><Relationship Id="rId77" Type="http://schemas.openxmlformats.org/officeDocument/2006/relationships/hyperlink" Target="mailto:asala@palnet.com" TargetMode="External"/><Relationship Id="rId100" Type="http://schemas.openxmlformats.org/officeDocument/2006/relationships/image" Target="media/image36.emf"/><Relationship Id="rId105" Type="http://schemas.openxmlformats.org/officeDocument/2006/relationships/image" Target="media/image38.png"/><Relationship Id="rId126" Type="http://schemas.openxmlformats.org/officeDocument/2006/relationships/image" Target="media/image53.png"/><Relationship Id="rId147" Type="http://schemas.openxmlformats.org/officeDocument/2006/relationships/chart" Target="charts/chart8.xml"/><Relationship Id="rId168" Type="http://schemas.openxmlformats.org/officeDocument/2006/relationships/image" Target="media/image76.wmf"/><Relationship Id="rId8" Type="http://schemas.openxmlformats.org/officeDocument/2006/relationships/image" Target="media/image1.png"/><Relationship Id="rId51" Type="http://schemas.openxmlformats.org/officeDocument/2006/relationships/hyperlink" Target="http://ec.europa.eu/echo/aid/stories/middle_east23_en.htm" TargetMode="External"/><Relationship Id="rId72" Type="http://schemas.openxmlformats.org/officeDocument/2006/relationships/hyperlink" Target="mailto:LRC@palnet.com" TargetMode="External"/><Relationship Id="rId93" Type="http://schemas.openxmlformats.org/officeDocument/2006/relationships/hyperlink" Target="mailto:info@palvision.ps" TargetMode="External"/><Relationship Id="rId98" Type="http://schemas.openxmlformats.org/officeDocument/2006/relationships/hyperlink" Target="mailto:wclac@palnet.com" TargetMode="External"/><Relationship Id="rId121" Type="http://schemas.openxmlformats.org/officeDocument/2006/relationships/image" Target="media/image48.png"/><Relationship Id="rId142" Type="http://schemas.openxmlformats.org/officeDocument/2006/relationships/footer" Target="footer14.xml"/><Relationship Id="rId163" Type="http://schemas.openxmlformats.org/officeDocument/2006/relationships/image" Target="media/image71.wmf"/><Relationship Id="rId184" Type="http://schemas.openxmlformats.org/officeDocument/2006/relationships/image" Target="media/image92.wmf"/><Relationship Id="rId189" Type="http://schemas.openxmlformats.org/officeDocument/2006/relationships/image" Target="media/image97.wmf"/><Relationship Id="rId3" Type="http://schemas.openxmlformats.org/officeDocument/2006/relationships/styles" Target="styles.xml"/><Relationship Id="rId214" Type="http://schemas.openxmlformats.org/officeDocument/2006/relationships/image" Target="media/image116.emf"/><Relationship Id="rId25" Type="http://schemas.openxmlformats.org/officeDocument/2006/relationships/image" Target="media/image14.emf"/><Relationship Id="rId46" Type="http://schemas.openxmlformats.org/officeDocument/2006/relationships/image" Target="media/image35.emf"/><Relationship Id="rId67" Type="http://schemas.openxmlformats.org/officeDocument/2006/relationships/hyperlink" Target="http://www.pngo.net/" TargetMode="External"/><Relationship Id="rId116" Type="http://schemas.openxmlformats.org/officeDocument/2006/relationships/image" Target="media/image43.emf"/><Relationship Id="rId137" Type="http://schemas.openxmlformats.org/officeDocument/2006/relationships/image" Target="media/image62.png"/><Relationship Id="rId158" Type="http://schemas.openxmlformats.org/officeDocument/2006/relationships/footer" Target="footer17.xml"/><Relationship Id="rId20" Type="http://schemas.openxmlformats.org/officeDocument/2006/relationships/image" Target="media/image9.emf"/><Relationship Id="rId41" Type="http://schemas.openxmlformats.org/officeDocument/2006/relationships/image" Target="media/image30.emf"/><Relationship Id="rId62" Type="http://schemas.openxmlformats.org/officeDocument/2006/relationships/hyperlink" Target="http://www.unicef.org/statistics/index_24302.html" TargetMode="External"/><Relationship Id="rId83" Type="http://schemas.openxmlformats.org/officeDocument/2006/relationships/hyperlink" Target="mailto:info@alnayzak.org" TargetMode="External"/><Relationship Id="rId88" Type="http://schemas.openxmlformats.org/officeDocument/2006/relationships/hyperlink" Target="mailto:asaleem.ipcc@gmail.com" TargetMode="External"/><Relationship Id="rId111" Type="http://schemas.openxmlformats.org/officeDocument/2006/relationships/footer" Target="footer11.xml"/><Relationship Id="rId132" Type="http://schemas.openxmlformats.org/officeDocument/2006/relationships/chart" Target="charts/chart3.xml"/><Relationship Id="rId153" Type="http://schemas.openxmlformats.org/officeDocument/2006/relationships/chart" Target="charts/chart11.xml"/><Relationship Id="rId174" Type="http://schemas.openxmlformats.org/officeDocument/2006/relationships/image" Target="media/image82.wmf"/><Relationship Id="rId179" Type="http://schemas.openxmlformats.org/officeDocument/2006/relationships/image" Target="media/image87.wmf"/><Relationship Id="rId195" Type="http://schemas.openxmlformats.org/officeDocument/2006/relationships/image" Target="media/image103.wmf"/><Relationship Id="rId209" Type="http://schemas.openxmlformats.org/officeDocument/2006/relationships/chart" Target="charts/chart16.xml"/><Relationship Id="rId190" Type="http://schemas.openxmlformats.org/officeDocument/2006/relationships/image" Target="media/image98.wmf"/><Relationship Id="rId204" Type="http://schemas.openxmlformats.org/officeDocument/2006/relationships/image" Target="media/image111.wmf"/><Relationship Id="rId15" Type="http://schemas.openxmlformats.org/officeDocument/2006/relationships/image" Target="media/image5.emf"/><Relationship Id="rId36" Type="http://schemas.openxmlformats.org/officeDocument/2006/relationships/image" Target="media/image25.emf"/><Relationship Id="rId57" Type="http://schemas.openxmlformats.org/officeDocument/2006/relationships/hyperlink" Target="http://www.lacs.ps/DocumentsSearch.aspx" TargetMode="External"/><Relationship Id="rId106" Type="http://schemas.openxmlformats.org/officeDocument/2006/relationships/footer" Target="footer9.xml"/><Relationship Id="rId127" Type="http://schemas.openxmlformats.org/officeDocument/2006/relationships/image" Target="media/image54.png"/><Relationship Id="rId10" Type="http://schemas.openxmlformats.org/officeDocument/2006/relationships/image" Target="media/image3.png"/><Relationship Id="rId31" Type="http://schemas.openxmlformats.org/officeDocument/2006/relationships/image" Target="media/image20.emf"/><Relationship Id="rId52" Type="http://schemas.openxmlformats.org/officeDocument/2006/relationships/hyperlink" Target="http://ec.europa.eu/world/enp/documents_en.htm" TargetMode="External"/><Relationship Id="rId73" Type="http://schemas.openxmlformats.org/officeDocument/2006/relationships/hyperlink" Target="http://www.lrcj.org/" TargetMode="External"/><Relationship Id="rId78" Type="http://schemas.openxmlformats.org/officeDocument/2006/relationships/hyperlink" Target="mailto:a.tamimi@phg.org" TargetMode="External"/><Relationship Id="rId94" Type="http://schemas.openxmlformats.org/officeDocument/2006/relationships/hyperlink" Target="mailto:sabeel@sabeel.org" TargetMode="External"/><Relationship Id="rId99" Type="http://schemas.openxmlformats.org/officeDocument/2006/relationships/footer" Target="footer5.xml"/><Relationship Id="rId101" Type="http://schemas.openxmlformats.org/officeDocument/2006/relationships/footer" Target="footer6.xml"/><Relationship Id="rId122" Type="http://schemas.openxmlformats.org/officeDocument/2006/relationships/image" Target="media/image49.png"/><Relationship Id="rId143" Type="http://schemas.openxmlformats.org/officeDocument/2006/relationships/hyperlink" Target="http://www.pcbs.gov.ps" TargetMode="External"/><Relationship Id="rId148" Type="http://schemas.openxmlformats.org/officeDocument/2006/relationships/chart" Target="charts/chart9.xml"/><Relationship Id="rId164" Type="http://schemas.openxmlformats.org/officeDocument/2006/relationships/image" Target="media/image72.wmf"/><Relationship Id="rId169" Type="http://schemas.openxmlformats.org/officeDocument/2006/relationships/image" Target="media/image77.wmf"/><Relationship Id="rId185" Type="http://schemas.openxmlformats.org/officeDocument/2006/relationships/image" Target="media/image93.wmf"/><Relationship Id="rId4" Type="http://schemas.openxmlformats.org/officeDocument/2006/relationships/settings" Target="settings.xml"/><Relationship Id="rId9" Type="http://schemas.openxmlformats.org/officeDocument/2006/relationships/image" Target="media/image2.jpeg"/><Relationship Id="rId180" Type="http://schemas.openxmlformats.org/officeDocument/2006/relationships/image" Target="media/image88.wmf"/><Relationship Id="rId210" Type="http://schemas.openxmlformats.org/officeDocument/2006/relationships/chart" Target="charts/chart17.xml"/><Relationship Id="rId215" Type="http://schemas.openxmlformats.org/officeDocument/2006/relationships/footer" Target="footer22.xml"/><Relationship Id="rId26" Type="http://schemas.openxmlformats.org/officeDocument/2006/relationships/image" Target="media/image15.emf"/><Relationship Id="rId47" Type="http://schemas.openxmlformats.org/officeDocument/2006/relationships/footer" Target="footer3.xml"/><Relationship Id="rId68" Type="http://schemas.openxmlformats.org/officeDocument/2006/relationships/hyperlink" Target="mailto:bisanrd@palnet.com" TargetMode="External"/><Relationship Id="rId89" Type="http://schemas.openxmlformats.org/officeDocument/2006/relationships/hyperlink" Target="mailto:info@jcser.org" TargetMode="External"/><Relationship Id="rId112" Type="http://schemas.openxmlformats.org/officeDocument/2006/relationships/footer" Target="footer12.xml"/><Relationship Id="rId133" Type="http://schemas.openxmlformats.org/officeDocument/2006/relationships/image" Target="media/image59.png"/><Relationship Id="rId154" Type="http://schemas.openxmlformats.org/officeDocument/2006/relationships/chart" Target="charts/chart12.xml"/><Relationship Id="rId175" Type="http://schemas.openxmlformats.org/officeDocument/2006/relationships/image" Target="media/image83.wmf"/><Relationship Id="rId196" Type="http://schemas.openxmlformats.org/officeDocument/2006/relationships/footer" Target="footer18.xml"/><Relationship Id="rId200" Type="http://schemas.openxmlformats.org/officeDocument/2006/relationships/image" Target="media/image107.wmf"/><Relationship Id="rId16" Type="http://schemas.openxmlformats.org/officeDocument/2006/relationships/image" Target="media/image6.emf"/><Relationship Id="rId37" Type="http://schemas.openxmlformats.org/officeDocument/2006/relationships/image" Target="media/image26.emf"/><Relationship Id="rId58" Type="http://schemas.openxmlformats.org/officeDocument/2006/relationships/hyperlink" Target="http://ec.europa.eu/europeaid/how/evaluation/evaluation_reports/index_en.htm" TargetMode="External"/><Relationship Id="rId79" Type="http://schemas.openxmlformats.org/officeDocument/2006/relationships/hyperlink" Target="mailto:info@phg.org" TargetMode="External"/><Relationship Id="rId102" Type="http://schemas.openxmlformats.org/officeDocument/2006/relationships/image" Target="media/image37.emf"/><Relationship Id="rId123" Type="http://schemas.openxmlformats.org/officeDocument/2006/relationships/image" Target="media/image50.png"/><Relationship Id="rId144" Type="http://schemas.openxmlformats.org/officeDocument/2006/relationships/chart" Target="charts/chart5.xml"/></Relationships>
</file>

<file path=word/_rels/footnotes.xml.rels><?xml version="1.0" encoding="UTF-8" standalone="yes"?>
<Relationships xmlns="http://schemas.openxmlformats.org/package/2006/relationships"><Relationship Id="rId1" Type="http://schemas.openxmlformats.org/officeDocument/2006/relationships/hyperlink" Target="http://en.wikipedia.org/wiki/European_Union_rapid_reaction_mechanism"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Utente\Desktop\DRN\01%20-%20Lavori\1%20-%20Palestine%20-%20Eva\4-Inception\Inception%20report\Inputs\Data%20Joe.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Documents%20and%20Settings\c.silvia\Documenti\2%20-%20LAVORI\1-%20474%20FWC%20EVA\1%20-%20474%20lot%204%20-%20Palestine%20-%20Eva\2-Inventory\14-Inventory%20updated%20feb%202014\Contracts%202008-2012%20oPT%20v14%20-%20feb%202014.xls"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Documents%20and%20Settings\c.silvia\Documenti\2%20-%20LAVORI\1-%20474%20FWC%20EVA\1%20-%20474%20lot%204%20-%20Palestine%20-%20Eva\2-Inventory\10%20-%20ECHO%20inventory\Palestine%20janvier%202008_d&#233;cembre%202012%20-%20classification%20updated%202014%20march%202014.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C:\Documents%20and%20Settings\c.silvia\Documenti\2%20-%20LAVORI\1-%20474%20FWC%20EVA\1%20-%20474%20lot%204%20-%20Palestine%20-%20Eva\2-Inventory\10%20-%20ECHO%20inventory\Palestine2008-2013%20-%20classification%20updated%202014%20march%202014%20v2.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Documents%20and%20Settings\c.silvia\Documenti\2%20-%20LAVORI\1-%20474%20FWC%20EVA\1%20-%20474%20lot%204%20-%20Palestine%20-%20Eva\2-Inventory\5%20-%20other%20donors\OECD-DAC%20other%20donors%20-%20PS%20-%202007-2011-v2%20updated%2017%2002%2014.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Documents%20and%20Settings\c.silvia\Documenti\2%20-%20LAVORI\1-%20474%20FWC%20EVA\1%20-%20474%20lot%204%20-%20Palestine%20-%20Eva\2-Inventory\5%20-%20other%20donors\OECD-DAC%20other%20donors%20-%20PS%20-%202007-2011-v2%20updated%2017%2002%2014.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C:\Documents%20and%20Settings\c.silvia\Documenti\2%20-%20LAVORI\1-%20474%20FWC%20EVA\1%20-%20474%20lot%204%20-%20Palestine%20-%20Eva\2-Inventory\5%20-%20other%20donors\OECD-DAC%20other%20donors%20-%20PS%20-%202007-2011%20sector%20allocation%20-%20updated%2017%2002%2014.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Documents%20and%20Settings\c.silvia\Documenti\2%20-%20LAVORI\1%20-%20474%20lot%204%20-%20Palestine%20-%20Eva\6-Desk%20Phase\ROM\ROM%20Contracts%202008-2012%20oPT%20ps%2024aug%20-%20scx.xls" TargetMode="External"/></Relationships>
</file>

<file path=word/charts/_rels/chart17.xml.rels><?xml version="1.0" encoding="UTF-8" standalone="yes"?>
<Relationships xmlns="http://schemas.openxmlformats.org/package/2006/relationships"><Relationship Id="rId1" Type="http://schemas.openxmlformats.org/officeDocument/2006/relationships/package" Target="../embeddings/Foglio_di_lavoro_di_Microsoft_Office_Excel3.xlsx"/></Relationships>
</file>

<file path=word/charts/_rels/chart2.xml.rels><?xml version="1.0" encoding="UTF-8" standalone="yes"?>
<Relationships xmlns="http://schemas.openxmlformats.org/package/2006/relationships"><Relationship Id="rId1" Type="http://schemas.openxmlformats.org/officeDocument/2006/relationships/oleObject" Target="file:///C:\Users\Utente\Desktop\DRN\01%20-%20Lavori\1%20-%20Palestine%20-%20Eva\5-Data\Trade%20Palestine.xlsx" TargetMode="External"/></Relationships>
</file>

<file path=word/charts/_rels/chart3.xml.rels><?xml version="1.0" encoding="UTF-8" standalone="yes"?>
<Relationships xmlns="http://schemas.openxmlformats.org/package/2006/relationships"><Relationship Id="rId1" Type="http://schemas.openxmlformats.org/officeDocument/2006/relationships/package" Target="../embeddings/Foglio_di_lavoro_di_Microsoft_Office_Excel1.xlsx"/></Relationships>
</file>

<file path=word/charts/_rels/chart4.xml.rels><?xml version="1.0" encoding="UTF-8" standalone="yes"?>
<Relationships xmlns="http://schemas.openxmlformats.org/package/2006/relationships"><Relationship Id="rId1" Type="http://schemas.openxmlformats.org/officeDocument/2006/relationships/package" Target="../embeddings/Foglio_di_lavoro_di_Microsoft_Office_Excel2.xlsx"/></Relationships>
</file>

<file path=word/charts/_rels/chart5.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Documents%20and%20Settings\c.silvia\Documenti\2%20-%20LAVORI\1-%20474%20FWC%20EVA\1%20-%20474%20lot%204%20-%20Palestine%20-%20Eva\2-Inventory\14-Inventory%20updated%20feb%202014\Inventory%20Decisions%20ALL%20v4.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Documents%20and%20Settings\c.silvia\Documenti\2%20-%20LAVORI\1-%20474%20FWC%20EVA\1%20-%20474%20lot%204%20-%20Palestine%20-%20Eva\2-Inventory\14-Inventory%20updated%20feb%202014\Inventory%20Decisions%20ALL%20v4.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Documents%20and%20Settings\c.silvia\Documenti\2%20-%20LAVORI\1-%20474%20FWC%20EVA\1%20-%20474%20lot%204%20-%20Palestine%20-%20Eva\2-Inventory\14-Inventory%20updated%20feb%202014\Contracts%202008-2012%20oPT%20v15%20-%20may%202014.xls"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Documents%20and%20Settings\c.silvia\Documenti\2%20-%20LAVORI\1-%20474%20FWC%20EVA\1%20-%20474%20lot%204%20-%20Palestine%20-%20Eva\2-Inventory\14-Inventory%20updated%20feb%202014\Contracts%202008-2012%20oPT%20v14%20-%20feb%202014.xls"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Documents%20and%20Settings\c.silvia\Documenti\2%20-%20LAVORI\1-%20474%20FWC%20EVA\1%20-%20474%20lot%204%20-%20Palestine%20-%20Eva\2-Inventory\14-Inventory%20updated%20feb%202014\Contracts%202008-2012%20oPT%20v14%20-%20feb%202014.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it-IT"/>
  <c:style val="3"/>
  <c:chart>
    <c:plotArea>
      <c:layout>
        <c:manualLayout>
          <c:layoutTarget val="inner"/>
          <c:xMode val="edge"/>
          <c:yMode val="edge"/>
          <c:x val="7.0960947051730533E-2"/>
          <c:y val="4.1699604450852086E-2"/>
          <c:w val="0.91199612767005078"/>
          <c:h val="0.91660079109829584"/>
        </c:manualLayout>
      </c:layout>
      <c:lineChart>
        <c:grouping val="standard"/>
        <c:ser>
          <c:idx val="0"/>
          <c:order val="0"/>
          <c:tx>
            <c:strRef>
              <c:f>'L:\Data\GDP -full time series\[graphs .xlsx]Sheet1'!$B$5</c:f>
              <c:strCache>
                <c:ptCount val="1"/>
                <c:pt idx="0">
                  <c:v>Palestinian Territories</c:v>
                </c:pt>
              </c:strCache>
            </c:strRef>
          </c:tx>
          <c:marker>
            <c:symbol val="none"/>
          </c:marker>
          <c:cat>
            <c:numRef>
              <c:f>'L:\Data\GDP -full time series\[graphs .xlsx]Sheet1'!$A$6:$A$19</c:f>
              <c:numCache>
                <c:formatCode>General</c:formatCode>
                <c:ptCount val="14"/>
                <c:pt idx="0">
                  <c:v>1999</c:v>
                </c:pt>
                <c:pt idx="1">
                  <c:v>2000</c:v>
                </c:pt>
                <c:pt idx="2">
                  <c:v>2001</c:v>
                </c:pt>
                <c:pt idx="3">
                  <c:v>2002</c:v>
                </c:pt>
                <c:pt idx="4">
                  <c:v>2003</c:v>
                </c:pt>
                <c:pt idx="5">
                  <c:v>2004</c:v>
                </c:pt>
                <c:pt idx="6">
                  <c:v>2005</c:v>
                </c:pt>
                <c:pt idx="7">
                  <c:v>2006</c:v>
                </c:pt>
                <c:pt idx="8">
                  <c:v>2007</c:v>
                </c:pt>
                <c:pt idx="9">
                  <c:v>2008</c:v>
                </c:pt>
                <c:pt idx="10">
                  <c:v>2009</c:v>
                </c:pt>
                <c:pt idx="11">
                  <c:v>2010</c:v>
                </c:pt>
                <c:pt idx="12">
                  <c:v>2011</c:v>
                </c:pt>
                <c:pt idx="13">
                  <c:v>2012</c:v>
                </c:pt>
              </c:numCache>
            </c:numRef>
          </c:cat>
          <c:val>
            <c:numRef>
              <c:f>'L:\Data\GDP -full time series\[graphs .xlsx]Sheet1'!$B$6:$B$19</c:f>
              <c:numCache>
                <c:formatCode>General</c:formatCode>
                <c:ptCount val="14"/>
                <c:pt idx="0">
                  <c:v>8</c:v>
                </c:pt>
                <c:pt idx="1">
                  <c:v>-8.6</c:v>
                </c:pt>
                <c:pt idx="2">
                  <c:v>-8.1</c:v>
                </c:pt>
                <c:pt idx="3">
                  <c:v>-13.4</c:v>
                </c:pt>
                <c:pt idx="4">
                  <c:v>15.1</c:v>
                </c:pt>
                <c:pt idx="5">
                  <c:v>10.5</c:v>
                </c:pt>
                <c:pt idx="6">
                  <c:v>8.6</c:v>
                </c:pt>
                <c:pt idx="7">
                  <c:v>-5.2</c:v>
                </c:pt>
                <c:pt idx="8">
                  <c:v>5.4</c:v>
                </c:pt>
                <c:pt idx="9">
                  <c:v>7.1</c:v>
                </c:pt>
                <c:pt idx="10">
                  <c:v>7.4</c:v>
                </c:pt>
                <c:pt idx="11">
                  <c:v>9.2607791117133935</c:v>
                </c:pt>
                <c:pt idx="12">
                  <c:v>12.173988994672033</c:v>
                </c:pt>
                <c:pt idx="13">
                  <c:v>5.8538636434422324</c:v>
                </c:pt>
              </c:numCache>
            </c:numRef>
          </c:val>
        </c:ser>
        <c:ser>
          <c:idx val="1"/>
          <c:order val="1"/>
          <c:tx>
            <c:strRef>
              <c:f>'L:\Data\GDP -full time series\[graphs .xlsx]Sheet1'!$C$5</c:f>
              <c:strCache>
                <c:ptCount val="1"/>
                <c:pt idx="0">
                  <c:v>WB</c:v>
                </c:pt>
              </c:strCache>
            </c:strRef>
          </c:tx>
          <c:spPr>
            <a:ln>
              <a:prstDash val="sysDash"/>
            </a:ln>
          </c:spPr>
          <c:marker>
            <c:symbol val="none"/>
          </c:marker>
          <c:cat>
            <c:numRef>
              <c:f>'L:\Data\GDP -full time series\[graphs .xlsx]Sheet1'!$A$6:$A$19</c:f>
              <c:numCache>
                <c:formatCode>General</c:formatCode>
                <c:ptCount val="14"/>
                <c:pt idx="0">
                  <c:v>1999</c:v>
                </c:pt>
                <c:pt idx="1">
                  <c:v>2000</c:v>
                </c:pt>
                <c:pt idx="2">
                  <c:v>2001</c:v>
                </c:pt>
                <c:pt idx="3">
                  <c:v>2002</c:v>
                </c:pt>
                <c:pt idx="4">
                  <c:v>2003</c:v>
                </c:pt>
                <c:pt idx="5">
                  <c:v>2004</c:v>
                </c:pt>
                <c:pt idx="6">
                  <c:v>2005</c:v>
                </c:pt>
                <c:pt idx="7">
                  <c:v>2006</c:v>
                </c:pt>
                <c:pt idx="8">
                  <c:v>2007</c:v>
                </c:pt>
                <c:pt idx="9">
                  <c:v>2008</c:v>
                </c:pt>
                <c:pt idx="10">
                  <c:v>2009</c:v>
                </c:pt>
                <c:pt idx="11">
                  <c:v>2010</c:v>
                </c:pt>
                <c:pt idx="12">
                  <c:v>2011</c:v>
                </c:pt>
                <c:pt idx="13">
                  <c:v>2012</c:v>
                </c:pt>
              </c:numCache>
            </c:numRef>
          </c:cat>
          <c:val>
            <c:numRef>
              <c:f>'L:\Data\GDP -full time series\[graphs .xlsx]Sheet1'!$C$6:$C$19</c:f>
              <c:numCache>
                <c:formatCode>General</c:formatCode>
                <c:ptCount val="14"/>
                <c:pt idx="0">
                  <c:v>11.8</c:v>
                </c:pt>
                <c:pt idx="1">
                  <c:v>-7</c:v>
                </c:pt>
                <c:pt idx="2">
                  <c:v>-10.7</c:v>
                </c:pt>
                <c:pt idx="3">
                  <c:v>-14.6</c:v>
                </c:pt>
                <c:pt idx="4">
                  <c:v>9.8000000000000007</c:v>
                </c:pt>
                <c:pt idx="5">
                  <c:v>14.5</c:v>
                </c:pt>
                <c:pt idx="6">
                  <c:v>2.5</c:v>
                </c:pt>
                <c:pt idx="7">
                  <c:v>3.5</c:v>
                </c:pt>
                <c:pt idx="8">
                  <c:v>11.4</c:v>
                </c:pt>
                <c:pt idx="9">
                  <c:v>12</c:v>
                </c:pt>
                <c:pt idx="10">
                  <c:v>7.1</c:v>
                </c:pt>
                <c:pt idx="11">
                  <c:v>8.4380339732636376</c:v>
                </c:pt>
                <c:pt idx="12">
                  <c:v>10.411549334940124</c:v>
                </c:pt>
                <c:pt idx="13">
                  <c:v>5.5785254055869054</c:v>
                </c:pt>
              </c:numCache>
            </c:numRef>
          </c:val>
        </c:ser>
        <c:ser>
          <c:idx val="2"/>
          <c:order val="2"/>
          <c:tx>
            <c:strRef>
              <c:f>'L:\Data\GDP -full time series\[graphs .xlsx]Sheet1'!$D$5</c:f>
              <c:strCache>
                <c:ptCount val="1"/>
                <c:pt idx="0">
                  <c:v>Gaza</c:v>
                </c:pt>
              </c:strCache>
            </c:strRef>
          </c:tx>
          <c:marker>
            <c:symbol val="none"/>
          </c:marker>
          <c:cat>
            <c:numRef>
              <c:f>'L:\Data\GDP -full time series\[graphs .xlsx]Sheet1'!$A$6:$A$19</c:f>
              <c:numCache>
                <c:formatCode>General</c:formatCode>
                <c:ptCount val="14"/>
                <c:pt idx="0">
                  <c:v>1999</c:v>
                </c:pt>
                <c:pt idx="1">
                  <c:v>2000</c:v>
                </c:pt>
                <c:pt idx="2">
                  <c:v>2001</c:v>
                </c:pt>
                <c:pt idx="3">
                  <c:v>2002</c:v>
                </c:pt>
                <c:pt idx="4">
                  <c:v>2003</c:v>
                </c:pt>
                <c:pt idx="5">
                  <c:v>2004</c:v>
                </c:pt>
                <c:pt idx="6">
                  <c:v>2005</c:v>
                </c:pt>
                <c:pt idx="7">
                  <c:v>2006</c:v>
                </c:pt>
                <c:pt idx="8">
                  <c:v>2007</c:v>
                </c:pt>
                <c:pt idx="9">
                  <c:v>2008</c:v>
                </c:pt>
                <c:pt idx="10">
                  <c:v>2009</c:v>
                </c:pt>
                <c:pt idx="11">
                  <c:v>2010</c:v>
                </c:pt>
                <c:pt idx="12">
                  <c:v>2011</c:v>
                </c:pt>
                <c:pt idx="13">
                  <c:v>2012</c:v>
                </c:pt>
              </c:numCache>
            </c:numRef>
          </c:cat>
          <c:val>
            <c:numRef>
              <c:f>'L:\Data\GDP -full time series\[graphs .xlsx]Sheet1'!$D$6:$D$19</c:f>
              <c:numCache>
                <c:formatCode>General</c:formatCode>
                <c:ptCount val="14"/>
                <c:pt idx="0">
                  <c:v>0.4</c:v>
                </c:pt>
                <c:pt idx="1">
                  <c:v>-12.1</c:v>
                </c:pt>
                <c:pt idx="2">
                  <c:v>-2</c:v>
                </c:pt>
                <c:pt idx="3">
                  <c:v>-10.7</c:v>
                </c:pt>
                <c:pt idx="4">
                  <c:v>26.3</c:v>
                </c:pt>
                <c:pt idx="5">
                  <c:v>3.1</c:v>
                </c:pt>
                <c:pt idx="6">
                  <c:v>21</c:v>
                </c:pt>
                <c:pt idx="7">
                  <c:v>-20.100000000000001</c:v>
                </c:pt>
                <c:pt idx="8">
                  <c:v>-8</c:v>
                </c:pt>
                <c:pt idx="9">
                  <c:v>-6.1</c:v>
                </c:pt>
                <c:pt idx="10">
                  <c:v>8.4</c:v>
                </c:pt>
                <c:pt idx="11">
                  <c:v>11.859966658728609</c:v>
                </c:pt>
                <c:pt idx="12">
                  <c:v>17.571499538712629</c:v>
                </c:pt>
                <c:pt idx="13">
                  <c:v>6.6457415343755617</c:v>
                </c:pt>
              </c:numCache>
            </c:numRef>
          </c:val>
        </c:ser>
        <c:marker val="1"/>
        <c:axId val="262653056"/>
        <c:axId val="262654976"/>
      </c:lineChart>
      <c:catAx>
        <c:axId val="262653056"/>
        <c:scaling>
          <c:orientation val="minMax"/>
        </c:scaling>
        <c:axPos val="b"/>
        <c:numFmt formatCode="General" sourceLinked="1"/>
        <c:tickLblPos val="nextTo"/>
        <c:txPr>
          <a:bodyPr/>
          <a:lstStyle/>
          <a:p>
            <a:pPr>
              <a:defRPr sz="800"/>
            </a:pPr>
            <a:endParaRPr lang="it-IT"/>
          </a:p>
        </c:txPr>
        <c:crossAx val="262654976"/>
        <c:crosses val="autoZero"/>
        <c:auto val="1"/>
        <c:lblAlgn val="ctr"/>
        <c:lblOffset val="100"/>
      </c:catAx>
      <c:valAx>
        <c:axId val="262654976"/>
        <c:scaling>
          <c:orientation val="minMax"/>
        </c:scaling>
        <c:axPos val="l"/>
        <c:majorGridlines/>
        <c:numFmt formatCode="General" sourceLinked="1"/>
        <c:tickLblPos val="nextTo"/>
        <c:txPr>
          <a:bodyPr/>
          <a:lstStyle/>
          <a:p>
            <a:pPr>
              <a:defRPr sz="800"/>
            </a:pPr>
            <a:endParaRPr lang="it-IT"/>
          </a:p>
        </c:txPr>
        <c:crossAx val="262653056"/>
        <c:crosses val="autoZero"/>
        <c:crossBetween val="between"/>
      </c:valAx>
      <c:spPr>
        <a:solidFill>
          <a:schemeClr val="bg1">
            <a:lumMod val="95000"/>
          </a:schemeClr>
        </a:solidFill>
      </c:spPr>
    </c:plotArea>
    <c:legend>
      <c:legendPos val="r"/>
      <c:layout>
        <c:manualLayout>
          <c:xMode val="edge"/>
          <c:yMode val="edge"/>
          <c:x val="0.14047845207601478"/>
          <c:y val="0.81773379245025568"/>
          <c:w val="0.7207788807622858"/>
          <c:h val="0.16318861184018668"/>
        </c:manualLayout>
      </c:layout>
      <c:txPr>
        <a:bodyPr/>
        <a:lstStyle/>
        <a:p>
          <a:pPr>
            <a:defRPr sz="800"/>
          </a:pPr>
          <a:endParaRPr lang="it-IT"/>
        </a:p>
      </c:txPr>
    </c:legend>
    <c:plotVisOnly val="1"/>
    <c:dispBlanksAs val="gap"/>
  </c:chart>
  <c:spPr>
    <a:ln>
      <a:noFill/>
    </a:ln>
  </c:spPr>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it-IT"/>
  <c:chart>
    <c:plotArea>
      <c:layout/>
      <c:barChart>
        <c:barDir val="bar"/>
        <c:grouping val="clustered"/>
        <c:ser>
          <c:idx val="0"/>
          <c:order val="0"/>
          <c:dLbls>
            <c:numFmt formatCode="#,##0" sourceLinked="0"/>
            <c:txPr>
              <a:bodyPr/>
              <a:lstStyle/>
              <a:p>
                <a:pPr>
                  <a:defRPr sz="800" b="1"/>
                </a:pPr>
                <a:endParaRPr lang="it-IT"/>
              </a:p>
            </c:txPr>
            <c:showVal val="1"/>
          </c:dLbls>
          <c:cat>
            <c:strRef>
              <c:f>'table old'!$A$74:$A$82</c:f>
              <c:strCache>
                <c:ptCount val="9"/>
                <c:pt idx="0">
                  <c:v>Palestine- Public Administration and Institutions</c:v>
                </c:pt>
                <c:pt idx="1">
                  <c:v>United Nations Family</c:v>
                </c:pt>
                <c:pt idx="2">
                  <c:v>Commercial organisation</c:v>
                </c:pt>
                <c:pt idx="3">
                  <c:v>Association and NGOs </c:v>
                </c:pt>
                <c:pt idx="4">
                  <c:v>Not available</c:v>
                </c:pt>
                <c:pt idx="5">
                  <c:v>EU Memeber state - public organisations</c:v>
                </c:pt>
                <c:pt idx="6">
                  <c:v>International Organisation except UN</c:v>
                </c:pt>
                <c:pt idx="7">
                  <c:v>University/Education</c:v>
                </c:pt>
                <c:pt idx="8">
                  <c:v>single expert</c:v>
                </c:pt>
              </c:strCache>
            </c:strRef>
          </c:cat>
          <c:val>
            <c:numRef>
              <c:f>'table old'!$C$74:$C$82</c:f>
              <c:numCache>
                <c:formatCode>#,##0</c:formatCode>
                <c:ptCount val="9"/>
                <c:pt idx="0">
                  <c:v>980007574.99999988</c:v>
                </c:pt>
                <c:pt idx="1">
                  <c:v>595055861.11000001</c:v>
                </c:pt>
                <c:pt idx="2">
                  <c:v>281732645.30999994</c:v>
                </c:pt>
                <c:pt idx="3">
                  <c:v>102315516.98000006</c:v>
                </c:pt>
                <c:pt idx="4">
                  <c:v>73129082</c:v>
                </c:pt>
                <c:pt idx="5">
                  <c:v>31297145.559999995</c:v>
                </c:pt>
                <c:pt idx="6">
                  <c:v>19543022.900000002</c:v>
                </c:pt>
                <c:pt idx="7">
                  <c:v>2725879.2600000002</c:v>
                </c:pt>
                <c:pt idx="8">
                  <c:v>1698012</c:v>
                </c:pt>
              </c:numCache>
            </c:numRef>
          </c:val>
        </c:ser>
        <c:axId val="211968384"/>
        <c:axId val="211969920"/>
      </c:barChart>
      <c:catAx>
        <c:axId val="211968384"/>
        <c:scaling>
          <c:orientation val="minMax"/>
        </c:scaling>
        <c:axPos val="l"/>
        <c:numFmt formatCode="General" sourceLinked="1"/>
        <c:tickLblPos val="nextTo"/>
        <c:txPr>
          <a:bodyPr rot="0" vert="horz"/>
          <a:lstStyle/>
          <a:p>
            <a:pPr>
              <a:defRPr sz="800" b="0" i="0" u="none" strike="noStrike" baseline="0">
                <a:solidFill>
                  <a:srgbClr val="000000"/>
                </a:solidFill>
                <a:latin typeface="Calibri"/>
                <a:ea typeface="Calibri"/>
                <a:cs typeface="Calibri"/>
              </a:defRPr>
            </a:pPr>
            <a:endParaRPr lang="it-IT"/>
          </a:p>
        </c:txPr>
        <c:crossAx val="211969920"/>
        <c:crosses val="autoZero"/>
        <c:auto val="1"/>
        <c:lblAlgn val="ctr"/>
        <c:lblOffset val="100"/>
      </c:catAx>
      <c:valAx>
        <c:axId val="211969920"/>
        <c:scaling>
          <c:orientation val="minMax"/>
        </c:scaling>
        <c:axPos val="b"/>
        <c:majorGridlines/>
        <c:numFmt formatCode="#,##0" sourceLinked="1"/>
        <c:tickLblPos val="nextTo"/>
        <c:txPr>
          <a:bodyPr rot="0" vert="horz"/>
          <a:lstStyle/>
          <a:p>
            <a:pPr>
              <a:defRPr sz="800" b="1" i="0" u="none" strike="noStrike" baseline="0">
                <a:solidFill>
                  <a:srgbClr val="000000"/>
                </a:solidFill>
                <a:latin typeface="Calibri"/>
                <a:ea typeface="Calibri"/>
                <a:cs typeface="Calibri"/>
              </a:defRPr>
            </a:pPr>
            <a:endParaRPr lang="it-IT"/>
          </a:p>
        </c:txPr>
        <c:crossAx val="211968384"/>
        <c:crosses val="autoZero"/>
        <c:crossBetween val="between"/>
        <c:dispUnits>
          <c:builtInUnit val="millions"/>
        </c:dispUnits>
      </c:valAx>
      <c:spPr>
        <a:solidFill>
          <a:schemeClr val="bg1">
            <a:lumMod val="95000"/>
          </a:schemeClr>
        </a:solidFill>
      </c:spPr>
    </c:plotArea>
    <c:plotVisOnly val="1"/>
    <c:dispBlanksAs val="gap"/>
  </c:chart>
  <c:spPr>
    <a:ln>
      <a:noFill/>
    </a:ln>
  </c:spPr>
  <c:txPr>
    <a:bodyPr/>
    <a:lstStyle/>
    <a:p>
      <a:pPr>
        <a:defRPr sz="1000" b="0" i="0" u="none" strike="noStrike" baseline="0">
          <a:solidFill>
            <a:srgbClr val="000000"/>
          </a:solidFill>
          <a:latin typeface="Calibri"/>
          <a:ea typeface="Calibri"/>
          <a:cs typeface="Calibri"/>
        </a:defRPr>
      </a:pPr>
      <a:endParaRPr lang="it-IT"/>
    </a:p>
  </c:txPr>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it-IT"/>
  <c:style val="11"/>
  <c:chart>
    <c:plotArea>
      <c:layout>
        <c:manualLayout>
          <c:layoutTarget val="inner"/>
          <c:xMode val="edge"/>
          <c:yMode val="edge"/>
          <c:x val="7.1988407699037624E-2"/>
          <c:y val="4.7599226945506896E-2"/>
          <c:w val="0.84542825896762908"/>
          <c:h val="0.74210429484095841"/>
        </c:manualLayout>
      </c:layout>
      <c:barChart>
        <c:barDir val="col"/>
        <c:grouping val="clustered"/>
        <c:ser>
          <c:idx val="0"/>
          <c:order val="0"/>
          <c:cat>
            <c:numRef>
              <c:f>tables!$A$29:$A$34</c:f>
              <c:numCache>
                <c:formatCode>General</c:formatCode>
                <c:ptCount val="6"/>
                <c:pt idx="0">
                  <c:v>2008</c:v>
                </c:pt>
                <c:pt idx="1">
                  <c:v>2009</c:v>
                </c:pt>
                <c:pt idx="2">
                  <c:v>2010</c:v>
                </c:pt>
                <c:pt idx="3">
                  <c:v>2011</c:v>
                </c:pt>
                <c:pt idx="4">
                  <c:v>2012</c:v>
                </c:pt>
                <c:pt idx="5">
                  <c:v>2013</c:v>
                </c:pt>
              </c:numCache>
            </c:numRef>
          </c:cat>
          <c:val>
            <c:numRef>
              <c:f>tables!$A$29:$A$34</c:f>
              <c:numCache>
                <c:formatCode>General</c:formatCode>
                <c:ptCount val="6"/>
                <c:pt idx="0">
                  <c:v>2008</c:v>
                </c:pt>
                <c:pt idx="1">
                  <c:v>2009</c:v>
                </c:pt>
                <c:pt idx="2">
                  <c:v>2010</c:v>
                </c:pt>
                <c:pt idx="3">
                  <c:v>2011</c:v>
                </c:pt>
                <c:pt idx="4">
                  <c:v>2012</c:v>
                </c:pt>
                <c:pt idx="5">
                  <c:v>2013</c:v>
                </c:pt>
              </c:numCache>
            </c:numRef>
          </c:val>
        </c:ser>
        <c:ser>
          <c:idx val="1"/>
          <c:order val="1"/>
          <c:tx>
            <c:v>Contracted amount </c:v>
          </c:tx>
          <c:dLbls>
            <c:txPr>
              <a:bodyPr/>
              <a:lstStyle/>
              <a:p>
                <a:pPr>
                  <a:defRPr b="1"/>
                </a:pPr>
                <a:endParaRPr lang="it-IT"/>
              </a:p>
            </c:txPr>
            <c:showVal val="1"/>
          </c:dLbls>
          <c:cat>
            <c:numRef>
              <c:f>tables!$A$29:$A$34</c:f>
              <c:numCache>
                <c:formatCode>General</c:formatCode>
                <c:ptCount val="6"/>
                <c:pt idx="0">
                  <c:v>2008</c:v>
                </c:pt>
                <c:pt idx="1">
                  <c:v>2009</c:v>
                </c:pt>
                <c:pt idx="2">
                  <c:v>2010</c:v>
                </c:pt>
                <c:pt idx="3">
                  <c:v>2011</c:v>
                </c:pt>
                <c:pt idx="4">
                  <c:v>2012</c:v>
                </c:pt>
                <c:pt idx="5">
                  <c:v>2013</c:v>
                </c:pt>
              </c:numCache>
            </c:numRef>
          </c:cat>
          <c:val>
            <c:numRef>
              <c:f>tables!$B$29:$B$34</c:f>
              <c:numCache>
                <c:formatCode>#,##0</c:formatCode>
                <c:ptCount val="6"/>
                <c:pt idx="0">
                  <c:v>71200409.590000004</c:v>
                </c:pt>
                <c:pt idx="1">
                  <c:v>66900000</c:v>
                </c:pt>
                <c:pt idx="2">
                  <c:v>50931462</c:v>
                </c:pt>
                <c:pt idx="3">
                  <c:v>46000000</c:v>
                </c:pt>
                <c:pt idx="4">
                  <c:v>41999070</c:v>
                </c:pt>
                <c:pt idx="5">
                  <c:v>33765000</c:v>
                </c:pt>
              </c:numCache>
            </c:numRef>
          </c:val>
        </c:ser>
        <c:axId val="211997056"/>
        <c:axId val="211998592"/>
      </c:barChart>
      <c:lineChart>
        <c:grouping val="standard"/>
        <c:ser>
          <c:idx val="2"/>
          <c:order val="2"/>
          <c:tx>
            <c:v>N. of intervetions</c:v>
          </c:tx>
          <c:dLbls>
            <c:txPr>
              <a:bodyPr/>
              <a:lstStyle/>
              <a:p>
                <a:pPr>
                  <a:defRPr b="1"/>
                </a:pPr>
                <a:endParaRPr lang="it-IT"/>
              </a:p>
            </c:txPr>
            <c:showVal val="1"/>
          </c:dLbls>
          <c:cat>
            <c:numRef>
              <c:f>tables!$A$29:$A$34</c:f>
              <c:numCache>
                <c:formatCode>General</c:formatCode>
                <c:ptCount val="6"/>
                <c:pt idx="0">
                  <c:v>2008</c:v>
                </c:pt>
                <c:pt idx="1">
                  <c:v>2009</c:v>
                </c:pt>
                <c:pt idx="2">
                  <c:v>2010</c:v>
                </c:pt>
                <c:pt idx="3">
                  <c:v>2011</c:v>
                </c:pt>
                <c:pt idx="4">
                  <c:v>2012</c:v>
                </c:pt>
                <c:pt idx="5">
                  <c:v>2013</c:v>
                </c:pt>
              </c:numCache>
            </c:numRef>
          </c:cat>
          <c:val>
            <c:numRef>
              <c:f>tables!$C$29:$C$34</c:f>
              <c:numCache>
                <c:formatCode>#,##0</c:formatCode>
                <c:ptCount val="6"/>
                <c:pt idx="0">
                  <c:v>47000000</c:v>
                </c:pt>
                <c:pt idx="1">
                  <c:v>56000000</c:v>
                </c:pt>
                <c:pt idx="2">
                  <c:v>41000000</c:v>
                </c:pt>
                <c:pt idx="3">
                  <c:v>28000000</c:v>
                </c:pt>
                <c:pt idx="4">
                  <c:v>24000000</c:v>
                </c:pt>
                <c:pt idx="5">
                  <c:v>19000000</c:v>
                </c:pt>
              </c:numCache>
            </c:numRef>
          </c:val>
        </c:ser>
        <c:marker val="1"/>
        <c:axId val="211997056"/>
        <c:axId val="211998592"/>
      </c:lineChart>
      <c:catAx>
        <c:axId val="211997056"/>
        <c:scaling>
          <c:orientation val="minMax"/>
        </c:scaling>
        <c:axPos val="b"/>
        <c:numFmt formatCode="General" sourceLinked="1"/>
        <c:tickLblPos val="nextTo"/>
        <c:crossAx val="211998592"/>
        <c:crosses val="autoZero"/>
        <c:auto val="1"/>
        <c:lblAlgn val="ctr"/>
        <c:lblOffset val="100"/>
      </c:catAx>
      <c:valAx>
        <c:axId val="211998592"/>
        <c:scaling>
          <c:orientation val="minMax"/>
        </c:scaling>
        <c:axPos val="l"/>
        <c:majorGridlines/>
        <c:minorGridlines/>
        <c:numFmt formatCode="#,##0" sourceLinked="0"/>
        <c:tickLblPos val="nextTo"/>
        <c:crossAx val="211997056"/>
        <c:crosses val="autoZero"/>
        <c:crossBetween val="between"/>
        <c:dispUnits>
          <c:builtInUnit val="millions"/>
        </c:dispUnits>
      </c:valAx>
      <c:spPr>
        <a:solidFill>
          <a:schemeClr val="bg1">
            <a:lumMod val="95000"/>
          </a:schemeClr>
        </a:solidFill>
      </c:spPr>
    </c:plotArea>
    <c:legend>
      <c:legendPos val="r"/>
      <c:legendEntry>
        <c:idx val="0"/>
        <c:delete val="1"/>
      </c:legendEntry>
      <c:layout>
        <c:manualLayout>
          <c:xMode val="edge"/>
          <c:yMode val="edge"/>
          <c:x val="9.7972222222222224E-2"/>
          <c:y val="0.8983581875416663"/>
          <c:w val="0.7825833333333333"/>
          <c:h val="8.6455848967433177E-2"/>
        </c:manualLayout>
      </c:layout>
    </c:legend>
    <c:plotVisOnly val="1"/>
    <c:dispBlanksAs val="gap"/>
  </c:chart>
  <c:spPr>
    <a:ln>
      <a:noFill/>
    </a:ln>
  </c:spPr>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it-IT"/>
  <c:style val="11"/>
  <c:chart>
    <c:autoTitleDeleted val="1"/>
    <c:plotArea>
      <c:layout/>
      <c:pieChart>
        <c:varyColors val="1"/>
        <c:ser>
          <c:idx val="0"/>
          <c:order val="0"/>
          <c:dLbls>
            <c:dLbl>
              <c:idx val="0"/>
              <c:spPr/>
              <c:txPr>
                <a:bodyPr/>
                <a:lstStyle/>
                <a:p>
                  <a:pPr>
                    <a:defRPr sz="800" b="1">
                      <a:solidFill>
                        <a:schemeClr val="bg1"/>
                      </a:solidFill>
                    </a:defRPr>
                  </a:pPr>
                  <a:endParaRPr lang="it-IT"/>
                </a:p>
              </c:txPr>
            </c:dLbl>
            <c:dLbl>
              <c:idx val="1"/>
              <c:spPr/>
              <c:txPr>
                <a:bodyPr/>
                <a:lstStyle/>
                <a:p>
                  <a:pPr>
                    <a:defRPr sz="800" b="1">
                      <a:solidFill>
                        <a:schemeClr val="bg1"/>
                      </a:solidFill>
                    </a:defRPr>
                  </a:pPr>
                  <a:endParaRPr lang="it-IT"/>
                </a:p>
              </c:txPr>
            </c:dLbl>
            <c:dLbl>
              <c:idx val="2"/>
              <c:tx>
                <c:rich>
                  <a:bodyPr/>
                  <a:lstStyle/>
                  <a:p>
                    <a:pPr>
                      <a:defRPr sz="800" b="1">
                        <a:solidFill>
                          <a:schemeClr val="bg1"/>
                        </a:solidFill>
                      </a:defRPr>
                    </a:pPr>
                    <a:r>
                      <a:rPr lang="en-US"/>
                      <a:t>Health
11%</a:t>
                    </a:r>
                  </a:p>
                </c:rich>
              </c:tx>
              <c:spPr/>
              <c:showCatName val="1"/>
              <c:showPercent val="1"/>
            </c:dLbl>
            <c:dLbl>
              <c:idx val="3"/>
              <c:spPr/>
              <c:txPr>
                <a:bodyPr/>
                <a:lstStyle/>
                <a:p>
                  <a:pPr>
                    <a:defRPr sz="800" b="1">
                      <a:solidFill>
                        <a:sysClr val="windowText" lastClr="000000"/>
                      </a:solidFill>
                    </a:defRPr>
                  </a:pPr>
                  <a:endParaRPr lang="it-IT"/>
                </a:p>
              </c:txPr>
            </c:dLbl>
            <c:dLbl>
              <c:idx val="4"/>
              <c:spPr/>
              <c:txPr>
                <a:bodyPr/>
                <a:lstStyle/>
                <a:p>
                  <a:pPr>
                    <a:defRPr sz="800" b="1"/>
                  </a:pPr>
                  <a:endParaRPr lang="it-IT"/>
                </a:p>
              </c:txPr>
            </c:dLbl>
            <c:dLbl>
              <c:idx val="5"/>
              <c:spPr/>
              <c:txPr>
                <a:bodyPr/>
                <a:lstStyle/>
                <a:p>
                  <a:pPr>
                    <a:defRPr sz="800" b="1"/>
                  </a:pPr>
                  <a:endParaRPr lang="it-IT"/>
                </a:p>
              </c:txPr>
            </c:dLbl>
            <c:dLbl>
              <c:idx val="6"/>
              <c:spPr/>
              <c:txPr>
                <a:bodyPr/>
                <a:lstStyle/>
                <a:p>
                  <a:pPr>
                    <a:defRPr sz="800" b="1"/>
                  </a:pPr>
                  <a:endParaRPr lang="it-IT"/>
                </a:p>
              </c:txPr>
            </c:dLbl>
            <c:txPr>
              <a:bodyPr/>
              <a:lstStyle/>
              <a:p>
                <a:pPr>
                  <a:defRPr sz="800"/>
                </a:pPr>
                <a:endParaRPr lang="it-IT"/>
              </a:p>
            </c:txPr>
            <c:showCatName val="1"/>
            <c:showPercent val="1"/>
            <c:showLeaderLines val="1"/>
          </c:dLbls>
          <c:cat>
            <c:strRef>
              <c:f>tables!$A$4:$A$9</c:f>
              <c:strCache>
                <c:ptCount val="6"/>
                <c:pt idx="0">
                  <c:v>social protection</c:v>
                </c:pt>
                <c:pt idx="1">
                  <c:v>Food</c:v>
                </c:pt>
                <c:pt idx="2">
                  <c:v>health</c:v>
                </c:pt>
                <c:pt idx="3">
                  <c:v>children</c:v>
                </c:pt>
                <c:pt idx="4">
                  <c:v>Water&amp;sanitaiton</c:v>
                </c:pt>
                <c:pt idx="5">
                  <c:v>technical  assistance</c:v>
                </c:pt>
              </c:strCache>
            </c:strRef>
          </c:cat>
          <c:val>
            <c:numRef>
              <c:f>tables!$B$4:$B$9</c:f>
              <c:numCache>
                <c:formatCode>#,##0</c:formatCode>
                <c:ptCount val="6"/>
                <c:pt idx="0">
                  <c:v>122186183.59</c:v>
                </c:pt>
                <c:pt idx="1">
                  <c:v>115084745</c:v>
                </c:pt>
                <c:pt idx="2">
                  <c:v>33823316</c:v>
                </c:pt>
                <c:pt idx="3">
                  <c:v>13868000</c:v>
                </c:pt>
                <c:pt idx="4">
                  <c:v>13744047</c:v>
                </c:pt>
                <c:pt idx="5">
                  <c:v>12089650</c:v>
                </c:pt>
              </c:numCache>
            </c:numRef>
          </c:val>
        </c:ser>
        <c:dLbls>
          <c:showCatName val="1"/>
          <c:showPercent val="1"/>
        </c:dLbls>
        <c:firstSliceAng val="0"/>
      </c:pieChart>
    </c:plotArea>
    <c:plotVisOnly val="1"/>
  </c:chart>
  <c:spPr>
    <a:solidFill>
      <a:schemeClr val="bg1">
        <a:lumMod val="95000"/>
      </a:schemeClr>
    </a:solidFill>
    <a:ln>
      <a:noFill/>
    </a:ln>
  </c:spPr>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it-IT"/>
  <c:chart>
    <c:plotArea>
      <c:layout/>
      <c:lineChart>
        <c:grouping val="standard"/>
        <c:ser>
          <c:idx val="0"/>
          <c:order val="0"/>
          <c:dLbls>
            <c:numFmt formatCode="#,##0" sourceLinked="0"/>
            <c:txPr>
              <a:bodyPr/>
              <a:lstStyle/>
              <a:p>
                <a:pPr>
                  <a:defRPr sz="800" b="1"/>
                </a:pPr>
                <a:endParaRPr lang="it-IT"/>
              </a:p>
            </c:txPr>
            <c:showVal val="1"/>
          </c:dLbls>
          <c:cat>
            <c:strRef>
              <c:f>'OECD.Stat export'!$C$2:$G$2</c:f>
              <c:strCache>
                <c:ptCount val="5"/>
                <c:pt idx="0">
                  <c:v>2008</c:v>
                </c:pt>
                <c:pt idx="1">
                  <c:v>2009</c:v>
                </c:pt>
                <c:pt idx="2">
                  <c:v>2010</c:v>
                </c:pt>
                <c:pt idx="3">
                  <c:v>2011</c:v>
                </c:pt>
                <c:pt idx="4">
                  <c:v>2012</c:v>
                </c:pt>
              </c:strCache>
            </c:strRef>
          </c:cat>
          <c:val>
            <c:numRef>
              <c:f>'OECD.Stat export'!$C$43:$G$43</c:f>
              <c:numCache>
                <c:formatCode>#,##0.00</c:formatCode>
                <c:ptCount val="5"/>
                <c:pt idx="0">
                  <c:v>1871.2125566429611</c:v>
                </c:pt>
                <c:pt idx="1">
                  <c:v>2239.8544384973702</c:v>
                </c:pt>
                <c:pt idx="2">
                  <c:v>1816.4315573664953</c:v>
                </c:pt>
                <c:pt idx="3">
                  <c:v>1588.2723662006908</c:v>
                </c:pt>
                <c:pt idx="4">
                  <c:v>1417.4472887673505</c:v>
                </c:pt>
              </c:numCache>
            </c:numRef>
          </c:val>
        </c:ser>
        <c:marker val="1"/>
        <c:axId val="258998272"/>
        <c:axId val="258999808"/>
      </c:lineChart>
      <c:catAx>
        <c:axId val="258998272"/>
        <c:scaling>
          <c:orientation val="minMax"/>
        </c:scaling>
        <c:axPos val="b"/>
        <c:numFmt formatCode="0" sourceLinked="0"/>
        <c:tickLblPos val="nextTo"/>
        <c:txPr>
          <a:bodyPr/>
          <a:lstStyle/>
          <a:p>
            <a:pPr>
              <a:defRPr sz="800" b="1"/>
            </a:pPr>
            <a:endParaRPr lang="it-IT"/>
          </a:p>
        </c:txPr>
        <c:crossAx val="258999808"/>
        <c:crosses val="autoZero"/>
        <c:auto val="1"/>
        <c:lblAlgn val="ctr"/>
        <c:lblOffset val="100"/>
      </c:catAx>
      <c:valAx>
        <c:axId val="258999808"/>
        <c:scaling>
          <c:orientation val="minMax"/>
        </c:scaling>
        <c:axPos val="l"/>
        <c:majorGridlines/>
        <c:numFmt formatCode="0" sourceLinked="0"/>
        <c:tickLblPos val="nextTo"/>
        <c:txPr>
          <a:bodyPr/>
          <a:lstStyle/>
          <a:p>
            <a:pPr>
              <a:defRPr sz="800"/>
            </a:pPr>
            <a:endParaRPr lang="it-IT"/>
          </a:p>
        </c:txPr>
        <c:crossAx val="258998272"/>
        <c:crosses val="autoZero"/>
        <c:crossBetween val="between"/>
      </c:valAx>
      <c:spPr>
        <a:solidFill>
          <a:schemeClr val="bg1">
            <a:lumMod val="95000"/>
          </a:schemeClr>
        </a:solidFill>
      </c:spPr>
    </c:plotArea>
    <c:plotVisOnly val="1"/>
  </c:chart>
  <c:spPr>
    <a:ln>
      <a:noFill/>
    </a:ln>
  </c:spPr>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it-IT"/>
  <c:style val="11"/>
  <c:chart>
    <c:autoTitleDeleted val="1"/>
    <c:plotArea>
      <c:layout>
        <c:manualLayout>
          <c:layoutTarget val="inner"/>
          <c:xMode val="edge"/>
          <c:yMode val="edge"/>
          <c:x val="0.24305555555555555"/>
          <c:y val="0.10006309901803526"/>
          <c:w val="0.57162457145171464"/>
          <c:h val="0.85527184172289761"/>
        </c:manualLayout>
      </c:layout>
      <c:pieChart>
        <c:varyColors val="1"/>
        <c:ser>
          <c:idx val="0"/>
          <c:order val="0"/>
          <c:dLbls>
            <c:dLbl>
              <c:idx val="5"/>
              <c:layout>
                <c:manualLayout>
                  <c:x val="0.19929043379857239"/>
                  <c:y val="1.1574739842792686E-3"/>
                </c:manualLayout>
              </c:layout>
              <c:spPr/>
              <c:txPr>
                <a:bodyPr/>
                <a:lstStyle/>
                <a:p>
                  <a:pPr>
                    <a:defRPr sz="800" b="1">
                      <a:solidFill>
                        <a:sysClr val="windowText" lastClr="000000"/>
                      </a:solidFill>
                    </a:defRPr>
                  </a:pPr>
                  <a:endParaRPr lang="it-IT"/>
                </a:p>
              </c:txPr>
              <c:showCatName val="1"/>
              <c:showPercent val="1"/>
            </c:dLbl>
            <c:txPr>
              <a:bodyPr/>
              <a:lstStyle/>
              <a:p>
                <a:pPr>
                  <a:defRPr sz="800" b="1">
                    <a:solidFill>
                      <a:schemeClr val="bg1"/>
                    </a:solidFill>
                  </a:defRPr>
                </a:pPr>
                <a:endParaRPr lang="it-IT"/>
              </a:p>
            </c:txPr>
            <c:showCatName val="1"/>
            <c:showPercent val="1"/>
            <c:showLeaderLines val="1"/>
          </c:dLbls>
          <c:cat>
            <c:strRef>
              <c:f>'OECD.Stat export'!$A$48:$A$53</c:f>
              <c:strCache>
                <c:ptCount val="6"/>
                <c:pt idx="0">
                  <c:v>EU member states</c:v>
                </c:pt>
                <c:pt idx="1">
                  <c:v>USA</c:v>
                </c:pt>
                <c:pt idx="2">
                  <c:v>EU Institutions</c:v>
                </c:pt>
                <c:pt idx="3">
                  <c:v>other states</c:v>
                </c:pt>
                <c:pt idx="4">
                  <c:v>UN</c:v>
                </c:pt>
                <c:pt idx="5">
                  <c:v>Other funds and Banks</c:v>
                </c:pt>
              </c:strCache>
            </c:strRef>
          </c:cat>
          <c:val>
            <c:numRef>
              <c:f>'OECD.Stat export'!$B$48:$B$53</c:f>
              <c:numCache>
                <c:formatCode>#,##0.00</c:formatCode>
                <c:ptCount val="6"/>
                <c:pt idx="0">
                  <c:v>2515.1440194707197</c:v>
                </c:pt>
                <c:pt idx="1">
                  <c:v>2337.9661925853579</c:v>
                </c:pt>
                <c:pt idx="2">
                  <c:v>1741.7896411389202</c:v>
                </c:pt>
                <c:pt idx="3">
                  <c:v>1145.8382475506899</c:v>
                </c:pt>
                <c:pt idx="4">
                  <c:v>1141.3039704447201</c:v>
                </c:pt>
                <c:pt idx="5">
                  <c:v>51.176136284470488</c:v>
                </c:pt>
              </c:numCache>
            </c:numRef>
          </c:val>
        </c:ser>
        <c:dLbls>
          <c:showCatName val="1"/>
          <c:showPercent val="1"/>
        </c:dLbls>
        <c:firstSliceAng val="0"/>
      </c:pieChart>
      <c:spPr>
        <a:solidFill>
          <a:schemeClr val="bg1">
            <a:lumMod val="95000"/>
          </a:schemeClr>
        </a:solidFill>
      </c:spPr>
    </c:plotArea>
    <c:plotVisOnly val="1"/>
  </c:chart>
  <c:spPr>
    <a:ln>
      <a:noFill/>
    </a:ln>
  </c:spPr>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it-IT"/>
  <c:chart>
    <c:plotArea>
      <c:layout/>
      <c:barChart>
        <c:barDir val="bar"/>
        <c:grouping val="clustered"/>
        <c:ser>
          <c:idx val="0"/>
          <c:order val="0"/>
          <c:dLbls>
            <c:numFmt formatCode="#,##0" sourceLinked="0"/>
            <c:txPr>
              <a:bodyPr/>
              <a:lstStyle/>
              <a:p>
                <a:pPr>
                  <a:defRPr sz="800" b="1"/>
                </a:pPr>
                <a:endParaRPr lang="it-IT"/>
              </a:p>
            </c:txPr>
            <c:showVal val="1"/>
          </c:dLbls>
          <c:cat>
            <c:strRef>
              <c:f>Foglio1!$A$28:$A$33</c:f>
              <c:strCache>
                <c:ptCount val="6"/>
                <c:pt idx="0">
                  <c:v>Social Infrastructure &amp; Services</c:v>
                </c:pt>
                <c:pt idx="1">
                  <c:v>Not allocable</c:v>
                </c:pt>
                <c:pt idx="2">
                  <c:v>Commodity Aid / General Prog. Ass., </c:v>
                </c:pt>
                <c:pt idx="3">
                  <c:v>Multi-Sector / Cross-Cutting</c:v>
                </c:pt>
                <c:pt idx="4">
                  <c:v>Production Sectors</c:v>
                </c:pt>
                <c:pt idx="5">
                  <c:v>Economic Infrastructure &amp; Services</c:v>
                </c:pt>
              </c:strCache>
            </c:strRef>
          </c:cat>
          <c:val>
            <c:numRef>
              <c:f>Foglio1!$B$28:$B$33</c:f>
              <c:numCache>
                <c:formatCode>#,##0.00</c:formatCode>
                <c:ptCount val="6"/>
                <c:pt idx="0">
                  <c:v>5528.5916676007009</c:v>
                </c:pt>
                <c:pt idx="1">
                  <c:v>1955.4189582803731</c:v>
                </c:pt>
                <c:pt idx="2">
                  <c:v>547.6955001195131</c:v>
                </c:pt>
                <c:pt idx="3">
                  <c:v>347.50205996612669</c:v>
                </c:pt>
                <c:pt idx="4">
                  <c:v>277.45240316520739</c:v>
                </c:pt>
                <c:pt idx="5">
                  <c:v>276.55761834297329</c:v>
                </c:pt>
              </c:numCache>
            </c:numRef>
          </c:val>
        </c:ser>
        <c:axId val="216816256"/>
        <c:axId val="216818048"/>
      </c:barChart>
      <c:catAx>
        <c:axId val="216816256"/>
        <c:scaling>
          <c:orientation val="minMax"/>
        </c:scaling>
        <c:axPos val="l"/>
        <c:tickLblPos val="nextTo"/>
        <c:txPr>
          <a:bodyPr/>
          <a:lstStyle/>
          <a:p>
            <a:pPr>
              <a:defRPr sz="800"/>
            </a:pPr>
            <a:endParaRPr lang="it-IT"/>
          </a:p>
        </c:txPr>
        <c:crossAx val="216818048"/>
        <c:crosses val="autoZero"/>
        <c:auto val="1"/>
        <c:lblAlgn val="ctr"/>
        <c:lblOffset val="100"/>
      </c:catAx>
      <c:valAx>
        <c:axId val="216818048"/>
        <c:scaling>
          <c:orientation val="minMax"/>
        </c:scaling>
        <c:axPos val="b"/>
        <c:majorGridlines/>
        <c:numFmt formatCode="0" sourceLinked="0"/>
        <c:tickLblPos val="nextTo"/>
        <c:txPr>
          <a:bodyPr/>
          <a:lstStyle/>
          <a:p>
            <a:pPr>
              <a:defRPr sz="800"/>
            </a:pPr>
            <a:endParaRPr lang="it-IT"/>
          </a:p>
        </c:txPr>
        <c:crossAx val="216816256"/>
        <c:crosses val="autoZero"/>
        <c:crossBetween val="between"/>
      </c:valAx>
      <c:spPr>
        <a:solidFill>
          <a:schemeClr val="bg1">
            <a:lumMod val="95000"/>
          </a:schemeClr>
        </a:solidFill>
      </c:spPr>
    </c:plotArea>
    <c:plotVisOnly val="1"/>
  </c:chart>
  <c:spPr>
    <a:ln>
      <a:noFill/>
    </a:ln>
  </c:spPr>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it-IT"/>
  <c:chart>
    <c:plotArea>
      <c:layout>
        <c:manualLayout>
          <c:layoutTarget val="inner"/>
          <c:xMode val="edge"/>
          <c:yMode val="edge"/>
          <c:x val="5.3238407699037614E-2"/>
          <c:y val="2.2604257801108252E-2"/>
          <c:w val="0.90231714785650718"/>
          <c:h val="0.8502697579469225"/>
        </c:manualLayout>
      </c:layout>
      <c:barChart>
        <c:barDir val="col"/>
        <c:grouping val="clustered"/>
        <c:ser>
          <c:idx val="0"/>
          <c:order val="0"/>
          <c:dLbls>
            <c:txPr>
              <a:bodyPr/>
              <a:lstStyle/>
              <a:p>
                <a:pPr>
                  <a:defRPr sz="800" b="1"/>
                </a:pPr>
                <a:endParaRPr lang="it-IT"/>
              </a:p>
            </c:txPr>
            <c:showVal val="1"/>
          </c:dLbls>
          <c:cat>
            <c:strRef>
              <c:f>tables!$C$12:$G$12</c:f>
              <c:strCache>
                <c:ptCount val="5"/>
                <c:pt idx="0">
                  <c:v>Relevance </c:v>
                </c:pt>
                <c:pt idx="1">
                  <c:v>Efficiency </c:v>
                </c:pt>
                <c:pt idx="2">
                  <c:v>Effectiveness </c:v>
                </c:pt>
                <c:pt idx="3">
                  <c:v>Impact </c:v>
                </c:pt>
                <c:pt idx="4">
                  <c:v>Sustainability</c:v>
                </c:pt>
              </c:strCache>
            </c:strRef>
          </c:cat>
          <c:val>
            <c:numRef>
              <c:f>tables!$C$44:$G$44</c:f>
              <c:numCache>
                <c:formatCode>0.0</c:formatCode>
                <c:ptCount val="5"/>
                <c:pt idx="0">
                  <c:v>3</c:v>
                </c:pt>
                <c:pt idx="1">
                  <c:v>2.8888888888888777</c:v>
                </c:pt>
                <c:pt idx="2">
                  <c:v>2.7777777777778416</c:v>
                </c:pt>
                <c:pt idx="3">
                  <c:v>2.8611111111111112</c:v>
                </c:pt>
                <c:pt idx="4">
                  <c:v>2.6666666666666661</c:v>
                </c:pt>
              </c:numCache>
            </c:numRef>
          </c:val>
        </c:ser>
        <c:axId val="216841216"/>
        <c:axId val="216855296"/>
      </c:barChart>
      <c:catAx>
        <c:axId val="216841216"/>
        <c:scaling>
          <c:orientation val="minMax"/>
        </c:scaling>
        <c:axPos val="b"/>
        <c:tickLblPos val="nextTo"/>
        <c:txPr>
          <a:bodyPr/>
          <a:lstStyle/>
          <a:p>
            <a:pPr>
              <a:defRPr sz="800" b="0"/>
            </a:pPr>
            <a:endParaRPr lang="it-IT"/>
          </a:p>
        </c:txPr>
        <c:crossAx val="216855296"/>
        <c:crosses val="autoZero"/>
        <c:auto val="1"/>
        <c:lblAlgn val="ctr"/>
        <c:lblOffset val="100"/>
      </c:catAx>
      <c:valAx>
        <c:axId val="216855296"/>
        <c:scaling>
          <c:orientation val="minMax"/>
        </c:scaling>
        <c:axPos val="l"/>
        <c:majorGridlines/>
        <c:numFmt formatCode="0.0" sourceLinked="1"/>
        <c:tickLblPos val="nextTo"/>
        <c:txPr>
          <a:bodyPr/>
          <a:lstStyle/>
          <a:p>
            <a:pPr>
              <a:defRPr sz="800" b="1"/>
            </a:pPr>
            <a:endParaRPr lang="it-IT"/>
          </a:p>
        </c:txPr>
        <c:crossAx val="216841216"/>
        <c:crosses val="autoZero"/>
        <c:crossBetween val="between"/>
      </c:valAx>
      <c:spPr>
        <a:solidFill>
          <a:sysClr val="window" lastClr="FFFFFF">
            <a:lumMod val="95000"/>
          </a:sysClr>
        </a:solidFill>
      </c:spPr>
    </c:plotArea>
    <c:plotVisOnly val="1"/>
    <c:dispBlanksAs val="gap"/>
  </c:chart>
  <c:spPr>
    <a:ln>
      <a:noFill/>
    </a:ln>
  </c:spPr>
  <c:externalData r:id="rId1"/>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it-IT"/>
  <c:chart>
    <c:autoTitleDeleted val="1"/>
    <c:plotArea>
      <c:layout>
        <c:manualLayout>
          <c:layoutTarget val="inner"/>
          <c:xMode val="edge"/>
          <c:yMode val="edge"/>
          <c:x val="9.4777058193171268E-2"/>
          <c:y val="3.4364261168384903E-2"/>
          <c:w val="0.86183043687588146"/>
          <c:h val="0.85332142760506702"/>
        </c:manualLayout>
      </c:layout>
      <c:barChart>
        <c:barDir val="col"/>
        <c:grouping val="clustered"/>
        <c:ser>
          <c:idx val="0"/>
          <c:order val="0"/>
          <c:tx>
            <c:strRef>
              <c:f>tables!$K$22</c:f>
              <c:strCache>
                <c:ptCount val="1"/>
                <c:pt idx="0">
                  <c:v>Average</c:v>
                </c:pt>
              </c:strCache>
            </c:strRef>
          </c:tx>
          <c:dLbls>
            <c:txPr>
              <a:bodyPr/>
              <a:lstStyle/>
              <a:p>
                <a:pPr>
                  <a:defRPr sz="800" b="1"/>
                </a:pPr>
                <a:endParaRPr lang="it-IT"/>
              </a:p>
            </c:txPr>
            <c:showVal val="1"/>
          </c:dLbls>
          <c:cat>
            <c:strRef>
              <c:f>tables!$J$23:$J$29</c:f>
              <c:strCache>
                <c:ptCount val="7"/>
                <c:pt idx="0">
                  <c:v>MULTI</c:v>
                </c:pt>
                <c:pt idx="1">
                  <c:v>ECO</c:v>
                </c:pt>
                <c:pt idx="2">
                  <c:v>FOOD</c:v>
                </c:pt>
                <c:pt idx="3">
                  <c:v>INFR</c:v>
                </c:pt>
                <c:pt idx="4">
                  <c:v>SOC</c:v>
                </c:pt>
                <c:pt idx="5">
                  <c:v>ADM</c:v>
                </c:pt>
                <c:pt idx="6">
                  <c:v>GOV</c:v>
                </c:pt>
              </c:strCache>
            </c:strRef>
          </c:cat>
          <c:val>
            <c:numRef>
              <c:f>tables!$K$23:$K$29</c:f>
              <c:numCache>
                <c:formatCode>0.0</c:formatCode>
                <c:ptCount val="7"/>
                <c:pt idx="0">
                  <c:v>3.4</c:v>
                </c:pt>
                <c:pt idx="1">
                  <c:v>3</c:v>
                </c:pt>
                <c:pt idx="2">
                  <c:v>3</c:v>
                </c:pt>
                <c:pt idx="3">
                  <c:v>3</c:v>
                </c:pt>
                <c:pt idx="4">
                  <c:v>2.8942857142857137</c:v>
                </c:pt>
                <c:pt idx="5">
                  <c:v>2.8</c:v>
                </c:pt>
                <c:pt idx="6">
                  <c:v>2.7375000000000012</c:v>
                </c:pt>
              </c:numCache>
            </c:numRef>
          </c:val>
        </c:ser>
        <c:axId val="176979968"/>
        <c:axId val="176981504"/>
      </c:barChart>
      <c:catAx>
        <c:axId val="176979968"/>
        <c:scaling>
          <c:orientation val="minMax"/>
        </c:scaling>
        <c:axPos val="b"/>
        <c:tickLblPos val="nextTo"/>
        <c:txPr>
          <a:bodyPr/>
          <a:lstStyle/>
          <a:p>
            <a:pPr>
              <a:defRPr sz="800"/>
            </a:pPr>
            <a:endParaRPr lang="it-IT"/>
          </a:p>
        </c:txPr>
        <c:crossAx val="176981504"/>
        <c:crosses val="autoZero"/>
        <c:auto val="1"/>
        <c:lblAlgn val="ctr"/>
        <c:lblOffset val="100"/>
      </c:catAx>
      <c:valAx>
        <c:axId val="176981504"/>
        <c:scaling>
          <c:orientation val="minMax"/>
        </c:scaling>
        <c:axPos val="l"/>
        <c:majorGridlines/>
        <c:numFmt formatCode="0.0" sourceLinked="1"/>
        <c:tickLblPos val="nextTo"/>
        <c:txPr>
          <a:bodyPr/>
          <a:lstStyle/>
          <a:p>
            <a:pPr>
              <a:defRPr sz="800"/>
            </a:pPr>
            <a:endParaRPr lang="it-IT"/>
          </a:p>
        </c:txPr>
        <c:crossAx val="176979968"/>
        <c:crosses val="autoZero"/>
        <c:crossBetween val="between"/>
      </c:valAx>
      <c:spPr>
        <a:solidFill>
          <a:schemeClr val="bg1">
            <a:lumMod val="95000"/>
          </a:schemeClr>
        </a:solidFill>
      </c:spPr>
    </c:plotArea>
    <c:plotVisOnly val="1"/>
    <c:dispBlanksAs val="gap"/>
  </c:chart>
  <c:spPr>
    <a:ln>
      <a:noFill/>
    </a:ln>
  </c:sp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it-IT"/>
  <c:style val="3"/>
  <c:chart>
    <c:plotArea>
      <c:layout>
        <c:manualLayout>
          <c:layoutTarget val="inner"/>
          <c:xMode val="edge"/>
          <c:yMode val="edge"/>
          <c:x val="7.234251968503938E-2"/>
          <c:y val="5.0925925925925923E-2"/>
          <c:w val="0.87886570428696409"/>
          <c:h val="0.85185185185185264"/>
        </c:manualLayout>
      </c:layout>
      <c:lineChart>
        <c:grouping val="standard"/>
        <c:ser>
          <c:idx val="0"/>
          <c:order val="0"/>
          <c:tx>
            <c:strRef>
              <c:f>Foglio1!$A$37</c:f>
              <c:strCache>
                <c:ptCount val="1"/>
                <c:pt idx="0">
                  <c:v>Exports</c:v>
                </c:pt>
              </c:strCache>
            </c:strRef>
          </c:tx>
          <c:cat>
            <c:numRef>
              <c:f>Foglio1!$B$36:$M$36</c:f>
              <c:numCache>
                <c:formatCode>0</c:formatCode>
                <c:ptCount val="12"/>
                <c:pt idx="0">
                  <c:v>2000</c:v>
                </c:pt>
                <c:pt idx="1">
                  <c:v>2001</c:v>
                </c:pt>
                <c:pt idx="2">
                  <c:v>2002</c:v>
                </c:pt>
                <c:pt idx="3">
                  <c:v>2003</c:v>
                </c:pt>
                <c:pt idx="4">
                  <c:v>2004</c:v>
                </c:pt>
                <c:pt idx="5">
                  <c:v>2005</c:v>
                </c:pt>
                <c:pt idx="6">
                  <c:v>2006</c:v>
                </c:pt>
                <c:pt idx="7">
                  <c:v>2007</c:v>
                </c:pt>
                <c:pt idx="8">
                  <c:v>2008</c:v>
                </c:pt>
                <c:pt idx="9">
                  <c:v>2009</c:v>
                </c:pt>
                <c:pt idx="10">
                  <c:v>2010</c:v>
                </c:pt>
                <c:pt idx="11">
                  <c:v>2011</c:v>
                </c:pt>
              </c:numCache>
            </c:numRef>
          </c:cat>
          <c:val>
            <c:numRef>
              <c:f>Foglio1!$B$37:$M$37</c:f>
              <c:numCache>
                <c:formatCode>#,##0</c:formatCode>
                <c:ptCount val="12"/>
                <c:pt idx="0">
                  <c:v>400856</c:v>
                </c:pt>
                <c:pt idx="1">
                  <c:v>290350</c:v>
                </c:pt>
                <c:pt idx="2">
                  <c:v>240867</c:v>
                </c:pt>
                <c:pt idx="3">
                  <c:v>279679</c:v>
                </c:pt>
                <c:pt idx="4">
                  <c:v>312688</c:v>
                </c:pt>
                <c:pt idx="5">
                  <c:v>335443</c:v>
                </c:pt>
                <c:pt idx="6">
                  <c:v>366706</c:v>
                </c:pt>
                <c:pt idx="7">
                  <c:v>512976</c:v>
                </c:pt>
                <c:pt idx="8">
                  <c:v>558446</c:v>
                </c:pt>
                <c:pt idx="9">
                  <c:v>518355</c:v>
                </c:pt>
                <c:pt idx="10">
                  <c:v>575514</c:v>
                </c:pt>
                <c:pt idx="11">
                  <c:v>719589</c:v>
                </c:pt>
              </c:numCache>
            </c:numRef>
          </c:val>
        </c:ser>
        <c:ser>
          <c:idx val="1"/>
          <c:order val="1"/>
          <c:tx>
            <c:strRef>
              <c:f>Foglio1!$A$38</c:f>
              <c:strCache>
                <c:ptCount val="1"/>
                <c:pt idx="0">
                  <c:v>Imports</c:v>
                </c:pt>
              </c:strCache>
            </c:strRef>
          </c:tx>
          <c:cat>
            <c:numRef>
              <c:f>Foglio1!$B$36:$M$36</c:f>
              <c:numCache>
                <c:formatCode>0</c:formatCode>
                <c:ptCount val="12"/>
                <c:pt idx="0">
                  <c:v>2000</c:v>
                </c:pt>
                <c:pt idx="1">
                  <c:v>2001</c:v>
                </c:pt>
                <c:pt idx="2">
                  <c:v>2002</c:v>
                </c:pt>
                <c:pt idx="3">
                  <c:v>2003</c:v>
                </c:pt>
                <c:pt idx="4">
                  <c:v>2004</c:v>
                </c:pt>
                <c:pt idx="5">
                  <c:v>2005</c:v>
                </c:pt>
                <c:pt idx="6">
                  <c:v>2006</c:v>
                </c:pt>
                <c:pt idx="7">
                  <c:v>2007</c:v>
                </c:pt>
                <c:pt idx="8">
                  <c:v>2008</c:v>
                </c:pt>
                <c:pt idx="9">
                  <c:v>2009</c:v>
                </c:pt>
                <c:pt idx="10">
                  <c:v>2010</c:v>
                </c:pt>
                <c:pt idx="11">
                  <c:v>2011</c:v>
                </c:pt>
              </c:numCache>
            </c:numRef>
          </c:cat>
          <c:val>
            <c:numRef>
              <c:f>Foglio1!$B$38:$M$38</c:f>
              <c:numCache>
                <c:formatCode>#,##0</c:formatCode>
                <c:ptCount val="12"/>
                <c:pt idx="0">
                  <c:v>2382808</c:v>
                </c:pt>
                <c:pt idx="1">
                  <c:v>2033648</c:v>
                </c:pt>
                <c:pt idx="2">
                  <c:v>1515609</c:v>
                </c:pt>
                <c:pt idx="3">
                  <c:v>1800267</c:v>
                </c:pt>
                <c:pt idx="4">
                  <c:v>2373247</c:v>
                </c:pt>
                <c:pt idx="5">
                  <c:v>2667592</c:v>
                </c:pt>
                <c:pt idx="6">
                  <c:v>2758726</c:v>
                </c:pt>
                <c:pt idx="7">
                  <c:v>3284035</c:v>
                </c:pt>
                <c:pt idx="8">
                  <c:v>3466168</c:v>
                </c:pt>
                <c:pt idx="9">
                  <c:v>3600785</c:v>
                </c:pt>
                <c:pt idx="10">
                  <c:v>3958512</c:v>
                </c:pt>
                <c:pt idx="11">
                  <c:v>4221089</c:v>
                </c:pt>
              </c:numCache>
            </c:numRef>
          </c:val>
        </c:ser>
        <c:ser>
          <c:idx val="2"/>
          <c:order val="2"/>
          <c:tx>
            <c:strRef>
              <c:f>Foglio1!$A$39</c:f>
              <c:strCache>
                <c:ptCount val="1"/>
                <c:pt idx="0">
                  <c:v>Net Trade Balance</c:v>
                </c:pt>
              </c:strCache>
            </c:strRef>
          </c:tx>
          <c:cat>
            <c:numRef>
              <c:f>Foglio1!$B$36:$M$36</c:f>
              <c:numCache>
                <c:formatCode>0</c:formatCode>
                <c:ptCount val="12"/>
                <c:pt idx="0">
                  <c:v>2000</c:v>
                </c:pt>
                <c:pt idx="1">
                  <c:v>2001</c:v>
                </c:pt>
                <c:pt idx="2">
                  <c:v>2002</c:v>
                </c:pt>
                <c:pt idx="3">
                  <c:v>2003</c:v>
                </c:pt>
                <c:pt idx="4">
                  <c:v>2004</c:v>
                </c:pt>
                <c:pt idx="5">
                  <c:v>2005</c:v>
                </c:pt>
                <c:pt idx="6">
                  <c:v>2006</c:v>
                </c:pt>
                <c:pt idx="7">
                  <c:v>2007</c:v>
                </c:pt>
                <c:pt idx="8">
                  <c:v>2008</c:v>
                </c:pt>
                <c:pt idx="9">
                  <c:v>2009</c:v>
                </c:pt>
                <c:pt idx="10">
                  <c:v>2010</c:v>
                </c:pt>
                <c:pt idx="11">
                  <c:v>2011</c:v>
                </c:pt>
              </c:numCache>
            </c:numRef>
          </c:cat>
          <c:val>
            <c:numRef>
              <c:f>Foglio1!$B$39:$M$39</c:f>
              <c:numCache>
                <c:formatCode>#,##0</c:formatCode>
                <c:ptCount val="12"/>
                <c:pt idx="0">
                  <c:v>-1981952</c:v>
                </c:pt>
                <c:pt idx="1">
                  <c:v>-1743298</c:v>
                </c:pt>
                <c:pt idx="2">
                  <c:v>-1274742</c:v>
                </c:pt>
                <c:pt idx="3">
                  <c:v>-1520588</c:v>
                </c:pt>
                <c:pt idx="4">
                  <c:v>-2060559</c:v>
                </c:pt>
                <c:pt idx="5">
                  <c:v>-2332149</c:v>
                </c:pt>
                <c:pt idx="6">
                  <c:v>-2392020</c:v>
                </c:pt>
                <c:pt idx="7">
                  <c:v>-2771059</c:v>
                </c:pt>
                <c:pt idx="8">
                  <c:v>-2907722</c:v>
                </c:pt>
                <c:pt idx="9">
                  <c:v>-3082430</c:v>
                </c:pt>
                <c:pt idx="10">
                  <c:v>-3382998</c:v>
                </c:pt>
                <c:pt idx="11">
                  <c:v>-3501500</c:v>
                </c:pt>
              </c:numCache>
            </c:numRef>
          </c:val>
        </c:ser>
        <c:marker val="1"/>
        <c:axId val="267490432"/>
        <c:axId val="267492352"/>
      </c:lineChart>
      <c:catAx>
        <c:axId val="267490432"/>
        <c:scaling>
          <c:orientation val="minMax"/>
        </c:scaling>
        <c:axPos val="b"/>
        <c:numFmt formatCode="0" sourceLinked="1"/>
        <c:tickLblPos val="nextTo"/>
        <c:txPr>
          <a:bodyPr/>
          <a:lstStyle/>
          <a:p>
            <a:pPr>
              <a:defRPr sz="800" b="0"/>
            </a:pPr>
            <a:endParaRPr lang="it-IT"/>
          </a:p>
        </c:txPr>
        <c:crossAx val="267492352"/>
        <c:crosses val="autoZero"/>
        <c:auto val="1"/>
        <c:lblAlgn val="ctr"/>
        <c:lblOffset val="100"/>
      </c:catAx>
      <c:valAx>
        <c:axId val="267492352"/>
        <c:scaling>
          <c:orientation val="minMax"/>
        </c:scaling>
        <c:axPos val="l"/>
        <c:majorGridlines/>
        <c:numFmt formatCode="#,##0" sourceLinked="1"/>
        <c:tickLblPos val="nextTo"/>
        <c:txPr>
          <a:bodyPr/>
          <a:lstStyle/>
          <a:p>
            <a:pPr>
              <a:defRPr sz="800"/>
            </a:pPr>
            <a:endParaRPr lang="it-IT"/>
          </a:p>
        </c:txPr>
        <c:crossAx val="267490432"/>
        <c:crosses val="autoZero"/>
        <c:crossBetween val="between"/>
        <c:dispUnits>
          <c:builtInUnit val="millions"/>
        </c:dispUnits>
      </c:valAx>
      <c:spPr>
        <a:solidFill>
          <a:schemeClr val="bg1">
            <a:lumMod val="95000"/>
          </a:schemeClr>
        </a:solidFill>
      </c:spPr>
    </c:plotArea>
    <c:legend>
      <c:legendPos val="r"/>
      <c:layout>
        <c:manualLayout>
          <c:xMode val="edge"/>
          <c:yMode val="edge"/>
          <c:x val="9.446225471816018E-2"/>
          <c:y val="0.91434711286089265"/>
          <c:w val="0.90196631671041116"/>
          <c:h val="8.3342446777487769E-2"/>
        </c:manualLayout>
      </c:layout>
      <c:txPr>
        <a:bodyPr/>
        <a:lstStyle/>
        <a:p>
          <a:pPr>
            <a:defRPr sz="800"/>
          </a:pPr>
          <a:endParaRPr lang="it-IT"/>
        </a:p>
      </c:txPr>
    </c:legend>
    <c:plotVisOnly val="1"/>
    <c:dispBlanksAs val="gap"/>
  </c:chart>
  <c:spPr>
    <a:ln>
      <a:noFill/>
    </a:ln>
  </c:sp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it-IT"/>
  <c:chart>
    <c:plotArea>
      <c:layout/>
      <c:barChart>
        <c:barDir val="bar"/>
        <c:grouping val="percentStacked"/>
        <c:ser>
          <c:idx val="0"/>
          <c:order val="0"/>
          <c:tx>
            <c:strRef>
              <c:f>Foglio1!$B$1</c:f>
              <c:strCache>
                <c:ptCount val="1"/>
                <c:pt idx="0">
                  <c:v>food insecure</c:v>
                </c:pt>
              </c:strCache>
            </c:strRef>
          </c:tx>
          <c:dLbls>
            <c:dLbl>
              <c:idx val="0"/>
              <c:dLblPos val="ctr"/>
              <c:showVal val="1"/>
            </c:dLbl>
            <c:dLbl>
              <c:idx val="1"/>
              <c:dLblPos val="ctr"/>
              <c:showVal val="1"/>
            </c:dLbl>
            <c:dLbl>
              <c:idx val="2"/>
              <c:dLblPos val="ctr"/>
              <c:showVal val="1"/>
            </c:dLbl>
            <c:dLbl>
              <c:idx val="3"/>
              <c:dLblPos val="ctr"/>
              <c:showVal val="1"/>
            </c:dLbl>
            <c:delete val="1"/>
            <c:txPr>
              <a:bodyPr/>
              <a:lstStyle/>
              <a:p>
                <a:pPr>
                  <a:defRPr sz="800" b="1"/>
                </a:pPr>
                <a:endParaRPr lang="it-IT"/>
              </a:p>
            </c:txPr>
            <c:dLblPos val="ctr"/>
          </c:dLbls>
          <c:cat>
            <c:numRef>
              <c:f>Foglio1!$A$2:$A$5</c:f>
              <c:numCache>
                <c:formatCode>General</c:formatCode>
                <c:ptCount val="4"/>
                <c:pt idx="0">
                  <c:v>2009</c:v>
                </c:pt>
                <c:pt idx="1">
                  <c:v>2010</c:v>
                </c:pt>
                <c:pt idx="2">
                  <c:v>2011</c:v>
                </c:pt>
                <c:pt idx="3">
                  <c:v>2012</c:v>
                </c:pt>
              </c:numCache>
            </c:numRef>
          </c:cat>
          <c:val>
            <c:numRef>
              <c:f>Foglio1!$B$2:$B$5</c:f>
              <c:numCache>
                <c:formatCode>0%</c:formatCode>
                <c:ptCount val="4"/>
                <c:pt idx="0">
                  <c:v>0.60000000000000064</c:v>
                </c:pt>
                <c:pt idx="1">
                  <c:v>0.52</c:v>
                </c:pt>
                <c:pt idx="2">
                  <c:v>0.44</c:v>
                </c:pt>
                <c:pt idx="3">
                  <c:v>0.37000000000000038</c:v>
                </c:pt>
              </c:numCache>
            </c:numRef>
          </c:val>
        </c:ser>
        <c:ser>
          <c:idx val="1"/>
          <c:order val="1"/>
          <c:tx>
            <c:strRef>
              <c:f>Foglio1!$C$1</c:f>
              <c:strCache>
                <c:ptCount val="1"/>
                <c:pt idx="0">
                  <c:v>Vulnerable to Food Insecurity</c:v>
                </c:pt>
              </c:strCache>
            </c:strRef>
          </c:tx>
          <c:dLbls>
            <c:txPr>
              <a:bodyPr/>
              <a:lstStyle/>
              <a:p>
                <a:pPr>
                  <a:defRPr sz="800" b="1"/>
                </a:pPr>
                <a:endParaRPr lang="it-IT"/>
              </a:p>
            </c:txPr>
            <c:dLblPos val="ctr"/>
            <c:showVal val="1"/>
          </c:dLbls>
          <c:cat>
            <c:numRef>
              <c:f>Foglio1!$A$2:$A$5</c:f>
              <c:numCache>
                <c:formatCode>General</c:formatCode>
                <c:ptCount val="4"/>
                <c:pt idx="0">
                  <c:v>2009</c:v>
                </c:pt>
                <c:pt idx="1">
                  <c:v>2010</c:v>
                </c:pt>
                <c:pt idx="2">
                  <c:v>2011</c:v>
                </c:pt>
                <c:pt idx="3">
                  <c:v>2012</c:v>
                </c:pt>
              </c:numCache>
            </c:numRef>
          </c:cat>
          <c:val>
            <c:numRef>
              <c:f>Foglio1!$C$2:$C$5</c:f>
              <c:numCache>
                <c:formatCode>0%</c:formatCode>
                <c:ptCount val="4"/>
                <c:pt idx="0">
                  <c:v>0.14000000000000001</c:v>
                </c:pt>
                <c:pt idx="1">
                  <c:v>0.16</c:v>
                </c:pt>
                <c:pt idx="2">
                  <c:v>0.13</c:v>
                </c:pt>
                <c:pt idx="3">
                  <c:v>9.0000000000000024E-2</c:v>
                </c:pt>
              </c:numCache>
            </c:numRef>
          </c:val>
        </c:ser>
        <c:ser>
          <c:idx val="2"/>
          <c:order val="2"/>
          <c:tx>
            <c:strRef>
              <c:f>Foglio1!$D$1</c:f>
              <c:strCache>
                <c:ptCount val="1"/>
                <c:pt idx="0">
                  <c:v>Marginally Food Secure</c:v>
                </c:pt>
              </c:strCache>
            </c:strRef>
          </c:tx>
          <c:dLbls>
            <c:txPr>
              <a:bodyPr/>
              <a:lstStyle/>
              <a:p>
                <a:pPr>
                  <a:defRPr sz="800" b="1"/>
                </a:pPr>
                <a:endParaRPr lang="it-IT"/>
              </a:p>
            </c:txPr>
            <c:dLblPos val="ctr"/>
            <c:showVal val="1"/>
          </c:dLbls>
          <c:cat>
            <c:numRef>
              <c:f>Foglio1!$A$2:$A$5</c:f>
              <c:numCache>
                <c:formatCode>General</c:formatCode>
                <c:ptCount val="4"/>
                <c:pt idx="0">
                  <c:v>2009</c:v>
                </c:pt>
                <c:pt idx="1">
                  <c:v>2010</c:v>
                </c:pt>
                <c:pt idx="2">
                  <c:v>2011</c:v>
                </c:pt>
                <c:pt idx="3">
                  <c:v>2012</c:v>
                </c:pt>
              </c:numCache>
            </c:numRef>
          </c:cat>
          <c:val>
            <c:numRef>
              <c:f>Foglio1!$D$2:$D$5</c:f>
              <c:numCache>
                <c:formatCode>0%</c:formatCode>
                <c:ptCount val="4"/>
                <c:pt idx="0">
                  <c:v>0.19</c:v>
                </c:pt>
                <c:pt idx="1">
                  <c:v>0.16</c:v>
                </c:pt>
                <c:pt idx="2">
                  <c:v>0.16</c:v>
                </c:pt>
                <c:pt idx="3">
                  <c:v>7.0000000000000021E-2</c:v>
                </c:pt>
              </c:numCache>
            </c:numRef>
          </c:val>
        </c:ser>
        <c:ser>
          <c:idx val="3"/>
          <c:order val="3"/>
          <c:tx>
            <c:strRef>
              <c:f>Foglio1!$E$1</c:f>
              <c:strCache>
                <c:ptCount val="1"/>
                <c:pt idx="0">
                  <c:v>Food Secure</c:v>
                </c:pt>
              </c:strCache>
            </c:strRef>
          </c:tx>
          <c:dLbls>
            <c:txPr>
              <a:bodyPr/>
              <a:lstStyle/>
              <a:p>
                <a:pPr>
                  <a:defRPr sz="800" b="1"/>
                </a:pPr>
                <a:endParaRPr lang="it-IT"/>
              </a:p>
            </c:txPr>
            <c:dLblPos val="ctr"/>
            <c:showVal val="1"/>
          </c:dLbls>
          <c:cat>
            <c:numRef>
              <c:f>Foglio1!$A$2:$A$5</c:f>
              <c:numCache>
                <c:formatCode>General</c:formatCode>
                <c:ptCount val="4"/>
                <c:pt idx="0">
                  <c:v>2009</c:v>
                </c:pt>
                <c:pt idx="1">
                  <c:v>2010</c:v>
                </c:pt>
                <c:pt idx="2">
                  <c:v>2011</c:v>
                </c:pt>
                <c:pt idx="3">
                  <c:v>2012</c:v>
                </c:pt>
              </c:numCache>
            </c:numRef>
          </c:cat>
          <c:val>
            <c:numRef>
              <c:f>Foglio1!$E$2:$E$5</c:f>
              <c:numCache>
                <c:formatCode>0%</c:formatCode>
                <c:ptCount val="4"/>
                <c:pt idx="0">
                  <c:v>0.1</c:v>
                </c:pt>
                <c:pt idx="1">
                  <c:v>0.23</c:v>
                </c:pt>
                <c:pt idx="2">
                  <c:v>0.19</c:v>
                </c:pt>
                <c:pt idx="3">
                  <c:v>0.24000000000000021</c:v>
                </c:pt>
              </c:numCache>
            </c:numRef>
          </c:val>
        </c:ser>
        <c:overlap val="100"/>
        <c:axId val="274787712"/>
        <c:axId val="316974208"/>
      </c:barChart>
      <c:catAx>
        <c:axId val="274787712"/>
        <c:scaling>
          <c:orientation val="minMax"/>
        </c:scaling>
        <c:axPos val="l"/>
        <c:numFmt formatCode="General" sourceLinked="1"/>
        <c:tickLblPos val="nextTo"/>
        <c:txPr>
          <a:bodyPr/>
          <a:lstStyle/>
          <a:p>
            <a:pPr>
              <a:defRPr sz="800" b="1"/>
            </a:pPr>
            <a:endParaRPr lang="it-IT"/>
          </a:p>
        </c:txPr>
        <c:crossAx val="316974208"/>
        <c:crosses val="autoZero"/>
        <c:auto val="1"/>
        <c:lblAlgn val="ctr"/>
        <c:lblOffset val="100"/>
      </c:catAx>
      <c:valAx>
        <c:axId val="316974208"/>
        <c:scaling>
          <c:orientation val="minMax"/>
        </c:scaling>
        <c:axPos val="b"/>
        <c:majorGridlines/>
        <c:numFmt formatCode="0%" sourceLinked="1"/>
        <c:tickLblPos val="nextTo"/>
        <c:txPr>
          <a:bodyPr/>
          <a:lstStyle/>
          <a:p>
            <a:pPr>
              <a:defRPr sz="800" b="1"/>
            </a:pPr>
            <a:endParaRPr lang="it-IT"/>
          </a:p>
        </c:txPr>
        <c:crossAx val="274787712"/>
        <c:crosses val="autoZero"/>
        <c:crossBetween val="between"/>
      </c:valAx>
      <c:spPr>
        <a:solidFill>
          <a:schemeClr val="bg1">
            <a:lumMod val="95000"/>
          </a:schemeClr>
        </a:solidFill>
      </c:spPr>
    </c:plotArea>
    <c:legend>
      <c:legendPos val="b"/>
      <c:layout>
        <c:manualLayout>
          <c:xMode val="edge"/>
          <c:yMode val="edge"/>
          <c:x val="2.6810491170712296E-5"/>
          <c:y val="0.79648106486689152"/>
          <c:w val="0.9967639486591624"/>
          <c:h val="0.16780464941882264"/>
        </c:manualLayout>
      </c:layout>
      <c:txPr>
        <a:bodyPr/>
        <a:lstStyle/>
        <a:p>
          <a:pPr>
            <a:defRPr sz="800">
              <a:latin typeface="Arial" pitchFamily="34" charset="0"/>
              <a:cs typeface="Arial" pitchFamily="34" charset="0"/>
            </a:defRPr>
          </a:pPr>
          <a:endParaRPr lang="it-IT"/>
        </a:p>
      </c:txPr>
    </c:legend>
    <c:plotVisOnly val="1"/>
  </c:chart>
  <c:spPr>
    <a:solidFill>
      <a:schemeClr val="bg1"/>
    </a:solidFill>
    <a:ln>
      <a:noFill/>
    </a:ln>
  </c:sp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it-IT"/>
  <c:chart>
    <c:autoTitleDeleted val="1"/>
    <c:plotArea>
      <c:layout>
        <c:manualLayout>
          <c:layoutTarget val="inner"/>
          <c:xMode val="edge"/>
          <c:yMode val="edge"/>
          <c:x val="0.13387729658792918"/>
          <c:y val="3.5189331063346811E-2"/>
          <c:w val="0.80564186183916364"/>
          <c:h val="0.70568149251614476"/>
        </c:manualLayout>
      </c:layout>
      <c:lineChart>
        <c:grouping val="standard"/>
        <c:ser>
          <c:idx val="0"/>
          <c:order val="0"/>
          <c:tx>
            <c:strRef>
              <c:f>'Employee Count 092013'!$L$92</c:f>
              <c:strCache>
                <c:ptCount val="1"/>
                <c:pt idx="0">
                  <c:v>PA Staffing</c:v>
                </c:pt>
              </c:strCache>
            </c:strRef>
          </c:tx>
          <c:cat>
            <c:strRef>
              <c:f>'Employee Count 092013'!$K$93:$K$112</c:f>
              <c:strCache>
                <c:ptCount val="20"/>
                <c:pt idx="0">
                  <c:v>1994</c:v>
                </c:pt>
                <c:pt idx="1">
                  <c:v>1995</c:v>
                </c:pt>
                <c:pt idx="2">
                  <c:v>1996</c:v>
                </c:pt>
                <c:pt idx="3">
                  <c:v>1997</c:v>
                </c:pt>
                <c:pt idx="4">
                  <c:v>1998</c:v>
                </c:pt>
                <c:pt idx="5">
                  <c:v>1999</c:v>
                </c:pt>
                <c:pt idx="6">
                  <c:v>2000</c:v>
                </c:pt>
                <c:pt idx="7">
                  <c:v>2001</c:v>
                </c:pt>
                <c:pt idx="8">
                  <c:v>2002</c:v>
                </c:pt>
                <c:pt idx="9">
                  <c:v>2003</c:v>
                </c:pt>
                <c:pt idx="10">
                  <c:v>2004</c:v>
                </c:pt>
                <c:pt idx="11">
                  <c:v>2005</c:v>
                </c:pt>
                <c:pt idx="12">
                  <c:v>2006</c:v>
                </c:pt>
                <c:pt idx="13">
                  <c:v>2007</c:v>
                </c:pt>
                <c:pt idx="14">
                  <c:v>2008</c:v>
                </c:pt>
                <c:pt idx="15">
                  <c:v>2009</c:v>
                </c:pt>
                <c:pt idx="16">
                  <c:v>2010</c:v>
                </c:pt>
                <c:pt idx="17">
                  <c:v>2011</c:v>
                </c:pt>
                <c:pt idx="18">
                  <c:v>2012</c:v>
                </c:pt>
                <c:pt idx="19">
                  <c:v>2013*</c:v>
                </c:pt>
              </c:strCache>
            </c:strRef>
          </c:cat>
          <c:val>
            <c:numRef>
              <c:f>'Employee Count 092013'!$L$93:$L$112</c:f>
              <c:numCache>
                <c:formatCode>General</c:formatCode>
                <c:ptCount val="20"/>
                <c:pt idx="0">
                  <c:v>39500</c:v>
                </c:pt>
                <c:pt idx="1">
                  <c:v>57000</c:v>
                </c:pt>
                <c:pt idx="2">
                  <c:v>75400</c:v>
                </c:pt>
                <c:pt idx="3">
                  <c:v>83100</c:v>
                </c:pt>
                <c:pt idx="4">
                  <c:v>92300</c:v>
                </c:pt>
                <c:pt idx="5">
                  <c:v>103554</c:v>
                </c:pt>
                <c:pt idx="6">
                  <c:v>114940</c:v>
                </c:pt>
                <c:pt idx="7">
                  <c:v>123450</c:v>
                </c:pt>
                <c:pt idx="8">
                  <c:v>122329</c:v>
                </c:pt>
                <c:pt idx="9">
                  <c:v>129560</c:v>
                </c:pt>
                <c:pt idx="10">
                  <c:v>133106</c:v>
                </c:pt>
                <c:pt idx="11">
                  <c:v>150648</c:v>
                </c:pt>
                <c:pt idx="12">
                  <c:v>166945</c:v>
                </c:pt>
                <c:pt idx="13">
                  <c:v>144380</c:v>
                </c:pt>
                <c:pt idx="14">
                  <c:v>142937</c:v>
                </c:pt>
                <c:pt idx="15">
                  <c:v>147726</c:v>
                </c:pt>
                <c:pt idx="16">
                  <c:v>151043</c:v>
                </c:pt>
                <c:pt idx="17">
                  <c:v>153053</c:v>
                </c:pt>
                <c:pt idx="18">
                  <c:v>154218</c:v>
                </c:pt>
                <c:pt idx="19">
                  <c:v>153529</c:v>
                </c:pt>
              </c:numCache>
            </c:numRef>
          </c:val>
        </c:ser>
        <c:marker val="1"/>
        <c:axId val="128054016"/>
        <c:axId val="128055552"/>
      </c:lineChart>
      <c:catAx>
        <c:axId val="128054016"/>
        <c:scaling>
          <c:orientation val="minMax"/>
        </c:scaling>
        <c:axPos val="b"/>
        <c:tickLblPos val="nextTo"/>
        <c:txPr>
          <a:bodyPr/>
          <a:lstStyle/>
          <a:p>
            <a:pPr>
              <a:defRPr sz="800"/>
            </a:pPr>
            <a:endParaRPr lang="it-IT"/>
          </a:p>
        </c:txPr>
        <c:crossAx val="128055552"/>
        <c:crosses val="autoZero"/>
        <c:auto val="1"/>
        <c:lblAlgn val="ctr"/>
        <c:lblOffset val="100"/>
      </c:catAx>
      <c:valAx>
        <c:axId val="128055552"/>
        <c:scaling>
          <c:orientation val="minMax"/>
        </c:scaling>
        <c:axPos val="l"/>
        <c:majorGridlines/>
        <c:minorGridlines/>
        <c:numFmt formatCode="General" sourceLinked="1"/>
        <c:tickLblPos val="nextTo"/>
        <c:txPr>
          <a:bodyPr/>
          <a:lstStyle/>
          <a:p>
            <a:pPr>
              <a:defRPr sz="800"/>
            </a:pPr>
            <a:endParaRPr lang="it-IT"/>
          </a:p>
        </c:txPr>
        <c:crossAx val="128054016"/>
        <c:crosses val="autoZero"/>
        <c:crossBetween val="between"/>
      </c:valAx>
      <c:spPr>
        <a:solidFill>
          <a:schemeClr val="bg1">
            <a:lumMod val="95000"/>
          </a:schemeClr>
        </a:solidFill>
      </c:spPr>
    </c:plotArea>
    <c:plotVisOnly val="1"/>
    <c:dispBlanksAs val="gap"/>
  </c:chart>
  <c:spPr>
    <a:ln>
      <a:noFill/>
    </a:ln>
  </c:sp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it-IT"/>
  <c:style val="11"/>
  <c:chart>
    <c:plotArea>
      <c:layout>
        <c:manualLayout>
          <c:layoutTarget val="inner"/>
          <c:xMode val="edge"/>
          <c:yMode val="edge"/>
          <c:x val="6.8332430941220781E-2"/>
          <c:y val="2.6790231467980086E-2"/>
          <c:w val="0.67263668662242382"/>
          <c:h val="0.88354319907542411"/>
        </c:manualLayout>
      </c:layout>
      <c:barChart>
        <c:barDir val="col"/>
        <c:grouping val="clustered"/>
        <c:ser>
          <c:idx val="0"/>
          <c:order val="0"/>
          <c:tx>
            <c:strRef>
              <c:f>Foglio2!$B$18</c:f>
              <c:strCache>
                <c:ptCount val="1"/>
                <c:pt idx="0">
                  <c:v>Allocated </c:v>
                </c:pt>
              </c:strCache>
            </c:strRef>
          </c:tx>
          <c:dLbls>
            <c:dLbl>
              <c:idx val="1"/>
              <c:layout>
                <c:manualLayout>
                  <c:x val="-1.3888888888889105E-2"/>
                  <c:y val="1.3888888888889105E-2"/>
                </c:manualLayout>
              </c:layout>
              <c:showVal val="1"/>
              <c:extLst>
                <c:ext xmlns:c15="http://schemas.microsoft.com/office/drawing/2012/chart" uri="{CE6537A1-D6FC-4f65-9D91-7224C49458BB}">
                  <c15:layout/>
                </c:ext>
              </c:extLst>
            </c:dLbl>
            <c:dLbl>
              <c:idx val="3"/>
              <c:layout>
                <c:manualLayout>
                  <c:x val="-1.1111111111111165E-2"/>
                  <c:y val="0"/>
                </c:manualLayout>
              </c:layout>
              <c:showVal val="1"/>
              <c:extLst>
                <c:ext xmlns:c15="http://schemas.microsoft.com/office/drawing/2012/chart" uri="{CE6537A1-D6FC-4f65-9D91-7224C49458BB}">
                  <c15:layout/>
                </c:ext>
              </c:extLst>
            </c:dLbl>
            <c:spPr>
              <a:noFill/>
              <a:ln>
                <a:noFill/>
              </a:ln>
              <a:effectLst/>
            </c:spPr>
            <c:txPr>
              <a:bodyPr/>
              <a:lstStyle/>
              <a:p>
                <a:pPr>
                  <a:defRPr sz="800" b="1"/>
                </a:pPr>
                <a:endParaRPr lang="it-IT"/>
              </a:p>
            </c:txPr>
            <c:showVal val="1"/>
            <c:extLst>
              <c:ext xmlns:c15="http://schemas.microsoft.com/office/drawing/2012/chart" uri="{CE6537A1-D6FC-4f65-9D91-7224C49458BB}">
                <c15:layout/>
                <c15:showLeaderLines val="0"/>
              </c:ext>
            </c:extLst>
          </c:dLbls>
          <c:cat>
            <c:numRef>
              <c:f>Foglio2!$A$19:$A$24</c:f>
              <c:numCache>
                <c:formatCode>#,##0</c:formatCode>
                <c:ptCount val="6"/>
                <c:pt idx="0">
                  <c:v>2008</c:v>
                </c:pt>
                <c:pt idx="1">
                  <c:v>2009</c:v>
                </c:pt>
                <c:pt idx="2">
                  <c:v>2010</c:v>
                </c:pt>
                <c:pt idx="3">
                  <c:v>2011</c:v>
                </c:pt>
                <c:pt idx="4">
                  <c:v>2012</c:v>
                </c:pt>
                <c:pt idx="5">
                  <c:v>2013</c:v>
                </c:pt>
              </c:numCache>
            </c:numRef>
          </c:cat>
          <c:val>
            <c:numRef>
              <c:f>Foglio2!$B$19:$B$24</c:f>
              <c:numCache>
                <c:formatCode>#,##0</c:formatCode>
                <c:ptCount val="6"/>
                <c:pt idx="0">
                  <c:v>572947646.87</c:v>
                </c:pt>
                <c:pt idx="1">
                  <c:v>274754890.9849968</c:v>
                </c:pt>
                <c:pt idx="2">
                  <c:v>438702557.58000004</c:v>
                </c:pt>
                <c:pt idx="3">
                  <c:v>340433768.20999974</c:v>
                </c:pt>
                <c:pt idx="4">
                  <c:v>361663953.04000002</c:v>
                </c:pt>
                <c:pt idx="5">
                  <c:v>231699343.73000002</c:v>
                </c:pt>
              </c:numCache>
            </c:numRef>
          </c:val>
        </c:ser>
        <c:ser>
          <c:idx val="1"/>
          <c:order val="1"/>
          <c:tx>
            <c:strRef>
              <c:f>Foglio2!$C$18</c:f>
              <c:strCache>
                <c:ptCount val="1"/>
                <c:pt idx="0">
                  <c:v>Contracted</c:v>
                </c:pt>
              </c:strCache>
            </c:strRef>
          </c:tx>
          <c:dLbls>
            <c:dLbl>
              <c:idx val="0"/>
              <c:layout>
                <c:manualLayout>
                  <c:x val="1.6666666666666781E-2"/>
                  <c:y val="-4.6296296296297005E-3"/>
                </c:manualLayout>
              </c:layout>
              <c:showVal val="1"/>
              <c:extLst>
                <c:ext xmlns:c15="http://schemas.microsoft.com/office/drawing/2012/chart" uri="{CE6537A1-D6FC-4f65-9D91-7224C49458BB}">
                  <c15:layout/>
                </c:ext>
              </c:extLst>
            </c:dLbl>
            <c:dLbl>
              <c:idx val="2"/>
              <c:layout>
                <c:manualLayout>
                  <c:x val="1.3888888888889105E-2"/>
                  <c:y val="-4.6296296296297022E-3"/>
                </c:manualLayout>
              </c:layout>
              <c:showVal val="1"/>
              <c:extLst>
                <c:ext xmlns:c15="http://schemas.microsoft.com/office/drawing/2012/chart" uri="{CE6537A1-D6FC-4f65-9D91-7224C49458BB}">
                  <c15:layout/>
                </c:ext>
              </c:extLst>
            </c:dLbl>
            <c:dLbl>
              <c:idx val="4"/>
              <c:layout>
                <c:manualLayout>
                  <c:x val="8.3333333333333558E-3"/>
                  <c:y val="-1.3888888888889105E-2"/>
                </c:manualLayout>
              </c:layout>
              <c:showVal val="1"/>
              <c:extLst>
                <c:ext xmlns:c15="http://schemas.microsoft.com/office/drawing/2012/chart" uri="{CE6537A1-D6FC-4f65-9D91-7224C49458BB}">
                  <c15:layout/>
                </c:ext>
              </c:extLst>
            </c:dLbl>
            <c:spPr>
              <a:noFill/>
              <a:ln>
                <a:noFill/>
              </a:ln>
              <a:effectLst/>
            </c:spPr>
            <c:txPr>
              <a:bodyPr/>
              <a:lstStyle/>
              <a:p>
                <a:pPr>
                  <a:defRPr sz="800" b="1"/>
                </a:pPr>
                <a:endParaRPr lang="it-IT"/>
              </a:p>
            </c:txPr>
            <c:showVal val="1"/>
            <c:extLst>
              <c:ext xmlns:c15="http://schemas.microsoft.com/office/drawing/2012/chart" uri="{CE6537A1-D6FC-4f65-9D91-7224C49458BB}">
                <c15:layout/>
                <c15:showLeaderLines val="0"/>
              </c:ext>
            </c:extLst>
          </c:dLbls>
          <c:trendline>
            <c:trendlineType val="linear"/>
          </c:trendline>
          <c:cat>
            <c:numRef>
              <c:f>Foglio2!$A$19:$A$24</c:f>
              <c:numCache>
                <c:formatCode>#,##0</c:formatCode>
                <c:ptCount val="6"/>
                <c:pt idx="0">
                  <c:v>2008</c:v>
                </c:pt>
                <c:pt idx="1">
                  <c:v>2009</c:v>
                </c:pt>
                <c:pt idx="2">
                  <c:v>2010</c:v>
                </c:pt>
                <c:pt idx="3">
                  <c:v>2011</c:v>
                </c:pt>
                <c:pt idx="4">
                  <c:v>2012</c:v>
                </c:pt>
                <c:pt idx="5">
                  <c:v>2013</c:v>
                </c:pt>
              </c:numCache>
            </c:numRef>
          </c:cat>
          <c:val>
            <c:numRef>
              <c:f>Foglio2!$C$19:$C$24</c:f>
              <c:numCache>
                <c:formatCode>#,##0</c:formatCode>
                <c:ptCount val="6"/>
                <c:pt idx="0">
                  <c:v>542201056.84999788</c:v>
                </c:pt>
                <c:pt idx="1">
                  <c:v>282595113.52999979</c:v>
                </c:pt>
                <c:pt idx="2">
                  <c:v>359488165.78999949</c:v>
                </c:pt>
                <c:pt idx="3">
                  <c:v>376404759.38000005</c:v>
                </c:pt>
                <c:pt idx="4">
                  <c:v>254839081.90000004</c:v>
                </c:pt>
                <c:pt idx="5">
                  <c:v>271976562.67000002</c:v>
                </c:pt>
              </c:numCache>
            </c:numRef>
          </c:val>
        </c:ser>
        <c:ser>
          <c:idx val="2"/>
          <c:order val="2"/>
          <c:tx>
            <c:strRef>
              <c:f>Foglio2!$D$18</c:f>
              <c:strCache>
                <c:ptCount val="1"/>
                <c:pt idx="0">
                  <c:v>Paid</c:v>
                </c:pt>
              </c:strCache>
            </c:strRef>
          </c:tx>
          <c:dLbls>
            <c:dLbl>
              <c:idx val="0"/>
              <c:layout>
                <c:manualLayout>
                  <c:x val="2.7777777777778508E-2"/>
                  <c:y val="2.3148148148148147E-2"/>
                </c:manualLayout>
              </c:layout>
              <c:showVal val="1"/>
              <c:extLst>
                <c:ext xmlns:c15="http://schemas.microsoft.com/office/drawing/2012/chart" uri="{CE6537A1-D6FC-4f65-9D91-7224C49458BB}">
                  <c15:layout/>
                </c:ext>
              </c:extLst>
            </c:dLbl>
            <c:dLbl>
              <c:idx val="1"/>
              <c:layout>
                <c:manualLayout>
                  <c:x val="1.6666666666666781E-2"/>
                  <c:y val="1.3888888888889105E-2"/>
                </c:manualLayout>
              </c:layout>
              <c:showVal val="1"/>
              <c:extLst>
                <c:ext xmlns:c15="http://schemas.microsoft.com/office/drawing/2012/chart" uri="{CE6537A1-D6FC-4f65-9D91-7224C49458BB}">
                  <c15:layout/>
                </c:ext>
              </c:extLst>
            </c:dLbl>
            <c:dLbl>
              <c:idx val="2"/>
              <c:layout>
                <c:manualLayout>
                  <c:x val="1.6666666666666781E-2"/>
                  <c:y val="3.7037037037037292E-2"/>
                </c:manualLayout>
              </c:layout>
              <c:showVal val="1"/>
              <c:extLst>
                <c:ext xmlns:c15="http://schemas.microsoft.com/office/drawing/2012/chart" uri="{CE6537A1-D6FC-4f65-9D91-7224C49458BB}">
                  <c15:layout/>
                </c:ext>
              </c:extLst>
            </c:dLbl>
            <c:dLbl>
              <c:idx val="3"/>
              <c:layout>
                <c:manualLayout>
                  <c:x val="1.1111111111111165E-2"/>
                  <c:y val="2.7777777777778508E-2"/>
                </c:manualLayout>
              </c:layout>
              <c:showVal val="1"/>
              <c:extLst>
                <c:ext xmlns:c15="http://schemas.microsoft.com/office/drawing/2012/chart" uri="{CE6537A1-D6FC-4f65-9D91-7224C49458BB}">
                  <c15:layout/>
                </c:ext>
              </c:extLst>
            </c:dLbl>
            <c:dLbl>
              <c:idx val="4"/>
              <c:layout>
                <c:manualLayout>
                  <c:x val="1.9444444444444361E-2"/>
                  <c:y val="4.6296296296297005E-3"/>
                </c:manualLayout>
              </c:layout>
              <c:showVal val="1"/>
              <c:extLst>
                <c:ext xmlns:c15="http://schemas.microsoft.com/office/drawing/2012/chart" uri="{CE6537A1-D6FC-4f65-9D91-7224C49458BB}">
                  <c15:layout/>
                </c:ext>
              </c:extLst>
            </c:dLbl>
            <c:spPr>
              <a:noFill/>
              <a:ln>
                <a:noFill/>
              </a:ln>
              <a:effectLst/>
            </c:spPr>
            <c:txPr>
              <a:bodyPr/>
              <a:lstStyle/>
              <a:p>
                <a:pPr>
                  <a:defRPr sz="800" b="1"/>
                </a:pPr>
                <a:endParaRPr lang="it-IT"/>
              </a:p>
            </c:txPr>
            <c:showVal val="1"/>
            <c:extLst>
              <c:ext xmlns:c15="http://schemas.microsoft.com/office/drawing/2012/chart" uri="{CE6537A1-D6FC-4f65-9D91-7224C49458BB}">
                <c15:showLeaderLines val="0"/>
              </c:ext>
            </c:extLst>
          </c:dLbls>
          <c:cat>
            <c:numRef>
              <c:f>Foglio2!$A$19:$A$24</c:f>
              <c:numCache>
                <c:formatCode>#,##0</c:formatCode>
                <c:ptCount val="6"/>
                <c:pt idx="0">
                  <c:v>2008</c:v>
                </c:pt>
                <c:pt idx="1">
                  <c:v>2009</c:v>
                </c:pt>
                <c:pt idx="2">
                  <c:v>2010</c:v>
                </c:pt>
                <c:pt idx="3">
                  <c:v>2011</c:v>
                </c:pt>
                <c:pt idx="4">
                  <c:v>2012</c:v>
                </c:pt>
                <c:pt idx="5">
                  <c:v>2013</c:v>
                </c:pt>
              </c:numCache>
            </c:numRef>
          </c:cat>
          <c:val>
            <c:numRef>
              <c:f>Foglio2!$D$19:$D$24</c:f>
              <c:numCache>
                <c:formatCode>#,##0</c:formatCode>
                <c:ptCount val="6"/>
                <c:pt idx="0">
                  <c:v>541379257.60000002</c:v>
                </c:pt>
                <c:pt idx="1">
                  <c:v>280996062.18999994</c:v>
                </c:pt>
                <c:pt idx="2">
                  <c:v>341750427.06999993</c:v>
                </c:pt>
                <c:pt idx="3">
                  <c:v>350625998.5400002</c:v>
                </c:pt>
                <c:pt idx="4">
                  <c:v>193254129.04999998</c:v>
                </c:pt>
                <c:pt idx="5">
                  <c:v>191383337.28999996</c:v>
                </c:pt>
              </c:numCache>
            </c:numRef>
          </c:val>
        </c:ser>
        <c:axId val="210363904"/>
        <c:axId val="210365440"/>
      </c:barChart>
      <c:catAx>
        <c:axId val="210363904"/>
        <c:scaling>
          <c:orientation val="minMax"/>
        </c:scaling>
        <c:axPos val="b"/>
        <c:numFmt formatCode="#,##0" sourceLinked="1"/>
        <c:tickLblPos val="nextTo"/>
        <c:txPr>
          <a:bodyPr/>
          <a:lstStyle/>
          <a:p>
            <a:pPr>
              <a:defRPr sz="800"/>
            </a:pPr>
            <a:endParaRPr lang="it-IT"/>
          </a:p>
        </c:txPr>
        <c:crossAx val="210365440"/>
        <c:crosses val="autoZero"/>
        <c:auto val="1"/>
        <c:lblAlgn val="ctr"/>
        <c:lblOffset val="100"/>
      </c:catAx>
      <c:valAx>
        <c:axId val="210365440"/>
        <c:scaling>
          <c:orientation val="minMax"/>
        </c:scaling>
        <c:axPos val="l"/>
        <c:majorGridlines/>
        <c:numFmt formatCode="#,##0" sourceLinked="1"/>
        <c:tickLblPos val="nextTo"/>
        <c:txPr>
          <a:bodyPr/>
          <a:lstStyle/>
          <a:p>
            <a:pPr>
              <a:defRPr sz="800"/>
            </a:pPr>
            <a:endParaRPr lang="it-IT"/>
          </a:p>
        </c:txPr>
        <c:crossAx val="210363904"/>
        <c:crosses val="autoZero"/>
        <c:crossBetween val="between"/>
        <c:dispUnits>
          <c:builtInUnit val="millions"/>
        </c:dispUnits>
      </c:valAx>
      <c:spPr>
        <a:solidFill>
          <a:schemeClr val="bg1">
            <a:lumMod val="95000"/>
          </a:schemeClr>
        </a:solidFill>
      </c:spPr>
    </c:plotArea>
    <c:legend>
      <c:legendPos val="r"/>
      <c:layout>
        <c:manualLayout>
          <c:xMode val="edge"/>
          <c:yMode val="edge"/>
          <c:x val="0.76716427146017374"/>
          <c:y val="0.46103752967134082"/>
          <c:w val="0.23021621315017357"/>
          <c:h val="0.49226715186498099"/>
        </c:manualLayout>
      </c:layout>
      <c:txPr>
        <a:bodyPr/>
        <a:lstStyle/>
        <a:p>
          <a:pPr>
            <a:defRPr sz="800"/>
          </a:pPr>
          <a:endParaRPr lang="it-IT"/>
        </a:p>
      </c:txPr>
    </c:legend>
    <c:plotVisOnly val="1"/>
    <c:dispBlanksAs val="gap"/>
  </c:chart>
  <c:spPr>
    <a:ln>
      <a:noFill/>
    </a:ln>
  </c:spPr>
  <c:externalData r:id="rId1"/>
  <c:userShapes r:id="rId2"/>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it-IT"/>
  <c:style val="11"/>
  <c:chart>
    <c:autoTitleDeleted val="1"/>
    <c:plotArea>
      <c:layout>
        <c:manualLayout>
          <c:layoutTarget val="inner"/>
          <c:xMode val="edge"/>
          <c:yMode val="edge"/>
          <c:x val="0.18657373383882594"/>
          <c:y val="0"/>
          <c:w val="0.59506133955477791"/>
          <c:h val="0.96787146562405546"/>
        </c:manualLayout>
      </c:layout>
      <c:pieChart>
        <c:varyColors val="1"/>
        <c:ser>
          <c:idx val="0"/>
          <c:order val="0"/>
          <c:dLbls>
            <c:dLbl>
              <c:idx val="0"/>
              <c:layout>
                <c:manualLayout>
                  <c:x val="-4.5688320209973751E-2"/>
                  <c:y val="-0.22263888888888889"/>
                </c:manualLayout>
              </c:layout>
              <c:showCatName val="1"/>
              <c:showPercent val="1"/>
              <c:extLst>
                <c:ext xmlns:c15="http://schemas.microsoft.com/office/drawing/2012/chart" uri="{CE6537A1-D6FC-4f65-9D91-7224C49458BB}">
                  <c15:layout/>
                </c:ext>
              </c:extLst>
            </c:dLbl>
            <c:dLbl>
              <c:idx val="1"/>
              <c:layout>
                <c:manualLayout>
                  <c:x val="7.6097210070963414E-2"/>
                  <c:y val="0.1001644372766667"/>
                </c:manualLayout>
              </c:layout>
              <c:showCatName val="1"/>
              <c:showPercent val="1"/>
              <c:extLst>
                <c:ext xmlns:c15="http://schemas.microsoft.com/office/drawing/2012/chart" uri="{CE6537A1-D6FC-4f65-9D91-7224C49458BB}">
                  <c15:layout/>
                </c:ext>
              </c:extLst>
            </c:dLbl>
            <c:dLbl>
              <c:idx val="2"/>
              <c:layout>
                <c:manualLayout>
                  <c:x val="7.5167492952269932E-2"/>
                  <c:y val="9.0696012396043094E-2"/>
                </c:manualLayout>
              </c:layout>
              <c:tx>
                <c:rich>
                  <a:bodyPr/>
                  <a:lstStyle/>
                  <a:p>
                    <a:r>
                      <a:rPr lang="en-US" sz="900"/>
                      <a:t>R</a:t>
                    </a:r>
                    <a:r>
                      <a:rPr lang="en-US"/>
                      <a:t>EG</a:t>
                    </a:r>
                    <a:r>
                      <a:rPr lang="en-US" baseline="0"/>
                      <a:t>
1%</a:t>
                    </a:r>
                  </a:p>
                </c:rich>
              </c:tx>
              <c:showCatName val="1"/>
              <c:showPercent val="1"/>
              <c:extLst>
                <c:ext xmlns:c15="http://schemas.microsoft.com/office/drawing/2012/chart" uri="{CE6537A1-D6FC-4f65-9D91-7224C49458BB}">
                  <c15:layout/>
                  <c15:dlblFieldTable/>
                  <c15:showDataLabelsRange val="0"/>
                </c:ext>
              </c:extLst>
            </c:dLbl>
            <c:spPr>
              <a:noFill/>
              <a:ln>
                <a:noFill/>
              </a:ln>
              <a:effectLst/>
            </c:spPr>
            <c:txPr>
              <a:bodyPr/>
              <a:lstStyle/>
              <a:p>
                <a:pPr>
                  <a:defRPr sz="900" b="1">
                    <a:solidFill>
                      <a:schemeClr val="bg1"/>
                    </a:solidFill>
                  </a:defRPr>
                </a:pPr>
                <a:endParaRPr lang="it-IT"/>
              </a:p>
            </c:txPr>
            <c:showCatName val="1"/>
            <c:showPercent val="1"/>
            <c:showLeaderLines val="1"/>
            <c:extLst>
              <c:ext xmlns:c15="http://schemas.microsoft.com/office/drawing/2012/chart" uri="{CE6537A1-D6FC-4f65-9D91-7224C49458BB}"/>
            </c:extLst>
          </c:dLbls>
          <c:cat>
            <c:strRef>
              <c:f>Foglio2!$A$33:$A$35</c:f>
              <c:strCache>
                <c:ptCount val="3"/>
                <c:pt idx="0">
                  <c:v>BIL</c:v>
                </c:pt>
                <c:pt idx="1">
                  <c:v>THEM</c:v>
                </c:pt>
                <c:pt idx="2">
                  <c:v>REG</c:v>
                </c:pt>
              </c:strCache>
            </c:strRef>
          </c:cat>
          <c:val>
            <c:numRef>
              <c:f>Foglio2!$C$33:$C$35</c:f>
              <c:numCache>
                <c:formatCode>#,##0</c:formatCode>
                <c:ptCount val="3"/>
                <c:pt idx="0">
                  <c:v>1878720965.3499999</c:v>
                </c:pt>
                <c:pt idx="1">
                  <c:v>183210838.08000001</c:v>
                </c:pt>
                <c:pt idx="2">
                  <c:v>25439383.919999998</c:v>
                </c:pt>
              </c:numCache>
            </c:numRef>
          </c:val>
        </c:ser>
        <c:dLbls>
          <c:showCatName val="1"/>
          <c:showPercent val="1"/>
        </c:dLbls>
        <c:firstSliceAng val="0"/>
      </c:pieChart>
    </c:plotArea>
    <c:plotVisOnly val="1"/>
    <c:dispBlanksAs val="zero"/>
  </c:chart>
  <c:spPr>
    <a:solidFill>
      <a:schemeClr val="bg1">
        <a:lumMod val="95000"/>
      </a:schemeClr>
    </a:solidFill>
    <a:ln>
      <a:noFill/>
    </a:ln>
  </c:sp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lang val="it-IT"/>
  <c:style val="11"/>
  <c:chart>
    <c:plotArea>
      <c:layout>
        <c:manualLayout>
          <c:layoutTarget val="inner"/>
          <c:xMode val="edge"/>
          <c:yMode val="edge"/>
          <c:x val="0.20717235858714173"/>
          <c:y val="7.5019284561260835E-2"/>
          <c:w val="0.56819795295104869"/>
          <c:h val="0.81300709946227701"/>
        </c:manualLayout>
      </c:layout>
      <c:pieChart>
        <c:varyColors val="1"/>
        <c:ser>
          <c:idx val="0"/>
          <c:order val="0"/>
          <c:dLbls>
            <c:dLbl>
              <c:idx val="0"/>
              <c:layout>
                <c:manualLayout>
                  <c:x val="-0.21828723082477197"/>
                  <c:y val="-1.7093325008837364E-2"/>
                </c:manualLayout>
              </c:layout>
              <c:dLblPos val="bestFit"/>
              <c:showCatName val="1"/>
              <c:showPercent val="1"/>
            </c:dLbl>
            <c:txPr>
              <a:bodyPr/>
              <a:lstStyle/>
              <a:p>
                <a:pPr>
                  <a:defRPr sz="800" b="1">
                    <a:solidFill>
                      <a:schemeClr val="bg1"/>
                    </a:solidFill>
                  </a:defRPr>
                </a:pPr>
                <a:endParaRPr lang="it-IT"/>
              </a:p>
            </c:txPr>
            <c:showCatName val="1"/>
            <c:showPercent val="1"/>
            <c:showLeaderLines val="1"/>
          </c:dLbls>
          <c:cat>
            <c:strRef>
              <c:f>Foglio2!$B$36:$B$38</c:f>
              <c:strCache>
                <c:ptCount val="3"/>
                <c:pt idx="0">
                  <c:v>Track 1</c:v>
                </c:pt>
                <c:pt idx="1">
                  <c:v>Track 2</c:v>
                </c:pt>
                <c:pt idx="2">
                  <c:v>Track 3</c:v>
                </c:pt>
              </c:strCache>
            </c:strRef>
          </c:cat>
          <c:val>
            <c:numRef>
              <c:f>Foglio2!$C$36:$C$38</c:f>
              <c:numCache>
                <c:formatCode>#,##0</c:formatCode>
                <c:ptCount val="3"/>
                <c:pt idx="0">
                  <c:v>1179407213.8599999</c:v>
                </c:pt>
                <c:pt idx="1">
                  <c:v>372752391.50999975</c:v>
                </c:pt>
                <c:pt idx="2">
                  <c:v>535345134.75</c:v>
                </c:pt>
              </c:numCache>
            </c:numRef>
          </c:val>
        </c:ser>
        <c:dLbls>
          <c:showCatName val="1"/>
          <c:showPercent val="1"/>
        </c:dLbls>
        <c:firstSliceAng val="0"/>
      </c:pieChart>
      <c:spPr>
        <a:noFill/>
        <a:ln w="25400">
          <a:noFill/>
        </a:ln>
      </c:spPr>
    </c:plotArea>
    <c:plotVisOnly val="1"/>
    <c:dispBlanksAs val="zero"/>
  </c:chart>
  <c:spPr>
    <a:solidFill>
      <a:schemeClr val="bg1">
        <a:lumMod val="95000"/>
      </a:schemeClr>
    </a:solidFill>
    <a:ln>
      <a:noFill/>
    </a:ln>
  </c:sp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it-IT"/>
  <c:style val="11"/>
  <c:chart>
    <c:autoTitleDeleted val="1"/>
    <c:plotArea>
      <c:layout>
        <c:manualLayout>
          <c:layoutTarget val="inner"/>
          <c:xMode val="edge"/>
          <c:yMode val="edge"/>
          <c:x val="0.23450488500258224"/>
          <c:y val="8.7457228223830522E-2"/>
          <c:w val="0.52500041268426978"/>
          <c:h val="0.87500068780710583"/>
        </c:manualLayout>
      </c:layout>
      <c:pieChart>
        <c:varyColors val="1"/>
        <c:ser>
          <c:idx val="0"/>
          <c:order val="0"/>
          <c:explosion val="1"/>
          <c:dLbls>
            <c:dLbl>
              <c:idx val="0"/>
              <c:layout>
                <c:manualLayout>
                  <c:x val="-0.14091852580927391"/>
                  <c:y val="-0.22814596092155137"/>
                </c:manualLayout>
              </c:layout>
              <c:spPr/>
              <c:txPr>
                <a:bodyPr/>
                <a:lstStyle/>
                <a:p>
                  <a:pPr>
                    <a:defRPr sz="800" b="1">
                      <a:solidFill>
                        <a:schemeClr val="bg1"/>
                      </a:solidFill>
                    </a:defRPr>
                  </a:pPr>
                  <a:endParaRPr lang="it-IT"/>
                </a:p>
              </c:txPr>
              <c:showCatName val="1"/>
              <c:showPercent val="1"/>
            </c:dLbl>
            <c:dLbl>
              <c:idx val="1"/>
              <c:spPr/>
              <c:txPr>
                <a:bodyPr/>
                <a:lstStyle/>
                <a:p>
                  <a:pPr>
                    <a:defRPr sz="800" b="1">
                      <a:solidFill>
                        <a:schemeClr val="bg1"/>
                      </a:solidFill>
                    </a:defRPr>
                  </a:pPr>
                  <a:endParaRPr lang="it-IT"/>
                </a:p>
              </c:txPr>
            </c:dLbl>
            <c:dLbl>
              <c:idx val="2"/>
              <c:spPr/>
              <c:txPr>
                <a:bodyPr/>
                <a:lstStyle/>
                <a:p>
                  <a:pPr>
                    <a:defRPr sz="800" b="1">
                      <a:solidFill>
                        <a:schemeClr val="bg1"/>
                      </a:solidFill>
                    </a:defRPr>
                  </a:pPr>
                  <a:endParaRPr lang="it-IT"/>
                </a:p>
              </c:txPr>
            </c:dLbl>
            <c:dLbl>
              <c:idx val="3"/>
              <c:layout>
                <c:manualLayout>
                  <c:x val="-2.1762467191601038E-2"/>
                  <c:y val="6.0956182560513272E-2"/>
                </c:manualLayout>
              </c:layout>
              <c:showCatName val="1"/>
              <c:showPercent val="1"/>
            </c:dLbl>
            <c:dLbl>
              <c:idx val="4"/>
              <c:layout>
                <c:manualLayout>
                  <c:x val="-2.6992616488977016E-2"/>
                  <c:y val="3.4586871609602291E-4"/>
                </c:manualLayout>
              </c:layout>
              <c:showCatName val="1"/>
              <c:showPercent val="1"/>
            </c:dLbl>
            <c:dLbl>
              <c:idx val="5"/>
              <c:layout>
                <c:manualLayout>
                  <c:x val="-3.0404218340632002E-3"/>
                  <c:y val="1.2478786063691719E-3"/>
                </c:manualLayout>
              </c:layout>
              <c:showCatName val="1"/>
              <c:showPercent val="1"/>
            </c:dLbl>
            <c:dLbl>
              <c:idx val="6"/>
              <c:layout>
                <c:manualLayout>
                  <c:x val="7.9067475056184819E-2"/>
                  <c:y val="4.7014563431144124E-3"/>
                </c:manualLayout>
              </c:layout>
              <c:showCatName val="1"/>
              <c:showPercent val="1"/>
            </c:dLbl>
            <c:txPr>
              <a:bodyPr/>
              <a:lstStyle/>
              <a:p>
                <a:pPr>
                  <a:defRPr sz="800" b="1"/>
                </a:pPr>
                <a:endParaRPr lang="it-IT"/>
              </a:p>
            </c:txPr>
            <c:showCatName val="1"/>
            <c:showPercent val="1"/>
            <c:showLeaderLines val="1"/>
          </c:dLbls>
          <c:cat>
            <c:strRef>
              <c:f>'table old'!$G$26:$G$32</c:f>
              <c:strCache>
                <c:ptCount val="7"/>
                <c:pt idx="0">
                  <c:v>SOC</c:v>
                </c:pt>
                <c:pt idx="1">
                  <c:v>INFR</c:v>
                </c:pt>
                <c:pt idx="2">
                  <c:v>GOV</c:v>
                </c:pt>
                <c:pt idx="3">
                  <c:v>PSD</c:v>
                </c:pt>
                <c:pt idx="4">
                  <c:v>FOOD</c:v>
                </c:pt>
                <c:pt idx="5">
                  <c:v>WATSAN</c:v>
                </c:pt>
                <c:pt idx="6">
                  <c:v>CUL&amp;COM</c:v>
                </c:pt>
              </c:strCache>
            </c:strRef>
          </c:cat>
          <c:val>
            <c:numRef>
              <c:f>'table old'!$H$26:$H$32</c:f>
              <c:numCache>
                <c:formatCode>#,##0</c:formatCode>
                <c:ptCount val="7"/>
                <c:pt idx="0">
                  <c:v>1558704467.26</c:v>
                </c:pt>
                <c:pt idx="1">
                  <c:v>172485490.96999997</c:v>
                </c:pt>
                <c:pt idx="2">
                  <c:v>124542816.56</c:v>
                </c:pt>
                <c:pt idx="3">
                  <c:v>85160394.640000001</c:v>
                </c:pt>
                <c:pt idx="4">
                  <c:v>74320064.560000002</c:v>
                </c:pt>
                <c:pt idx="5">
                  <c:v>55356036.140000001</c:v>
                </c:pt>
                <c:pt idx="6">
                  <c:v>16935469.990000002</c:v>
                </c:pt>
              </c:numCache>
            </c:numRef>
          </c:val>
        </c:ser>
        <c:dLbls>
          <c:showCatName val="1"/>
          <c:showPercent val="1"/>
        </c:dLbls>
        <c:firstSliceAng val="0"/>
      </c:pieChart>
    </c:plotArea>
    <c:plotVisOnly val="1"/>
  </c:chart>
  <c:spPr>
    <a:solidFill>
      <a:schemeClr val="bg1">
        <a:lumMod val="95000"/>
      </a:schemeClr>
    </a:solidFill>
    <a:ln>
      <a:noFill/>
    </a:ln>
  </c:sp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it-IT"/>
  <c:style val="10"/>
  <c:chart>
    <c:plotArea>
      <c:layout>
        <c:manualLayout>
          <c:layoutTarget val="inner"/>
          <c:xMode val="edge"/>
          <c:yMode val="edge"/>
          <c:x val="0.10134951881014743"/>
          <c:y val="3.4676265466817138E-2"/>
          <c:w val="0.73323512685914261"/>
          <c:h val="0.8339680539932508"/>
        </c:manualLayout>
      </c:layout>
      <c:barChart>
        <c:barDir val="col"/>
        <c:grouping val="stacked"/>
        <c:ser>
          <c:idx val="5"/>
          <c:order val="0"/>
          <c:tx>
            <c:strRef>
              <c:f>'table old'!$G$101</c:f>
              <c:strCache>
                <c:ptCount val="1"/>
                <c:pt idx="0">
                  <c:v>SOC</c:v>
                </c:pt>
              </c:strCache>
            </c:strRef>
          </c:tx>
          <c:spPr>
            <a:solidFill>
              <a:schemeClr val="tx2"/>
            </a:solidFill>
          </c:spPr>
          <c:dLbls>
            <c:txPr>
              <a:bodyPr/>
              <a:lstStyle/>
              <a:p>
                <a:pPr>
                  <a:defRPr sz="800" b="1">
                    <a:solidFill>
                      <a:schemeClr val="bg1"/>
                    </a:solidFill>
                  </a:defRPr>
                </a:pPr>
                <a:endParaRPr lang="it-IT"/>
              </a:p>
            </c:txPr>
            <c:showVal val="1"/>
          </c:dLbls>
          <c:cat>
            <c:numRef>
              <c:f>'table old'!$A$102:$A$107</c:f>
              <c:numCache>
                <c:formatCode>General</c:formatCode>
                <c:ptCount val="6"/>
                <c:pt idx="0">
                  <c:v>2008</c:v>
                </c:pt>
                <c:pt idx="1">
                  <c:v>2009</c:v>
                </c:pt>
                <c:pt idx="2">
                  <c:v>2010</c:v>
                </c:pt>
                <c:pt idx="3">
                  <c:v>2011</c:v>
                </c:pt>
                <c:pt idx="4">
                  <c:v>2012</c:v>
                </c:pt>
                <c:pt idx="5">
                  <c:v>2013</c:v>
                </c:pt>
              </c:numCache>
            </c:numRef>
          </c:cat>
          <c:val>
            <c:numRef>
              <c:f>'table old'!$G$102:$G$107</c:f>
              <c:numCache>
                <c:formatCode>#,##0</c:formatCode>
                <c:ptCount val="6"/>
                <c:pt idx="0">
                  <c:v>379890494.63</c:v>
                </c:pt>
                <c:pt idx="1">
                  <c:v>198415816.47000003</c:v>
                </c:pt>
                <c:pt idx="2">
                  <c:v>285540913.4199968</c:v>
                </c:pt>
                <c:pt idx="3">
                  <c:v>324352260.70999974</c:v>
                </c:pt>
                <c:pt idx="4">
                  <c:v>187980366.33000001</c:v>
                </c:pt>
                <c:pt idx="5">
                  <c:v>182524615.69999999</c:v>
                </c:pt>
              </c:numCache>
            </c:numRef>
          </c:val>
        </c:ser>
        <c:ser>
          <c:idx val="0"/>
          <c:order val="1"/>
          <c:tx>
            <c:strRef>
              <c:f>'table old'!$B$101</c:f>
              <c:strCache>
                <c:ptCount val="1"/>
                <c:pt idx="0">
                  <c:v>CUL&amp;COM</c:v>
                </c:pt>
              </c:strCache>
            </c:strRef>
          </c:tx>
          <c:cat>
            <c:numRef>
              <c:f>'table old'!$A$102:$A$107</c:f>
              <c:numCache>
                <c:formatCode>General</c:formatCode>
                <c:ptCount val="6"/>
                <c:pt idx="0">
                  <c:v>2008</c:v>
                </c:pt>
                <c:pt idx="1">
                  <c:v>2009</c:v>
                </c:pt>
                <c:pt idx="2">
                  <c:v>2010</c:v>
                </c:pt>
                <c:pt idx="3">
                  <c:v>2011</c:v>
                </c:pt>
                <c:pt idx="4">
                  <c:v>2012</c:v>
                </c:pt>
                <c:pt idx="5">
                  <c:v>2013</c:v>
                </c:pt>
              </c:numCache>
            </c:numRef>
          </c:cat>
          <c:val>
            <c:numRef>
              <c:f>'table old'!$B$102:$B$107</c:f>
              <c:numCache>
                <c:formatCode>#,##0</c:formatCode>
                <c:ptCount val="6"/>
                <c:pt idx="0">
                  <c:v>846933.1799999912</c:v>
                </c:pt>
                <c:pt idx="1">
                  <c:v>1135518.1500000001</c:v>
                </c:pt>
                <c:pt idx="2">
                  <c:v>2496099.4099999997</c:v>
                </c:pt>
                <c:pt idx="3">
                  <c:v>1735454</c:v>
                </c:pt>
                <c:pt idx="4">
                  <c:v>1029531.8</c:v>
                </c:pt>
                <c:pt idx="5">
                  <c:v>9691933.449999975</c:v>
                </c:pt>
              </c:numCache>
            </c:numRef>
          </c:val>
        </c:ser>
        <c:ser>
          <c:idx val="3"/>
          <c:order val="2"/>
          <c:tx>
            <c:strRef>
              <c:f>'table old'!$E$101</c:f>
              <c:strCache>
                <c:ptCount val="1"/>
                <c:pt idx="0">
                  <c:v>INFR</c:v>
                </c:pt>
              </c:strCache>
            </c:strRef>
          </c:tx>
          <c:spPr>
            <a:solidFill>
              <a:schemeClr val="accent6"/>
            </a:solidFill>
          </c:spPr>
          <c:dLbls>
            <c:dLbl>
              <c:idx val="0"/>
              <c:showVal val="1"/>
            </c:dLbl>
            <c:delete val="1"/>
            <c:txPr>
              <a:bodyPr/>
              <a:lstStyle/>
              <a:p>
                <a:pPr>
                  <a:defRPr sz="800" b="1"/>
                </a:pPr>
                <a:endParaRPr lang="it-IT"/>
              </a:p>
            </c:txPr>
          </c:dLbls>
          <c:cat>
            <c:numRef>
              <c:f>'table old'!$A$102:$A$107</c:f>
              <c:numCache>
                <c:formatCode>General</c:formatCode>
                <c:ptCount val="6"/>
                <c:pt idx="0">
                  <c:v>2008</c:v>
                </c:pt>
                <c:pt idx="1">
                  <c:v>2009</c:v>
                </c:pt>
                <c:pt idx="2">
                  <c:v>2010</c:v>
                </c:pt>
                <c:pt idx="3">
                  <c:v>2011</c:v>
                </c:pt>
                <c:pt idx="4">
                  <c:v>2012</c:v>
                </c:pt>
                <c:pt idx="5">
                  <c:v>2013</c:v>
                </c:pt>
              </c:numCache>
            </c:numRef>
          </c:cat>
          <c:val>
            <c:numRef>
              <c:f>'table old'!$E$102:$E$107</c:f>
              <c:numCache>
                <c:formatCode>#,##0</c:formatCode>
                <c:ptCount val="6"/>
                <c:pt idx="0">
                  <c:v>118239440</c:v>
                </c:pt>
                <c:pt idx="1">
                  <c:v>4596917</c:v>
                </c:pt>
                <c:pt idx="2">
                  <c:v>19806010.729999997</c:v>
                </c:pt>
                <c:pt idx="3">
                  <c:v>16401047.489999995</c:v>
                </c:pt>
                <c:pt idx="4">
                  <c:v>6533542.9000000004</c:v>
                </c:pt>
                <c:pt idx="5">
                  <c:v>6908532.8500000006</c:v>
                </c:pt>
              </c:numCache>
            </c:numRef>
          </c:val>
        </c:ser>
        <c:ser>
          <c:idx val="1"/>
          <c:order val="3"/>
          <c:tx>
            <c:strRef>
              <c:f>'table old'!$C$101</c:f>
              <c:strCache>
                <c:ptCount val="1"/>
                <c:pt idx="0">
                  <c:v>FOOD</c:v>
                </c:pt>
              </c:strCache>
            </c:strRef>
          </c:tx>
          <c:dLbls>
            <c:dLbl>
              <c:idx val="0"/>
              <c:delete val="1"/>
            </c:dLbl>
            <c:dLbl>
              <c:idx val="2"/>
              <c:delete val="1"/>
            </c:dLbl>
            <c:dLbl>
              <c:idx val="3"/>
              <c:delete val="1"/>
            </c:dLbl>
            <c:dLbl>
              <c:idx val="4"/>
              <c:delete val="1"/>
            </c:dLbl>
            <c:dLbl>
              <c:idx val="5"/>
              <c:delete val="1"/>
            </c:dLbl>
            <c:txPr>
              <a:bodyPr/>
              <a:lstStyle/>
              <a:p>
                <a:pPr>
                  <a:defRPr sz="800" b="1">
                    <a:solidFill>
                      <a:schemeClr val="bg1"/>
                    </a:solidFill>
                  </a:defRPr>
                </a:pPr>
                <a:endParaRPr lang="it-IT"/>
              </a:p>
            </c:txPr>
            <c:showVal val="1"/>
          </c:dLbls>
          <c:cat>
            <c:numRef>
              <c:f>'table old'!$A$102:$A$107</c:f>
              <c:numCache>
                <c:formatCode>General</c:formatCode>
                <c:ptCount val="6"/>
                <c:pt idx="0">
                  <c:v>2008</c:v>
                </c:pt>
                <c:pt idx="1">
                  <c:v>2009</c:v>
                </c:pt>
                <c:pt idx="2">
                  <c:v>2010</c:v>
                </c:pt>
                <c:pt idx="3">
                  <c:v>2011</c:v>
                </c:pt>
                <c:pt idx="4">
                  <c:v>2012</c:v>
                </c:pt>
                <c:pt idx="5">
                  <c:v>2013</c:v>
                </c:pt>
              </c:numCache>
            </c:numRef>
          </c:cat>
          <c:val>
            <c:numRef>
              <c:f>'table old'!$C$102:$C$107</c:f>
              <c:numCache>
                <c:formatCode>#,##0</c:formatCode>
                <c:ptCount val="6"/>
                <c:pt idx="0">
                  <c:v>9000000</c:v>
                </c:pt>
                <c:pt idx="1">
                  <c:v>45787858.780000001</c:v>
                </c:pt>
                <c:pt idx="2">
                  <c:v>2775307.17</c:v>
                </c:pt>
                <c:pt idx="3">
                  <c:v>2046072.9300000002</c:v>
                </c:pt>
                <c:pt idx="4">
                  <c:v>8500683.25</c:v>
                </c:pt>
                <c:pt idx="5">
                  <c:v>6210142.4300000034</c:v>
                </c:pt>
              </c:numCache>
            </c:numRef>
          </c:val>
        </c:ser>
        <c:ser>
          <c:idx val="2"/>
          <c:order val="4"/>
          <c:tx>
            <c:strRef>
              <c:f>'table old'!$D$101</c:f>
              <c:strCache>
                <c:ptCount val="1"/>
                <c:pt idx="0">
                  <c:v>GOV</c:v>
                </c:pt>
              </c:strCache>
            </c:strRef>
          </c:tx>
          <c:dLbls>
            <c:txPr>
              <a:bodyPr/>
              <a:lstStyle/>
              <a:p>
                <a:pPr>
                  <a:defRPr sz="800" b="1">
                    <a:solidFill>
                      <a:schemeClr val="bg1"/>
                    </a:solidFill>
                  </a:defRPr>
                </a:pPr>
                <a:endParaRPr lang="it-IT"/>
              </a:p>
            </c:txPr>
            <c:showVal val="1"/>
          </c:dLbls>
          <c:cat>
            <c:numRef>
              <c:f>'table old'!$A$102:$A$107</c:f>
              <c:numCache>
                <c:formatCode>General</c:formatCode>
                <c:ptCount val="6"/>
                <c:pt idx="0">
                  <c:v>2008</c:v>
                </c:pt>
                <c:pt idx="1">
                  <c:v>2009</c:v>
                </c:pt>
                <c:pt idx="2">
                  <c:v>2010</c:v>
                </c:pt>
                <c:pt idx="3">
                  <c:v>2011</c:v>
                </c:pt>
                <c:pt idx="4">
                  <c:v>2012</c:v>
                </c:pt>
                <c:pt idx="5">
                  <c:v>2013</c:v>
                </c:pt>
              </c:numCache>
            </c:numRef>
          </c:cat>
          <c:val>
            <c:numRef>
              <c:f>'table old'!$D$102:$D$107</c:f>
              <c:numCache>
                <c:formatCode>#,##0</c:formatCode>
                <c:ptCount val="6"/>
                <c:pt idx="0">
                  <c:v>23238703.800000004</c:v>
                </c:pt>
                <c:pt idx="1">
                  <c:v>13119304.219999975</c:v>
                </c:pt>
                <c:pt idx="2">
                  <c:v>16799871.050000001</c:v>
                </c:pt>
                <c:pt idx="3">
                  <c:v>19133999.25</c:v>
                </c:pt>
                <c:pt idx="4">
                  <c:v>18584742</c:v>
                </c:pt>
                <c:pt idx="5">
                  <c:v>33666196.24000001</c:v>
                </c:pt>
              </c:numCache>
            </c:numRef>
          </c:val>
        </c:ser>
        <c:ser>
          <c:idx val="4"/>
          <c:order val="5"/>
          <c:tx>
            <c:strRef>
              <c:f>'table old'!$F$101</c:f>
              <c:strCache>
                <c:ptCount val="1"/>
                <c:pt idx="0">
                  <c:v>PSD</c:v>
                </c:pt>
              </c:strCache>
            </c:strRef>
          </c:tx>
          <c:dLbls>
            <c:dLbl>
              <c:idx val="0"/>
              <c:delete val="1"/>
            </c:dLbl>
            <c:dLbl>
              <c:idx val="3"/>
              <c:delete val="1"/>
            </c:dLbl>
            <c:txPr>
              <a:bodyPr/>
              <a:lstStyle/>
              <a:p>
                <a:pPr>
                  <a:defRPr sz="800" b="1">
                    <a:solidFill>
                      <a:schemeClr val="bg1"/>
                    </a:solidFill>
                  </a:defRPr>
                </a:pPr>
                <a:endParaRPr lang="it-IT"/>
              </a:p>
            </c:txPr>
            <c:showVal val="1"/>
          </c:dLbls>
          <c:cat>
            <c:numRef>
              <c:f>'table old'!$A$102:$A$107</c:f>
              <c:numCache>
                <c:formatCode>General</c:formatCode>
                <c:ptCount val="6"/>
                <c:pt idx="0">
                  <c:v>2008</c:v>
                </c:pt>
                <c:pt idx="1">
                  <c:v>2009</c:v>
                </c:pt>
                <c:pt idx="2">
                  <c:v>2010</c:v>
                </c:pt>
                <c:pt idx="3">
                  <c:v>2011</c:v>
                </c:pt>
                <c:pt idx="4">
                  <c:v>2012</c:v>
                </c:pt>
                <c:pt idx="5">
                  <c:v>2013</c:v>
                </c:pt>
              </c:numCache>
            </c:numRef>
          </c:cat>
          <c:val>
            <c:numRef>
              <c:f>'table old'!$F$102:$F$107</c:f>
              <c:numCache>
                <c:formatCode>#,##0</c:formatCode>
                <c:ptCount val="6"/>
                <c:pt idx="0">
                  <c:v>10579884</c:v>
                </c:pt>
                <c:pt idx="1">
                  <c:v>18513623.23</c:v>
                </c:pt>
                <c:pt idx="2">
                  <c:v>26327276.789999992</c:v>
                </c:pt>
                <c:pt idx="3">
                  <c:v>3016920</c:v>
                </c:pt>
                <c:pt idx="4">
                  <c:v>16775315.619999981</c:v>
                </c:pt>
                <c:pt idx="5">
                  <c:v>9947375</c:v>
                </c:pt>
              </c:numCache>
            </c:numRef>
          </c:val>
        </c:ser>
        <c:ser>
          <c:idx val="6"/>
          <c:order val="6"/>
          <c:tx>
            <c:strRef>
              <c:f>'table old'!$H$101</c:f>
              <c:strCache>
                <c:ptCount val="1"/>
                <c:pt idx="0">
                  <c:v>WATSAN</c:v>
                </c:pt>
              </c:strCache>
            </c:strRef>
          </c:tx>
          <c:dLbls>
            <c:dLbl>
              <c:idx val="0"/>
              <c:delete val="1"/>
            </c:dLbl>
            <c:dLbl>
              <c:idx val="1"/>
              <c:delete val="1"/>
            </c:dLbl>
            <c:dLbl>
              <c:idx val="2"/>
              <c:delete val="1"/>
            </c:dLbl>
            <c:dLbl>
              <c:idx val="3"/>
              <c:layout>
                <c:manualLayout>
                  <c:x val="0"/>
                  <c:y val="-1.5238095238095243E-2"/>
                </c:manualLayout>
              </c:layout>
              <c:showVal val="1"/>
            </c:dLbl>
            <c:dLbl>
              <c:idx val="4"/>
              <c:layout>
                <c:manualLayout>
                  <c:x val="0"/>
                  <c:y val="-1.1428571428571569E-2"/>
                </c:manualLayout>
              </c:layout>
              <c:showVal val="1"/>
            </c:dLbl>
            <c:dLbl>
              <c:idx val="5"/>
              <c:layout>
                <c:manualLayout>
                  <c:x val="2.7777777777779557E-3"/>
                  <c:y val="-3.8095238095238095E-3"/>
                </c:manualLayout>
              </c:layout>
              <c:showVal val="1"/>
            </c:dLbl>
            <c:txPr>
              <a:bodyPr/>
              <a:lstStyle/>
              <a:p>
                <a:pPr>
                  <a:defRPr sz="800" b="1"/>
                </a:pPr>
                <a:endParaRPr lang="it-IT"/>
              </a:p>
            </c:txPr>
            <c:showVal val="1"/>
          </c:dLbls>
          <c:cat>
            <c:numRef>
              <c:f>'table old'!$A$102:$A$107</c:f>
              <c:numCache>
                <c:formatCode>General</c:formatCode>
                <c:ptCount val="6"/>
                <c:pt idx="0">
                  <c:v>2008</c:v>
                </c:pt>
                <c:pt idx="1">
                  <c:v>2009</c:v>
                </c:pt>
                <c:pt idx="2">
                  <c:v>2010</c:v>
                </c:pt>
                <c:pt idx="3">
                  <c:v>2011</c:v>
                </c:pt>
                <c:pt idx="4">
                  <c:v>2012</c:v>
                </c:pt>
                <c:pt idx="5">
                  <c:v>2013</c:v>
                </c:pt>
              </c:numCache>
            </c:numRef>
          </c:cat>
          <c:val>
            <c:numRef>
              <c:f>'table old'!$H$102:$H$107</c:f>
              <c:numCache>
                <c:formatCode>#,##0</c:formatCode>
                <c:ptCount val="6"/>
                <c:pt idx="0">
                  <c:v>405601.24</c:v>
                </c:pt>
                <c:pt idx="1">
                  <c:v>1026075.6799999916</c:v>
                </c:pt>
                <c:pt idx="2">
                  <c:v>5742687.2200000007</c:v>
                </c:pt>
                <c:pt idx="3">
                  <c:v>9719005</c:v>
                </c:pt>
                <c:pt idx="4">
                  <c:v>15434900</c:v>
                </c:pt>
                <c:pt idx="5">
                  <c:v>23027767</c:v>
                </c:pt>
              </c:numCache>
            </c:numRef>
          </c:val>
        </c:ser>
        <c:overlap val="100"/>
        <c:axId val="210630912"/>
        <c:axId val="211955712"/>
      </c:barChart>
      <c:catAx>
        <c:axId val="210630912"/>
        <c:scaling>
          <c:orientation val="minMax"/>
        </c:scaling>
        <c:axPos val="b"/>
        <c:numFmt formatCode="General" sourceLinked="1"/>
        <c:tickLblPos val="nextTo"/>
        <c:txPr>
          <a:bodyPr rot="0" vert="horz"/>
          <a:lstStyle/>
          <a:p>
            <a:pPr>
              <a:defRPr sz="800" b="1"/>
            </a:pPr>
            <a:endParaRPr lang="it-IT"/>
          </a:p>
        </c:txPr>
        <c:crossAx val="211955712"/>
        <c:crosses val="autoZero"/>
        <c:auto val="1"/>
        <c:lblAlgn val="ctr"/>
        <c:lblOffset val="100"/>
      </c:catAx>
      <c:valAx>
        <c:axId val="211955712"/>
        <c:scaling>
          <c:orientation val="minMax"/>
          <c:max val="550000000"/>
          <c:min val="0"/>
        </c:scaling>
        <c:axPos val="l"/>
        <c:majorGridlines/>
        <c:numFmt formatCode="#,##0" sourceLinked="0"/>
        <c:tickLblPos val="nextTo"/>
        <c:txPr>
          <a:bodyPr rot="0" vert="horz"/>
          <a:lstStyle/>
          <a:p>
            <a:pPr>
              <a:defRPr sz="800" b="1"/>
            </a:pPr>
            <a:endParaRPr lang="it-IT"/>
          </a:p>
        </c:txPr>
        <c:crossAx val="210630912"/>
        <c:crosses val="autoZero"/>
        <c:crossBetween val="between"/>
        <c:dispUnits>
          <c:builtInUnit val="millions"/>
        </c:dispUnits>
      </c:valAx>
      <c:spPr>
        <a:solidFill>
          <a:sysClr val="window" lastClr="FFFFFF">
            <a:lumMod val="95000"/>
          </a:sysClr>
        </a:solidFill>
      </c:spPr>
    </c:plotArea>
    <c:legend>
      <c:legendPos val="r"/>
      <c:txPr>
        <a:bodyPr/>
        <a:lstStyle/>
        <a:p>
          <a:pPr>
            <a:defRPr sz="800"/>
          </a:pPr>
          <a:endParaRPr lang="it-IT"/>
        </a:p>
      </c:txPr>
    </c:legend>
    <c:plotVisOnly val="1"/>
    <c:dispBlanksAs val="gap"/>
  </c:chart>
  <c:spPr>
    <a:ln>
      <a:noFill/>
    </a:ln>
  </c:spPr>
  <c:externalData r:id="rId1"/>
</c:chartSpace>
</file>

<file path=word/drawings/drawing1.xml><?xml version="1.0" encoding="utf-8"?>
<c:userShapes xmlns:c="http://schemas.openxmlformats.org/drawingml/2006/chart">
  <cdr:relSizeAnchor xmlns:cdr="http://schemas.openxmlformats.org/drawingml/2006/chartDrawing">
    <cdr:from>
      <cdr:x>0.73797</cdr:x>
      <cdr:y>0.16974</cdr:y>
    </cdr:from>
    <cdr:to>
      <cdr:x>0.91506</cdr:x>
      <cdr:y>0.34051</cdr:y>
    </cdr:to>
    <cdr:sp macro="" textlink="">
      <cdr:nvSpPr>
        <cdr:cNvPr id="2" name="Ovale 1"/>
        <cdr:cNvSpPr/>
      </cdr:nvSpPr>
      <cdr:spPr>
        <a:xfrm xmlns:a="http://schemas.openxmlformats.org/drawingml/2006/main">
          <a:off x="3577852" y="405800"/>
          <a:ext cx="858572" cy="408294"/>
        </a:xfrm>
        <a:prstGeom xmlns:a="http://schemas.openxmlformats.org/drawingml/2006/main" prst="ellipse">
          <a:avLst/>
        </a:prstGeom>
        <a:solidFill xmlns:a="http://schemas.openxmlformats.org/drawingml/2006/main">
          <a:schemeClr val="tx2">
            <a:lumMod val="20000"/>
            <a:lumOff val="80000"/>
          </a:schemeClr>
        </a:solidFill>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p xmlns:a="http://schemas.openxmlformats.org/drawingml/2006/main">
          <a:r>
            <a:rPr lang="it-IT" sz="800" b="1">
              <a:solidFill>
                <a:sysClr val="windowText" lastClr="000000"/>
              </a:solidFill>
            </a:rPr>
            <a:t>€1,899M</a:t>
          </a:r>
        </a:p>
        <a:p xmlns:a="http://schemas.openxmlformats.org/drawingml/2006/main">
          <a:pPr algn="ctr"/>
          <a:r>
            <a:rPr lang="it-IT" sz="800" b="1">
              <a:solidFill>
                <a:sysClr val="windowText" lastClr="000000"/>
              </a:solidFill>
            </a:rPr>
            <a:t>Disbursed</a:t>
          </a:r>
        </a:p>
      </cdr:txBody>
    </cdr:sp>
  </cdr:relSizeAnchor>
  <cdr:relSizeAnchor xmlns:cdr="http://schemas.openxmlformats.org/drawingml/2006/chartDrawing">
    <cdr:from>
      <cdr:x>0.58762</cdr:x>
      <cdr:y>0.0899</cdr:y>
    </cdr:from>
    <cdr:to>
      <cdr:x>0.79596</cdr:x>
      <cdr:y>0.25037</cdr:y>
    </cdr:to>
    <cdr:sp macro="" textlink="">
      <cdr:nvSpPr>
        <cdr:cNvPr id="3" name="Ovale 2"/>
        <cdr:cNvSpPr/>
      </cdr:nvSpPr>
      <cdr:spPr>
        <a:xfrm xmlns:a="http://schemas.openxmlformats.org/drawingml/2006/main">
          <a:off x="2848899" y="214927"/>
          <a:ext cx="1010079" cy="383658"/>
        </a:xfrm>
        <a:prstGeom xmlns:a="http://schemas.openxmlformats.org/drawingml/2006/main" prst="ellipse">
          <a:avLst/>
        </a:prstGeom>
        <a:solidFill xmlns:a="http://schemas.openxmlformats.org/drawingml/2006/main">
          <a:schemeClr val="tx2">
            <a:lumMod val="60000"/>
            <a:lumOff val="40000"/>
          </a:schemeClr>
        </a:solidFill>
        <a:ln xmlns:a="http://schemas.openxmlformats.org/drawingml/2006/main" w="25400" cap="flat" cmpd="sng" algn="ctr">
          <a:solidFill>
            <a:srgbClr val="4F81BD">
              <a:shade val="50000"/>
            </a:srgbClr>
          </a:solidFill>
          <a:prstDash val="solid"/>
        </a:ln>
        <a:effectLst xmlns:a="http://schemas.openxmlformats.org/drawingml/2006/mai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ysClr val="window" lastClr="FFFFFF"/>
              </a:solidFill>
              <a:latin typeface="Calibri"/>
            </a:defRPr>
          </a:lvl1pPr>
          <a:lvl2pPr marL="457200" indent="0">
            <a:defRPr sz="1100">
              <a:solidFill>
                <a:sysClr val="window" lastClr="FFFFFF"/>
              </a:solidFill>
              <a:latin typeface="Calibri"/>
            </a:defRPr>
          </a:lvl2pPr>
          <a:lvl3pPr marL="914400" indent="0">
            <a:defRPr sz="1100">
              <a:solidFill>
                <a:sysClr val="window" lastClr="FFFFFF"/>
              </a:solidFill>
              <a:latin typeface="Calibri"/>
            </a:defRPr>
          </a:lvl3pPr>
          <a:lvl4pPr marL="1371600" indent="0">
            <a:defRPr sz="1100">
              <a:solidFill>
                <a:sysClr val="window" lastClr="FFFFFF"/>
              </a:solidFill>
              <a:latin typeface="Calibri"/>
            </a:defRPr>
          </a:lvl4pPr>
          <a:lvl5pPr marL="1828800" indent="0">
            <a:defRPr sz="1100">
              <a:solidFill>
                <a:sysClr val="window" lastClr="FFFFFF"/>
              </a:solidFill>
              <a:latin typeface="Calibri"/>
            </a:defRPr>
          </a:lvl5pPr>
          <a:lvl6pPr marL="2286000" indent="0">
            <a:defRPr sz="1100">
              <a:solidFill>
                <a:sysClr val="window" lastClr="FFFFFF"/>
              </a:solidFill>
              <a:latin typeface="Calibri"/>
            </a:defRPr>
          </a:lvl6pPr>
          <a:lvl7pPr marL="2743200" indent="0">
            <a:defRPr sz="1100">
              <a:solidFill>
                <a:sysClr val="window" lastClr="FFFFFF"/>
              </a:solidFill>
              <a:latin typeface="Calibri"/>
            </a:defRPr>
          </a:lvl7pPr>
          <a:lvl8pPr marL="3200400" indent="0">
            <a:defRPr sz="1100">
              <a:solidFill>
                <a:sysClr val="window" lastClr="FFFFFF"/>
              </a:solidFill>
              <a:latin typeface="Calibri"/>
            </a:defRPr>
          </a:lvl8pPr>
          <a:lvl9pPr marL="3657600" indent="0">
            <a:defRPr sz="1100">
              <a:solidFill>
                <a:sysClr val="window" lastClr="FFFFFF"/>
              </a:solidFill>
              <a:latin typeface="Calibri"/>
            </a:defRPr>
          </a:lvl9pPr>
        </a:lstStyle>
        <a:p xmlns:a="http://schemas.openxmlformats.org/drawingml/2006/main">
          <a:pPr algn="ctr"/>
          <a:r>
            <a:rPr lang="it-IT" sz="800" b="1"/>
            <a:t>€2,087M</a:t>
          </a:r>
        </a:p>
        <a:p xmlns:a="http://schemas.openxmlformats.org/drawingml/2006/main">
          <a:pPr algn="ctr"/>
          <a:r>
            <a:rPr lang="it-IT" sz="800" b="1"/>
            <a:t>Committed</a:t>
          </a:r>
        </a:p>
      </cdr:txBody>
    </cdr:sp>
  </cdr:relSizeAnchor>
  <cdr:relSizeAnchor xmlns:cdr="http://schemas.openxmlformats.org/drawingml/2006/chartDrawing">
    <cdr:from>
      <cdr:x>0.45187</cdr:x>
      <cdr:y>0.02083</cdr:y>
    </cdr:from>
    <cdr:to>
      <cdr:x>0.6444</cdr:x>
      <cdr:y>0.1893</cdr:y>
    </cdr:to>
    <cdr:sp macro="" textlink="">
      <cdr:nvSpPr>
        <cdr:cNvPr id="4" name="Ovale 3"/>
        <cdr:cNvSpPr/>
      </cdr:nvSpPr>
      <cdr:spPr>
        <a:xfrm xmlns:a="http://schemas.openxmlformats.org/drawingml/2006/main">
          <a:off x="2190767" y="48213"/>
          <a:ext cx="933429" cy="389937"/>
        </a:xfrm>
        <a:prstGeom xmlns:a="http://schemas.openxmlformats.org/drawingml/2006/main" prst="ellipse">
          <a:avLst/>
        </a:prstGeom>
        <a:solidFill xmlns:a="http://schemas.openxmlformats.org/drawingml/2006/main">
          <a:srgbClr val="4F81BD"/>
        </a:solidFill>
        <a:ln xmlns:a="http://schemas.openxmlformats.org/drawingml/2006/main" w="25400" cap="flat" cmpd="sng" algn="ctr">
          <a:solidFill>
            <a:srgbClr val="4F81BD">
              <a:shade val="50000"/>
            </a:srgbClr>
          </a:solidFill>
          <a:prstDash val="solid"/>
        </a:ln>
        <a:effectLst xmlns:a="http://schemas.openxmlformats.org/drawingml/2006/mai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pPr marL="0" algn="ctr"/>
          <a:r>
            <a:rPr lang="it-IT" sz="800" b="1"/>
            <a:t>€2,220M</a:t>
          </a:r>
        </a:p>
        <a:p xmlns:a="http://schemas.openxmlformats.org/drawingml/2006/main">
          <a:pPr marL="0" algn="ctr"/>
          <a:r>
            <a:rPr lang="it-IT" sz="800" b="1"/>
            <a:t>Allocated</a:t>
          </a:r>
        </a:p>
      </cdr:txBody>
    </cdr:sp>
  </cdr:relSizeAnchor>
</c:userShape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F57410E-6D16-4C8C-B311-BEBFBA7457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90</TotalTime>
  <Pages>184</Pages>
  <Words>35178</Words>
  <Characters>200519</Characters>
  <Application>Microsoft Office Word</Application>
  <DocSecurity>0</DocSecurity>
  <Lines>1670</Lines>
  <Paragraphs>470</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235227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Utente</dc:creator>
  <cp:lastModifiedBy> </cp:lastModifiedBy>
  <cp:revision>19</cp:revision>
  <cp:lastPrinted>2013-11-22T16:44:00Z</cp:lastPrinted>
  <dcterms:created xsi:type="dcterms:W3CDTF">2014-05-07T08:35:00Z</dcterms:created>
  <dcterms:modified xsi:type="dcterms:W3CDTF">2014-05-07T10:05:00Z</dcterms:modified>
</cp:coreProperties>
</file>